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Calibri" w:cs="Calibri" w:eastAsia="Calibri" w:hAnsi="Calibri"/>
          <w:sz w:val="18"/>
          <w:szCs w:val="18"/>
          <w:b w:val="1"/>
          <w:bCs w:val="1"/>
          <w:color w:val="auto"/>
        </w:rPr>
        <w:t>UNITED STATES</w:t>
      </w:r>
    </w:p>
    <w:p>
      <w:pPr>
        <w:spacing w:after="0" w:line="10" w:lineRule="exact"/>
        <w:rPr>
          <w:sz w:val="24"/>
          <w:szCs w:val="24"/>
          <w:color w:val="auto"/>
        </w:rPr>
      </w:pPr>
    </w:p>
    <w:p>
      <w:pPr>
        <w:jc w:val="center"/>
        <w:ind w:right="40"/>
        <w:spacing w:after="0"/>
        <w:rPr>
          <w:sz w:val="20"/>
          <w:szCs w:val="20"/>
          <w:color w:val="auto"/>
        </w:rPr>
      </w:pPr>
      <w:r>
        <w:rPr>
          <w:rFonts w:ascii="Calibri" w:cs="Calibri" w:eastAsia="Calibri" w:hAnsi="Calibri"/>
          <w:sz w:val="18"/>
          <w:szCs w:val="18"/>
          <w:b w:val="1"/>
          <w:bCs w:val="1"/>
          <w:color w:val="auto"/>
        </w:rPr>
        <w:t>SECURITIES AND EXCHANGE COMMISSION</w:t>
      </w:r>
    </w:p>
    <w:p>
      <w:pPr>
        <w:spacing w:after="0" w:line="2" w:lineRule="exact"/>
        <w:rPr>
          <w:sz w:val="24"/>
          <w:szCs w:val="24"/>
          <w:color w:val="auto"/>
        </w:rPr>
      </w:pPr>
    </w:p>
    <w:p>
      <w:pPr>
        <w:jc w:val="center"/>
        <w:ind w:right="40"/>
        <w:spacing w:after="0"/>
        <w:rPr>
          <w:sz w:val="20"/>
          <w:szCs w:val="20"/>
          <w:color w:val="auto"/>
        </w:rPr>
      </w:pPr>
      <w:r>
        <w:rPr>
          <w:rFonts w:ascii="Calibri" w:cs="Calibri" w:eastAsia="Calibri" w:hAnsi="Calibri"/>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2858770</wp:posOffset>
            </wp:positionH>
            <wp:positionV relativeFrom="paragraph">
              <wp:posOffset>59055</wp:posOffset>
            </wp:positionV>
            <wp:extent cx="142494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4940" cy="7620"/>
                    </a:xfrm>
                    <a:prstGeom prst="rect">
                      <a:avLst/>
                    </a:prstGeom>
                    <a:noFill/>
                  </pic:spPr>
                </pic:pic>
              </a:graphicData>
            </a:graphic>
          </wp:anchor>
        </w:drawing>
      </w:r>
    </w:p>
    <w:p>
      <w:pPr>
        <w:spacing w:after="0" w:line="94" w:lineRule="exact"/>
        <w:rPr>
          <w:sz w:val="24"/>
          <w:szCs w:val="24"/>
          <w:color w:val="auto"/>
        </w:rPr>
      </w:pPr>
    </w:p>
    <w:p>
      <w:pPr>
        <w:jc w:val="center"/>
        <w:ind w:right="40"/>
        <w:spacing w:after="0"/>
        <w:rPr>
          <w:sz w:val="20"/>
          <w:szCs w:val="20"/>
          <w:color w:val="auto"/>
        </w:rPr>
      </w:pPr>
      <w:r>
        <w:rPr>
          <w:rFonts w:ascii="Calibri" w:cs="Calibri" w:eastAsia="Calibri" w:hAnsi="Calibri"/>
          <w:sz w:val="18"/>
          <w:szCs w:val="18"/>
          <w:b w:val="1"/>
          <w:bCs w:val="1"/>
          <w:color w:val="auto"/>
        </w:rPr>
        <w:t>FORM 10-K</w:t>
      </w:r>
    </w:p>
    <w:p>
      <w:pPr>
        <w:spacing w:after="0" w:line="56" w:lineRule="exact"/>
        <w:rPr>
          <w:sz w:val="24"/>
          <w:szCs w:val="24"/>
          <w:color w:val="auto"/>
        </w:rPr>
      </w:pPr>
    </w:p>
    <w:p>
      <w:pPr>
        <w:spacing w:after="0"/>
        <w:rPr>
          <w:sz w:val="20"/>
          <w:szCs w:val="20"/>
          <w:color w:val="auto"/>
        </w:rPr>
      </w:pPr>
      <w:r>
        <w:rPr>
          <w:rFonts w:ascii="Calibri" w:cs="Calibri" w:eastAsia="Calibri" w:hAnsi="Calibri"/>
          <w:sz w:val="12"/>
          <w:szCs w:val="12"/>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2858770</wp:posOffset>
            </wp:positionH>
            <wp:positionV relativeFrom="paragraph">
              <wp:posOffset>-91440</wp:posOffset>
            </wp:positionV>
            <wp:extent cx="142494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4940" cy="7620"/>
                    </a:xfrm>
                    <a:prstGeom prst="rect">
                      <a:avLst/>
                    </a:prstGeom>
                    <a:noFill/>
                  </pic:spPr>
                </pic:pic>
              </a:graphicData>
            </a:graphic>
          </wp:anchor>
        </w:drawing>
      </w:r>
    </w:p>
    <w:p>
      <w:pPr>
        <w:ind w:left="460" w:hanging="456"/>
        <w:spacing w:after="0"/>
        <w:tabs>
          <w:tab w:leader="none" w:pos="460" w:val="left"/>
        </w:tabs>
        <w:numPr>
          <w:ilvl w:val="0"/>
          <w:numId w:val="1"/>
        </w:numPr>
        <w:rPr>
          <w:rFonts w:ascii="MS PGothic" w:cs="MS PGothic" w:eastAsia="MS PGothic" w:hAnsi="MS PGothic"/>
          <w:sz w:val="14"/>
          <w:szCs w:val="14"/>
          <w:color w:val="auto"/>
        </w:rPr>
      </w:pPr>
      <w:r>
        <w:rPr>
          <w:rFonts w:ascii="Calibri" w:cs="Calibri" w:eastAsia="Calibri" w:hAnsi="Calibri"/>
          <w:sz w:val="14"/>
          <w:szCs w:val="14"/>
          <w:b w:val="1"/>
          <w:bCs w:val="1"/>
          <w:color w:val="auto"/>
        </w:rPr>
        <w:t>ANNUAL REPORT PURSUANT TO SECTION 13 OR 15(d) OF THE SECURITIES EXCHANGE ACT OF 1934</w:t>
      </w:r>
    </w:p>
    <w:p>
      <w:pPr>
        <w:spacing w:after="0" w:line="48" w:lineRule="exact"/>
        <w:rPr>
          <w:sz w:val="24"/>
          <w:szCs w:val="24"/>
          <w:color w:val="auto"/>
        </w:rPr>
      </w:pPr>
    </w:p>
    <w:p>
      <w:pPr>
        <w:ind w:left="4360"/>
        <w:spacing w:after="0"/>
        <w:rPr>
          <w:sz w:val="20"/>
          <w:szCs w:val="20"/>
          <w:color w:val="auto"/>
        </w:rPr>
      </w:pPr>
      <w:r>
        <w:rPr>
          <w:rFonts w:ascii="Calibri" w:cs="Calibri" w:eastAsia="Calibri" w:hAnsi="Calibri"/>
          <w:sz w:val="14"/>
          <w:szCs w:val="14"/>
          <w:b w:val="1"/>
          <w:bCs w:val="1"/>
          <w:color w:val="auto"/>
        </w:rPr>
        <w:t>For the fscal year ended December 31, 2023</w:t>
      </w:r>
    </w:p>
    <w:p>
      <w:pPr>
        <w:spacing w:after="0" w:line="25" w:lineRule="exact"/>
        <w:rPr>
          <w:sz w:val="24"/>
          <w:szCs w:val="24"/>
          <w:color w:val="auto"/>
        </w:rPr>
      </w:pPr>
    </w:p>
    <w:p>
      <w:pPr>
        <w:ind w:left="5520"/>
        <w:spacing w:after="0"/>
        <w:rPr>
          <w:sz w:val="20"/>
          <w:szCs w:val="20"/>
          <w:color w:val="auto"/>
        </w:rPr>
      </w:pPr>
      <w:r>
        <w:rPr>
          <w:rFonts w:ascii="Calibri" w:cs="Calibri" w:eastAsia="Calibri" w:hAnsi="Calibri"/>
          <w:sz w:val="14"/>
          <w:szCs w:val="14"/>
          <w:b w:val="1"/>
          <w:bCs w:val="1"/>
          <w:color w:val="auto"/>
        </w:rPr>
        <w:t>OR</w:t>
      </w:r>
    </w:p>
    <w:p>
      <w:pPr>
        <w:spacing w:after="0" w:line="45" w:lineRule="exact"/>
        <w:rPr>
          <w:sz w:val="24"/>
          <w:szCs w:val="24"/>
          <w:color w:val="auto"/>
        </w:rPr>
      </w:pPr>
    </w:p>
    <w:p>
      <w:pPr>
        <w:spacing w:after="0"/>
        <w:tabs>
          <w:tab w:leader="none" w:pos="44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Calibri" w:cs="Calibri" w:eastAsia="Calibri" w:hAnsi="Calibri"/>
          <w:sz w:val="14"/>
          <w:szCs w:val="14"/>
          <w:b w:val="1"/>
          <w:bCs w:val="1"/>
          <w:color w:val="auto"/>
        </w:rPr>
        <w:t>TRANSITION REPORT PURSUANT TO SECTION 13 OR 15(d) OF THE SECURITIES EXCHANGE ACT OF 1934</w:t>
      </w:r>
    </w:p>
    <w:p>
      <w:pPr>
        <w:spacing w:after="0" w:line="85" w:lineRule="exact"/>
        <w:rPr>
          <w:sz w:val="24"/>
          <w:szCs w:val="24"/>
          <w:color w:val="auto"/>
        </w:rPr>
      </w:pPr>
    </w:p>
    <w:p>
      <w:pPr>
        <w:ind w:left="3840"/>
        <w:spacing w:after="0"/>
        <w:tabs>
          <w:tab w:leader="none" w:pos="6580" w:val="left"/>
        </w:tabs>
        <w:rPr>
          <w:sz w:val="20"/>
          <w:szCs w:val="20"/>
          <w:color w:val="auto"/>
        </w:rPr>
      </w:pPr>
      <w:r>
        <w:rPr>
          <w:rFonts w:ascii="Calibri" w:cs="Calibri" w:eastAsia="Calibri" w:hAnsi="Calibri"/>
          <w:sz w:val="14"/>
          <w:szCs w:val="14"/>
          <w:b w:val="1"/>
          <w:bCs w:val="1"/>
          <w:color w:val="auto"/>
        </w:rPr>
        <w:t>FOR THE TRANSITION PERIOD FROM</w:t>
      </w:r>
      <w:r>
        <w:rPr>
          <w:sz w:val="20"/>
          <w:szCs w:val="20"/>
          <w:color w:val="auto"/>
        </w:rPr>
        <w:tab/>
      </w:r>
      <w:r>
        <w:rPr>
          <w:rFonts w:ascii="Calibri" w:cs="Calibri" w:eastAsia="Calibri" w:hAnsi="Calibri"/>
          <w:sz w:val="13"/>
          <w:szCs w:val="13"/>
          <w:b w:val="1"/>
          <w:bCs w:val="1"/>
          <w:color w:val="auto"/>
        </w:rPr>
        <w:t>TO</w:t>
      </w:r>
    </w:p>
    <w:p>
      <w:pPr>
        <w:spacing w:after="0" w:line="45" w:lineRule="exact"/>
        <w:rPr>
          <w:sz w:val="24"/>
          <w:szCs w:val="24"/>
          <w:color w:val="auto"/>
        </w:rPr>
      </w:pPr>
    </w:p>
    <w:p>
      <w:pPr>
        <w:jc w:val="center"/>
        <w:ind w:right="40"/>
        <w:spacing w:after="0"/>
        <w:rPr>
          <w:sz w:val="20"/>
          <w:szCs w:val="20"/>
          <w:color w:val="auto"/>
        </w:rPr>
      </w:pPr>
      <w:r>
        <w:rPr>
          <w:rFonts w:ascii="Calibri" w:cs="Calibri" w:eastAsia="Calibri" w:hAnsi="Calibri"/>
          <w:sz w:val="12"/>
          <w:szCs w:val="12"/>
          <w:b w:val="1"/>
          <w:bCs w:val="1"/>
          <w:color w:val="auto"/>
        </w:rPr>
        <w:t>Commission File Number 001-38233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2858770</wp:posOffset>
            </wp:positionH>
            <wp:positionV relativeFrom="paragraph">
              <wp:posOffset>39370</wp:posOffset>
            </wp:positionV>
            <wp:extent cx="142494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4940" cy="7620"/>
                    </a:xfrm>
                    <a:prstGeom prst="rect">
                      <a:avLst/>
                    </a:prstGeom>
                    <a:noFill/>
                  </pic:spPr>
                </pic:pic>
              </a:graphicData>
            </a:graphic>
          </wp:anchor>
        </w:drawing>
      </w:r>
    </w:p>
    <w:p>
      <w:pPr>
        <w:spacing w:after="0" w:line="68" w:lineRule="exact"/>
        <w:rPr>
          <w:sz w:val="24"/>
          <w:szCs w:val="24"/>
          <w:color w:val="auto"/>
        </w:rPr>
      </w:pPr>
    </w:p>
    <w:tbl>
      <w:tblPr>
        <w:tblLayout w:type="fixed"/>
        <w:tblInd w:w="0" w:type="dxa"/>
        <w:tblCellMar>
          <w:top w:w="0" w:type="dxa"/>
          <w:left w:w="0" w:type="dxa"/>
          <w:bottom w:w="0" w:type="dxa"/>
          <w:right w:w="0" w:type="dxa"/>
        </w:tblCellMar>
      </w:tblPr>
      <w:tr>
        <w:trPr>
          <w:trHeight w:val="256"/>
        </w:trPr>
        <w:tc>
          <w:tcPr>
            <w:tcW w:w="38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40" w:type="dxa"/>
            <w:vAlign w:val="bottom"/>
            <w:gridSpan w:val="4"/>
          </w:tcPr>
          <w:p>
            <w:pPr>
              <w:jc w:val="center"/>
              <w:ind w:right="1080"/>
              <w:spacing w:after="0"/>
              <w:rPr>
                <w:sz w:val="20"/>
                <w:szCs w:val="20"/>
                <w:color w:val="auto"/>
              </w:rPr>
            </w:pPr>
            <w:r>
              <w:rPr>
                <w:rFonts w:ascii="Calibri" w:cs="Calibri" w:eastAsia="Calibri" w:hAnsi="Calibri"/>
                <w:sz w:val="21"/>
                <w:szCs w:val="21"/>
                <w:b w:val="1"/>
                <w:bCs w:val="1"/>
                <w:color w:val="auto"/>
              </w:rPr>
              <w:t>CarGurus, Inc.</w:t>
            </w:r>
          </w:p>
        </w:tc>
        <w:tc>
          <w:tcPr>
            <w:tcW w:w="3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3820" w:type="dxa"/>
            <w:vAlign w:val="bottom"/>
          </w:tcPr>
          <w:p>
            <w:pPr>
              <w:spacing w:after="0"/>
              <w:rPr>
                <w:sz w:val="14"/>
                <w:szCs w:val="14"/>
                <w:color w:val="auto"/>
              </w:rPr>
            </w:pPr>
          </w:p>
        </w:tc>
        <w:tc>
          <w:tcPr>
            <w:tcW w:w="3760" w:type="dxa"/>
            <w:vAlign w:val="bottom"/>
            <w:gridSpan w:val="7"/>
          </w:tcPr>
          <w:p>
            <w:pPr>
              <w:jc w:val="center"/>
              <w:ind w:right="180"/>
              <w:spacing w:after="0"/>
              <w:rPr>
                <w:sz w:val="20"/>
                <w:szCs w:val="20"/>
                <w:color w:val="auto"/>
              </w:rPr>
            </w:pPr>
            <w:r>
              <w:rPr>
                <w:rFonts w:ascii="Calibri" w:cs="Calibri" w:eastAsia="Calibri" w:hAnsi="Calibri"/>
                <w:sz w:val="12"/>
                <w:szCs w:val="12"/>
                <w:b w:val="1"/>
                <w:bCs w:val="1"/>
                <w:color w:val="auto"/>
              </w:rPr>
              <w:t>(Exact name of Registrant as specifed in its charter)</w:t>
            </w:r>
          </w:p>
        </w:tc>
        <w:tc>
          <w:tcPr>
            <w:tcW w:w="3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4"/>
        </w:trPr>
        <w:tc>
          <w:tcPr>
            <w:tcW w:w="3820" w:type="dxa"/>
            <w:vAlign w:val="bottom"/>
            <w:vMerge w:val="restart"/>
          </w:tcPr>
          <w:p>
            <w:pPr>
              <w:jc w:val="center"/>
              <w:ind w:left="1679"/>
              <w:spacing w:after="0"/>
              <w:rPr>
                <w:sz w:val="20"/>
                <w:szCs w:val="20"/>
                <w:color w:val="auto"/>
              </w:rPr>
            </w:pPr>
            <w:r>
              <w:rPr>
                <w:rFonts w:ascii="Calibri" w:cs="Calibri" w:eastAsia="Calibri" w:hAnsi="Calibri"/>
                <w:sz w:val="12"/>
                <w:szCs w:val="12"/>
                <w:b w:val="1"/>
                <w:bCs w:val="1"/>
                <w:color w:val="auto"/>
              </w:rPr>
              <w:t>Delaware</w:t>
            </w:r>
          </w:p>
        </w:tc>
        <w:tc>
          <w:tcPr>
            <w:tcW w:w="680" w:type="dxa"/>
            <w:vAlign w:val="bottom"/>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40" w:type="dxa"/>
            <w:vAlign w:val="bottom"/>
          </w:tcPr>
          <w:p>
            <w:pPr>
              <w:spacing w:after="0"/>
              <w:rPr>
                <w:sz w:val="6"/>
                <w:szCs w:val="6"/>
                <w:color w:val="auto"/>
              </w:rPr>
            </w:pPr>
          </w:p>
        </w:tc>
        <w:tc>
          <w:tcPr>
            <w:tcW w:w="3680" w:type="dxa"/>
            <w:vAlign w:val="bottom"/>
            <w:vMerge w:val="restart"/>
          </w:tcPr>
          <w:p>
            <w:pPr>
              <w:jc w:val="right"/>
              <w:ind w:right="2419"/>
              <w:spacing w:after="0"/>
              <w:rPr>
                <w:sz w:val="20"/>
                <w:szCs w:val="20"/>
                <w:color w:val="auto"/>
              </w:rPr>
            </w:pPr>
            <w:r>
              <w:rPr>
                <w:rFonts w:ascii="Calibri" w:cs="Calibri" w:eastAsia="Calibri" w:hAnsi="Calibri"/>
                <w:sz w:val="12"/>
                <w:szCs w:val="12"/>
                <w:b w:val="1"/>
                <w:bCs w:val="1"/>
                <w:color w:val="auto"/>
              </w:rPr>
              <w:t>04-3843478</w:t>
            </w:r>
          </w:p>
        </w:tc>
        <w:tc>
          <w:tcPr>
            <w:tcW w:w="0" w:type="dxa"/>
            <w:vAlign w:val="bottom"/>
          </w:tcPr>
          <w:p>
            <w:pPr>
              <w:spacing w:after="0"/>
              <w:rPr>
                <w:sz w:val="1"/>
                <w:szCs w:val="1"/>
                <w:color w:val="auto"/>
              </w:rPr>
            </w:pPr>
          </w:p>
        </w:tc>
      </w:tr>
      <w:tr>
        <w:trPr>
          <w:trHeight w:val="148"/>
        </w:trPr>
        <w:tc>
          <w:tcPr>
            <w:tcW w:w="382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820" w:type="dxa"/>
            <w:vAlign w:val="bottom"/>
          </w:tcPr>
          <w:p>
            <w:pPr>
              <w:jc w:val="center"/>
              <w:ind w:left="1679"/>
              <w:spacing w:after="0"/>
              <w:rPr>
                <w:sz w:val="20"/>
                <w:szCs w:val="20"/>
                <w:color w:val="auto"/>
              </w:rPr>
            </w:pPr>
            <w:r>
              <w:rPr>
                <w:rFonts w:ascii="Calibri" w:cs="Calibri" w:eastAsia="Calibri" w:hAnsi="Calibri"/>
                <w:sz w:val="12"/>
                <w:szCs w:val="12"/>
                <w:b w:val="1"/>
                <w:bCs w:val="1"/>
                <w:color w:val="auto"/>
              </w:rPr>
              <w:t>(State or other jurisdicton of</w:t>
            </w: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80" w:type="dxa"/>
            <w:vAlign w:val="bottom"/>
          </w:tcPr>
          <w:p>
            <w:pPr>
              <w:jc w:val="center"/>
              <w:ind w:right="1839"/>
              <w:spacing w:after="0"/>
              <w:rPr>
                <w:sz w:val="20"/>
                <w:szCs w:val="20"/>
                <w:color w:val="auto"/>
              </w:rPr>
            </w:pPr>
            <w:r>
              <w:rPr>
                <w:rFonts w:ascii="Calibri" w:cs="Calibri" w:eastAsia="Calibri" w:hAnsi="Calibri"/>
                <w:sz w:val="12"/>
                <w:szCs w:val="12"/>
                <w:b w:val="1"/>
                <w:bCs w:val="1"/>
                <w:color w:val="auto"/>
              </w:rPr>
              <w:t>(I.R.S. Employer</w:t>
            </w:r>
          </w:p>
        </w:tc>
        <w:tc>
          <w:tcPr>
            <w:tcW w:w="0" w:type="dxa"/>
            <w:vAlign w:val="bottom"/>
          </w:tcPr>
          <w:p>
            <w:pPr>
              <w:spacing w:after="0"/>
              <w:rPr>
                <w:sz w:val="1"/>
                <w:szCs w:val="1"/>
                <w:color w:val="auto"/>
              </w:rPr>
            </w:pPr>
          </w:p>
        </w:tc>
      </w:tr>
      <w:tr>
        <w:trPr>
          <w:trHeight w:val="150"/>
        </w:trPr>
        <w:tc>
          <w:tcPr>
            <w:tcW w:w="3820" w:type="dxa"/>
            <w:vAlign w:val="bottom"/>
          </w:tcPr>
          <w:p>
            <w:pPr>
              <w:jc w:val="center"/>
              <w:ind w:left="1679"/>
              <w:spacing w:after="0"/>
              <w:rPr>
                <w:sz w:val="20"/>
                <w:szCs w:val="20"/>
                <w:color w:val="auto"/>
              </w:rPr>
            </w:pPr>
            <w:r>
              <w:rPr>
                <w:rFonts w:ascii="Calibri" w:cs="Calibri" w:eastAsia="Calibri" w:hAnsi="Calibri"/>
                <w:sz w:val="12"/>
                <w:szCs w:val="12"/>
                <w:b w:val="1"/>
                <w:bCs w:val="1"/>
                <w:color w:val="auto"/>
              </w:rPr>
              <w:t>incorporaton or organizaton)</w:t>
            </w: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80" w:type="dxa"/>
            <w:vAlign w:val="bottom"/>
          </w:tcPr>
          <w:p>
            <w:pPr>
              <w:jc w:val="center"/>
              <w:ind w:right="1819"/>
              <w:spacing w:after="0"/>
              <w:rPr>
                <w:sz w:val="20"/>
                <w:szCs w:val="20"/>
                <w:color w:val="auto"/>
              </w:rPr>
            </w:pPr>
            <w:r>
              <w:rPr>
                <w:rFonts w:ascii="Calibri" w:cs="Calibri" w:eastAsia="Calibri" w:hAnsi="Calibri"/>
                <w:sz w:val="12"/>
                <w:szCs w:val="12"/>
                <w:b w:val="1"/>
                <w:bCs w:val="1"/>
                <w:color w:val="auto"/>
              </w:rPr>
              <w:t>Identfcaton No.)</w:t>
            </w:r>
          </w:p>
        </w:tc>
        <w:tc>
          <w:tcPr>
            <w:tcW w:w="0" w:type="dxa"/>
            <w:vAlign w:val="bottom"/>
          </w:tcPr>
          <w:p>
            <w:pPr>
              <w:spacing w:after="0"/>
              <w:rPr>
                <w:sz w:val="1"/>
                <w:szCs w:val="1"/>
                <w:color w:val="auto"/>
              </w:rPr>
            </w:pPr>
          </w:p>
        </w:tc>
      </w:tr>
      <w:tr>
        <w:trPr>
          <w:trHeight w:val="245"/>
        </w:trPr>
        <w:tc>
          <w:tcPr>
            <w:tcW w:w="3820" w:type="dxa"/>
            <w:vAlign w:val="bottom"/>
          </w:tcPr>
          <w:p>
            <w:pPr>
              <w:jc w:val="center"/>
              <w:ind w:left="1679"/>
              <w:spacing w:after="0"/>
              <w:rPr>
                <w:sz w:val="20"/>
                <w:szCs w:val="20"/>
                <w:color w:val="auto"/>
              </w:rPr>
            </w:pPr>
            <w:r>
              <w:rPr>
                <w:rFonts w:ascii="Calibri" w:cs="Calibri" w:eastAsia="Calibri" w:hAnsi="Calibri"/>
                <w:sz w:val="12"/>
                <w:szCs w:val="12"/>
                <w:b w:val="1"/>
                <w:bCs w:val="1"/>
                <w:color w:val="auto"/>
                <w:w w:val="99"/>
              </w:rPr>
              <w:t>55 Cambridge Parkway, 6</w:t>
            </w:r>
            <w:r>
              <w:rPr>
                <w:rFonts w:ascii="Calibri" w:cs="Calibri" w:eastAsia="Calibri" w:hAnsi="Calibri"/>
                <w:sz w:val="16"/>
                <w:szCs w:val="16"/>
                <w:b w:val="1"/>
                <w:bCs w:val="1"/>
                <w:color w:val="auto"/>
                <w:w w:val="99"/>
                <w:vertAlign w:val="superscript"/>
              </w:rPr>
              <w:t>th</w:t>
            </w:r>
            <w:r>
              <w:rPr>
                <w:rFonts w:ascii="Calibri" w:cs="Calibri" w:eastAsia="Calibri" w:hAnsi="Calibri"/>
                <w:sz w:val="12"/>
                <w:szCs w:val="12"/>
                <w:b w:val="1"/>
                <w:bCs w:val="1"/>
                <w:color w:val="auto"/>
                <w:w w:val="99"/>
              </w:rPr>
              <w:t xml:space="preserve"> Floor</w:t>
            </w: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3820" w:type="dxa"/>
            <w:vAlign w:val="bottom"/>
          </w:tcPr>
          <w:p>
            <w:pPr>
              <w:jc w:val="center"/>
              <w:ind w:left="1679"/>
              <w:spacing w:after="0"/>
              <w:rPr>
                <w:sz w:val="20"/>
                <w:szCs w:val="20"/>
                <w:color w:val="auto"/>
              </w:rPr>
            </w:pPr>
            <w:r>
              <w:rPr>
                <w:rFonts w:ascii="Calibri" w:cs="Calibri" w:eastAsia="Calibri" w:hAnsi="Calibri"/>
                <w:sz w:val="12"/>
                <w:szCs w:val="12"/>
                <w:b w:val="1"/>
                <w:bCs w:val="1"/>
                <w:color w:val="auto"/>
              </w:rPr>
              <w:t>Cambridge, Massachusets</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80" w:type="dxa"/>
            <w:vAlign w:val="bottom"/>
          </w:tcPr>
          <w:p>
            <w:pPr>
              <w:jc w:val="right"/>
              <w:ind w:right="2579"/>
              <w:spacing w:after="0"/>
              <w:rPr>
                <w:sz w:val="20"/>
                <w:szCs w:val="20"/>
                <w:color w:val="auto"/>
              </w:rPr>
            </w:pPr>
            <w:r>
              <w:rPr>
                <w:rFonts w:ascii="Calibri" w:cs="Calibri" w:eastAsia="Calibri" w:hAnsi="Calibri"/>
                <w:sz w:val="12"/>
                <w:szCs w:val="12"/>
                <w:b w:val="1"/>
                <w:bCs w:val="1"/>
                <w:color w:val="auto"/>
              </w:rPr>
              <w:t>02142</w:t>
            </w:r>
          </w:p>
        </w:tc>
        <w:tc>
          <w:tcPr>
            <w:tcW w:w="0" w:type="dxa"/>
            <w:vAlign w:val="bottom"/>
          </w:tcPr>
          <w:p>
            <w:pPr>
              <w:spacing w:after="0"/>
              <w:rPr>
                <w:sz w:val="1"/>
                <w:szCs w:val="1"/>
                <w:color w:val="auto"/>
              </w:rPr>
            </w:pPr>
          </w:p>
        </w:tc>
      </w:tr>
      <w:tr>
        <w:trPr>
          <w:trHeight w:val="173"/>
        </w:trPr>
        <w:tc>
          <w:tcPr>
            <w:tcW w:w="3820" w:type="dxa"/>
            <w:vAlign w:val="bottom"/>
          </w:tcPr>
          <w:p>
            <w:pPr>
              <w:jc w:val="center"/>
              <w:ind w:left="1679"/>
              <w:spacing w:after="0"/>
              <w:rPr>
                <w:sz w:val="20"/>
                <w:szCs w:val="20"/>
                <w:color w:val="auto"/>
              </w:rPr>
            </w:pPr>
            <w:r>
              <w:rPr>
                <w:rFonts w:ascii="Calibri" w:cs="Calibri" w:eastAsia="Calibri" w:hAnsi="Calibri"/>
                <w:sz w:val="12"/>
                <w:szCs w:val="12"/>
                <w:b w:val="1"/>
                <w:bCs w:val="1"/>
                <w:color w:val="auto"/>
              </w:rPr>
              <w:t>(Address of principal executve ofces)</w:t>
            </w: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80" w:type="dxa"/>
            <w:vAlign w:val="bottom"/>
          </w:tcPr>
          <w:p>
            <w:pPr>
              <w:ind w:left="640"/>
              <w:spacing w:after="0"/>
              <w:rPr>
                <w:sz w:val="20"/>
                <w:szCs w:val="20"/>
                <w:color w:val="auto"/>
              </w:rPr>
            </w:pPr>
            <w:r>
              <w:rPr>
                <w:rFonts w:ascii="Calibri" w:cs="Calibri" w:eastAsia="Calibri" w:hAnsi="Calibri"/>
                <w:sz w:val="12"/>
                <w:szCs w:val="12"/>
                <w:b w:val="1"/>
                <w:bCs w:val="1"/>
                <w:color w:val="auto"/>
              </w:rPr>
              <w:t>(Zip Code)</w:t>
            </w: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p>
        </w:tc>
        <w:tc>
          <w:tcPr>
            <w:tcW w:w="3760" w:type="dxa"/>
            <w:vAlign w:val="bottom"/>
            <w:gridSpan w:val="7"/>
          </w:tcPr>
          <w:p>
            <w:pPr>
              <w:jc w:val="center"/>
              <w:ind w:right="180"/>
              <w:spacing w:after="0"/>
              <w:rPr>
                <w:sz w:val="20"/>
                <w:szCs w:val="20"/>
                <w:color w:val="auto"/>
              </w:rPr>
            </w:pPr>
            <w:r>
              <w:rPr>
                <w:rFonts w:ascii="Calibri" w:cs="Calibri" w:eastAsia="Calibri" w:hAnsi="Calibri"/>
                <w:sz w:val="12"/>
                <w:szCs w:val="12"/>
                <w:b w:val="1"/>
                <w:bCs w:val="1"/>
                <w:color w:val="auto"/>
              </w:rPr>
              <w:t>Registrant’s telephone number, including area code: (617) 354-0068</w:t>
            </w:r>
          </w:p>
        </w:tc>
        <w:tc>
          <w:tcPr>
            <w:tcW w:w="3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4"/>
        </w:trPr>
        <w:tc>
          <w:tcPr>
            <w:tcW w:w="3820" w:type="dxa"/>
            <w:vAlign w:val="bottom"/>
            <w:vMerge w:val="restart"/>
          </w:tcPr>
          <w:p>
            <w:pPr>
              <w:ind w:left="500"/>
              <w:spacing w:after="0"/>
              <w:rPr>
                <w:sz w:val="20"/>
                <w:szCs w:val="20"/>
                <w:color w:val="auto"/>
              </w:rPr>
            </w:pPr>
            <w:r>
              <w:rPr>
                <w:rFonts w:ascii="Calibri" w:cs="Calibri" w:eastAsia="Calibri" w:hAnsi="Calibri"/>
                <w:sz w:val="12"/>
                <w:szCs w:val="12"/>
                <w:color w:val="auto"/>
              </w:rPr>
              <w:t>Securites registered pursuant to Secton 12(b) of the Act:</w:t>
            </w:r>
          </w:p>
        </w:tc>
        <w:tc>
          <w:tcPr>
            <w:tcW w:w="680" w:type="dxa"/>
            <w:vAlign w:val="bottom"/>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40" w:type="dxa"/>
            <w:vAlign w:val="bottom"/>
          </w:tcPr>
          <w:p>
            <w:pPr>
              <w:spacing w:after="0"/>
              <w:rPr>
                <w:sz w:val="6"/>
                <w:szCs w:val="6"/>
                <w:color w:val="auto"/>
              </w:rPr>
            </w:pPr>
          </w:p>
        </w:tc>
        <w:tc>
          <w:tcPr>
            <w:tcW w:w="3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3820" w:type="dxa"/>
            <w:vAlign w:val="bottom"/>
            <w:vMerge w:val="continue"/>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820" w:type="dxa"/>
            <w:vAlign w:val="bottom"/>
          </w:tcPr>
          <w:p>
            <w:pPr>
              <w:jc w:val="center"/>
              <w:ind w:left="659"/>
              <w:spacing w:after="0"/>
              <w:rPr>
                <w:sz w:val="20"/>
                <w:szCs w:val="20"/>
                <w:color w:val="auto"/>
              </w:rPr>
            </w:pPr>
            <w:r>
              <w:rPr>
                <w:rFonts w:ascii="Calibri" w:cs="Calibri" w:eastAsia="Calibri" w:hAnsi="Calibri"/>
                <w:sz w:val="12"/>
                <w:szCs w:val="12"/>
                <w:b w:val="1"/>
                <w:bCs w:val="1"/>
                <w:color w:val="auto"/>
              </w:rPr>
              <w:t>Title of Each Class</w:t>
            </w: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40" w:type="dxa"/>
            <w:vAlign w:val="bottom"/>
            <w:gridSpan w:val="4"/>
          </w:tcPr>
          <w:p>
            <w:pPr>
              <w:jc w:val="center"/>
              <w:ind w:right="1060"/>
              <w:spacing w:after="0"/>
              <w:rPr>
                <w:sz w:val="20"/>
                <w:szCs w:val="20"/>
                <w:color w:val="auto"/>
              </w:rPr>
            </w:pPr>
            <w:r>
              <w:rPr>
                <w:rFonts w:ascii="Calibri" w:cs="Calibri" w:eastAsia="Calibri" w:hAnsi="Calibri"/>
                <w:sz w:val="12"/>
                <w:szCs w:val="12"/>
                <w:b w:val="1"/>
                <w:bCs w:val="1"/>
                <w:color w:val="auto"/>
              </w:rPr>
              <w:t>Trading Symbol</w:t>
            </w:r>
          </w:p>
        </w:tc>
        <w:tc>
          <w:tcPr>
            <w:tcW w:w="3680" w:type="dxa"/>
            <w:vAlign w:val="bottom"/>
          </w:tcPr>
          <w:p>
            <w:pPr>
              <w:ind w:left="260"/>
              <w:spacing w:after="0"/>
              <w:rPr>
                <w:sz w:val="20"/>
                <w:szCs w:val="20"/>
                <w:color w:val="auto"/>
              </w:rPr>
            </w:pPr>
            <w:r>
              <w:rPr>
                <w:rFonts w:ascii="Calibri" w:cs="Calibri" w:eastAsia="Calibri" w:hAnsi="Calibri"/>
                <w:sz w:val="12"/>
                <w:szCs w:val="12"/>
                <w:b w:val="1"/>
                <w:bCs w:val="1"/>
                <w:color w:val="auto"/>
              </w:rPr>
              <w:t>Name of Each Exchange on Which Registered</w:t>
            </w:r>
          </w:p>
        </w:tc>
        <w:tc>
          <w:tcPr>
            <w:tcW w:w="0" w:type="dxa"/>
            <w:vAlign w:val="bottom"/>
          </w:tcPr>
          <w:p>
            <w:pPr>
              <w:spacing w:after="0"/>
              <w:rPr>
                <w:sz w:val="1"/>
                <w:szCs w:val="1"/>
                <w:color w:val="auto"/>
              </w:rPr>
            </w:pPr>
          </w:p>
        </w:tc>
      </w:tr>
      <w:tr>
        <w:trPr>
          <w:trHeight w:val="28"/>
        </w:trPr>
        <w:tc>
          <w:tcPr>
            <w:tcW w:w="38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3820" w:type="dxa"/>
            <w:vAlign w:val="bottom"/>
          </w:tcPr>
          <w:p>
            <w:pPr>
              <w:jc w:val="center"/>
              <w:ind w:left="619"/>
              <w:spacing w:after="0"/>
              <w:rPr>
                <w:sz w:val="20"/>
                <w:szCs w:val="20"/>
                <w:color w:val="auto"/>
              </w:rPr>
            </w:pPr>
            <w:r>
              <w:rPr>
                <w:rFonts w:ascii="Calibri" w:cs="Calibri" w:eastAsia="Calibri" w:hAnsi="Calibri"/>
                <w:sz w:val="12"/>
                <w:szCs w:val="12"/>
                <w:b w:val="1"/>
                <w:bCs w:val="1"/>
                <w:color w:val="auto"/>
              </w:rPr>
              <w:t>Class A Common Stock,</w:t>
            </w: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40" w:type="dxa"/>
            <w:vAlign w:val="bottom"/>
            <w:gridSpan w:val="4"/>
          </w:tcPr>
          <w:p>
            <w:pPr>
              <w:jc w:val="center"/>
              <w:ind w:right="1040"/>
              <w:spacing w:after="0"/>
              <w:rPr>
                <w:sz w:val="20"/>
                <w:szCs w:val="20"/>
                <w:color w:val="auto"/>
              </w:rPr>
            </w:pPr>
            <w:r>
              <w:rPr>
                <w:rFonts w:ascii="Calibri" w:cs="Calibri" w:eastAsia="Calibri" w:hAnsi="Calibri"/>
                <w:sz w:val="12"/>
                <w:szCs w:val="12"/>
                <w:b w:val="1"/>
                <w:bCs w:val="1"/>
                <w:color w:val="auto"/>
                <w:w w:val="99"/>
              </w:rPr>
              <w:t>CARG</w:t>
            </w:r>
          </w:p>
        </w:tc>
        <w:tc>
          <w:tcPr>
            <w:tcW w:w="3680" w:type="dxa"/>
            <w:vAlign w:val="bottom"/>
          </w:tcPr>
          <w:p>
            <w:pPr>
              <w:ind w:left="640"/>
              <w:spacing w:after="0"/>
              <w:rPr>
                <w:sz w:val="20"/>
                <w:szCs w:val="20"/>
                <w:color w:val="auto"/>
              </w:rPr>
            </w:pPr>
            <w:r>
              <w:rPr>
                <w:rFonts w:ascii="Calibri" w:cs="Calibri" w:eastAsia="Calibri" w:hAnsi="Calibri"/>
                <w:sz w:val="12"/>
                <w:szCs w:val="12"/>
                <w:b w:val="1"/>
                <w:bCs w:val="1"/>
                <w:color w:val="auto"/>
              </w:rPr>
              <w:t>The Nasdaq Stock Market LLC</w:t>
            </w:r>
          </w:p>
        </w:tc>
        <w:tc>
          <w:tcPr>
            <w:tcW w:w="0" w:type="dxa"/>
            <w:vAlign w:val="bottom"/>
          </w:tcPr>
          <w:p>
            <w:pPr>
              <w:spacing w:after="0"/>
              <w:rPr>
                <w:sz w:val="1"/>
                <w:szCs w:val="1"/>
                <w:color w:val="auto"/>
              </w:rPr>
            </w:pPr>
          </w:p>
        </w:tc>
      </w:tr>
      <w:tr>
        <w:trPr>
          <w:trHeight w:val="173"/>
        </w:trPr>
        <w:tc>
          <w:tcPr>
            <w:tcW w:w="3820" w:type="dxa"/>
            <w:vAlign w:val="bottom"/>
          </w:tcPr>
          <w:p>
            <w:pPr>
              <w:jc w:val="center"/>
              <w:ind w:left="659"/>
              <w:spacing w:after="0"/>
              <w:rPr>
                <w:sz w:val="20"/>
                <w:szCs w:val="20"/>
                <w:color w:val="auto"/>
              </w:rPr>
            </w:pPr>
            <w:r>
              <w:rPr>
                <w:rFonts w:ascii="Calibri" w:cs="Calibri" w:eastAsia="Calibri" w:hAnsi="Calibri"/>
                <w:sz w:val="12"/>
                <w:szCs w:val="12"/>
                <w:b w:val="1"/>
                <w:bCs w:val="1"/>
                <w:color w:val="auto"/>
              </w:rPr>
              <w:t>par value $0.001 per share</w:t>
            </w: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80" w:type="dxa"/>
            <w:vAlign w:val="bottom"/>
          </w:tcPr>
          <w:p>
            <w:pPr>
              <w:ind w:left="620"/>
              <w:spacing w:after="0"/>
              <w:rPr>
                <w:sz w:val="20"/>
                <w:szCs w:val="20"/>
                <w:color w:val="auto"/>
              </w:rPr>
            </w:pPr>
            <w:r>
              <w:rPr>
                <w:rFonts w:ascii="Calibri" w:cs="Calibri" w:eastAsia="Calibri" w:hAnsi="Calibri"/>
                <w:sz w:val="12"/>
                <w:szCs w:val="12"/>
                <w:b w:val="1"/>
                <w:bCs w:val="1"/>
                <w:color w:val="auto"/>
              </w:rPr>
              <w:t>(Nasdaq Global Select Market)</w:t>
            </w:r>
          </w:p>
        </w:tc>
        <w:tc>
          <w:tcPr>
            <w:tcW w:w="0" w:type="dxa"/>
            <w:vAlign w:val="bottom"/>
          </w:tcPr>
          <w:p>
            <w:pPr>
              <w:spacing w:after="0"/>
              <w:rPr>
                <w:sz w:val="1"/>
                <w:szCs w:val="1"/>
                <w:color w:val="auto"/>
              </w:rPr>
            </w:pPr>
          </w:p>
        </w:tc>
      </w:tr>
      <w:tr>
        <w:trPr>
          <w:trHeight w:val="192"/>
        </w:trPr>
        <w:tc>
          <w:tcPr>
            <w:tcW w:w="3820" w:type="dxa"/>
            <w:vAlign w:val="bottom"/>
          </w:tcPr>
          <w:p>
            <w:pPr>
              <w:ind w:left="500"/>
              <w:spacing w:after="0"/>
              <w:rPr>
                <w:sz w:val="20"/>
                <w:szCs w:val="20"/>
                <w:color w:val="auto"/>
              </w:rPr>
            </w:pPr>
            <w:r>
              <w:rPr>
                <w:rFonts w:ascii="Calibri" w:cs="Calibri" w:eastAsia="Calibri" w:hAnsi="Calibri"/>
                <w:sz w:val="11"/>
                <w:szCs w:val="11"/>
                <w:color w:val="auto"/>
              </w:rPr>
              <w:t>Securites registered pursuant to Secton 12(g) of the Act: None</w:t>
            </w: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2858770</wp:posOffset>
            </wp:positionH>
            <wp:positionV relativeFrom="paragraph">
              <wp:posOffset>49530</wp:posOffset>
            </wp:positionV>
            <wp:extent cx="142494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4940" cy="7620"/>
                    </a:xfrm>
                    <a:prstGeom prst="rect">
                      <a:avLst/>
                    </a:prstGeom>
                    <a:noFill/>
                  </pic:spPr>
                </pic:pic>
              </a:graphicData>
            </a:graphic>
          </wp:anchor>
        </w:drawing>
      </w:r>
    </w:p>
    <w:p>
      <w:pPr>
        <w:spacing w:after="0" w:line="64" w:lineRule="exact"/>
        <w:rPr>
          <w:sz w:val="24"/>
          <w:szCs w:val="24"/>
          <w:color w:val="auto"/>
        </w:rPr>
      </w:pPr>
    </w:p>
    <w:p>
      <w:pPr>
        <w:ind w:left="500" w:right="5080"/>
        <w:spacing w:after="0" w:line="176" w:lineRule="exact"/>
        <w:rPr>
          <w:sz w:val="20"/>
          <w:szCs w:val="20"/>
          <w:color w:val="auto"/>
        </w:rPr>
      </w:pPr>
      <w:r>
        <w:rPr>
          <w:rFonts w:ascii="Calibri" w:cs="Calibri" w:eastAsia="Calibri" w:hAnsi="Calibri"/>
          <w:sz w:val="11"/>
          <w:szCs w:val="11"/>
          <w:color w:val="auto"/>
        </w:rPr>
        <w:t xml:space="preserve">Indicate by check mark if the registrant is a well-known seasoned issuer, as defned in Rule 405 of the Securites Act. Yes </w:t>
      </w:r>
      <w:r>
        <w:rPr>
          <w:rFonts w:ascii="MS PGothic" w:cs="MS PGothic" w:eastAsia="MS PGothic" w:hAnsi="MS PGothic"/>
          <w:sz w:val="11"/>
          <w:szCs w:val="11"/>
          <w:color w:val="auto"/>
        </w:rPr>
        <w:t>☒</w:t>
      </w:r>
      <w:r>
        <w:rPr>
          <w:rFonts w:ascii="Calibri" w:cs="Calibri" w:eastAsia="Calibri" w:hAnsi="Calibri"/>
          <w:sz w:val="11"/>
          <w:szCs w:val="11"/>
          <w:color w:val="auto"/>
        </w:rPr>
        <w:t xml:space="preserve"> No </w:t>
      </w:r>
      <w:r>
        <w:rPr>
          <w:rFonts w:ascii="MS PGothic" w:cs="MS PGothic" w:eastAsia="MS PGothic" w:hAnsi="MS PGothic"/>
          <w:sz w:val="11"/>
          <w:szCs w:val="11"/>
          <w:color w:val="auto"/>
        </w:rPr>
        <w:t>☐</w:t>
      </w:r>
      <w:r>
        <w:rPr>
          <w:rFonts w:ascii="Calibri" w:cs="Calibri" w:eastAsia="Calibri" w:hAnsi="Calibri"/>
          <w:sz w:val="11"/>
          <w:szCs w:val="11"/>
          <w:color w:val="auto"/>
        </w:rPr>
        <w:t xml:space="preserve"> Indicate by check mark if the registrant is not required to fle reports pursuant to Secton 13 or 15(d) of the Act. Yes </w:t>
      </w:r>
      <w:r>
        <w:rPr>
          <w:rFonts w:ascii="MS PGothic" w:cs="MS PGothic" w:eastAsia="MS PGothic" w:hAnsi="MS PGothic"/>
          <w:sz w:val="11"/>
          <w:szCs w:val="11"/>
          <w:color w:val="auto"/>
        </w:rPr>
        <w:t>☐</w:t>
      </w:r>
      <w:r>
        <w:rPr>
          <w:rFonts w:ascii="Calibri" w:cs="Calibri" w:eastAsia="Calibri" w:hAnsi="Calibri"/>
          <w:sz w:val="11"/>
          <w:szCs w:val="11"/>
          <w:color w:val="auto"/>
        </w:rPr>
        <w:t xml:space="preserve"> No </w:t>
      </w:r>
      <w:r>
        <w:rPr>
          <w:rFonts w:ascii="MS PGothic" w:cs="MS PGothic" w:eastAsia="MS PGothic" w:hAnsi="MS PGothic"/>
          <w:sz w:val="11"/>
          <w:szCs w:val="11"/>
          <w:color w:val="auto"/>
        </w:rPr>
        <w:t>☒</w:t>
      </w:r>
    </w:p>
    <w:p>
      <w:pPr>
        <w:spacing w:after="0" w:line="13" w:lineRule="exact"/>
        <w:rPr>
          <w:sz w:val="24"/>
          <w:szCs w:val="24"/>
          <w:color w:val="auto"/>
        </w:rPr>
      </w:pPr>
    </w:p>
    <w:p>
      <w:pPr>
        <w:jc w:val="both"/>
        <w:ind w:right="20" w:firstLine="511"/>
        <w:spacing w:after="0" w:line="144" w:lineRule="exact"/>
        <w:rPr>
          <w:sz w:val="20"/>
          <w:szCs w:val="20"/>
          <w:color w:val="auto"/>
        </w:rPr>
      </w:pPr>
      <w:r>
        <w:rPr>
          <w:rFonts w:ascii="Calibri" w:cs="Calibri" w:eastAsia="Calibri" w:hAnsi="Calibri"/>
          <w:sz w:val="11"/>
          <w:szCs w:val="11"/>
          <w:color w:val="auto"/>
        </w:rPr>
        <w:t xml:space="preserve">Indicate by check mark whether the registrant: (1) has fled all reports required to be fled by Secton 13 or 15(d) of the Securites Exchange Act of 1934 during the preceding 12 months (or for such shorter period that the Registrant was required to fle such reports), and (2) has been subject to such fling requirements for the past 90 days. Yes </w:t>
      </w:r>
      <w:r>
        <w:rPr>
          <w:rFonts w:ascii="MS PGothic" w:cs="MS PGothic" w:eastAsia="MS PGothic" w:hAnsi="MS PGothic"/>
          <w:sz w:val="11"/>
          <w:szCs w:val="11"/>
          <w:color w:val="auto"/>
        </w:rPr>
        <w:t>☒</w:t>
      </w:r>
      <w:r>
        <w:rPr>
          <w:rFonts w:ascii="Calibri" w:cs="Calibri" w:eastAsia="Calibri" w:hAnsi="Calibri"/>
          <w:sz w:val="11"/>
          <w:szCs w:val="11"/>
          <w:color w:val="auto"/>
        </w:rPr>
        <w:t xml:space="preserve"> No </w:t>
      </w:r>
      <w:r>
        <w:rPr>
          <w:rFonts w:ascii="MS PGothic" w:cs="MS PGothic" w:eastAsia="MS PGothic" w:hAnsi="MS PGothic"/>
          <w:sz w:val="11"/>
          <w:szCs w:val="11"/>
          <w:color w:val="auto"/>
        </w:rPr>
        <w:t>☐</w:t>
      </w:r>
    </w:p>
    <w:p>
      <w:pPr>
        <w:spacing w:after="0" w:line="1" w:lineRule="exact"/>
        <w:rPr>
          <w:sz w:val="24"/>
          <w:szCs w:val="24"/>
          <w:color w:val="auto"/>
        </w:rPr>
      </w:pPr>
    </w:p>
    <w:p>
      <w:pPr>
        <w:jc w:val="both"/>
        <w:ind w:right="20" w:firstLine="511"/>
        <w:spacing w:after="0" w:line="144" w:lineRule="exact"/>
        <w:rPr>
          <w:sz w:val="20"/>
          <w:szCs w:val="20"/>
          <w:color w:val="auto"/>
        </w:rPr>
      </w:pPr>
      <w:r>
        <w:rPr>
          <w:rFonts w:ascii="Calibri" w:cs="Calibri" w:eastAsia="Calibri" w:hAnsi="Calibri"/>
          <w:sz w:val="11"/>
          <w:szCs w:val="11"/>
          <w:color w:val="auto"/>
        </w:rPr>
        <w:t xml:space="preserve">Indicate by check mark whether the registrant has submited electronically every Interactve Data File required to be submited pursuant to Rule 405 of Regulaton S-T (§232.405 of this chapter) during the preceding 12 months (or for such shorter period that the Registrant was required to submit such fles). Yes </w:t>
      </w:r>
      <w:r>
        <w:rPr>
          <w:rFonts w:ascii="MS PGothic" w:cs="MS PGothic" w:eastAsia="MS PGothic" w:hAnsi="MS PGothic"/>
          <w:sz w:val="11"/>
          <w:szCs w:val="11"/>
          <w:color w:val="auto"/>
        </w:rPr>
        <w:t>☒</w:t>
      </w:r>
      <w:r>
        <w:rPr>
          <w:rFonts w:ascii="Calibri" w:cs="Calibri" w:eastAsia="Calibri" w:hAnsi="Calibri"/>
          <w:sz w:val="11"/>
          <w:szCs w:val="11"/>
          <w:color w:val="auto"/>
        </w:rPr>
        <w:t xml:space="preserve"> No </w:t>
      </w:r>
      <w:r>
        <w:rPr>
          <w:rFonts w:ascii="MS PGothic" w:cs="MS PGothic" w:eastAsia="MS PGothic" w:hAnsi="MS PGothic"/>
          <w:sz w:val="11"/>
          <w:szCs w:val="11"/>
          <w:color w:val="auto"/>
        </w:rPr>
        <w:t>☐</w:t>
      </w:r>
    </w:p>
    <w:p>
      <w:pPr>
        <w:spacing w:after="0" w:line="5" w:lineRule="exact"/>
        <w:rPr>
          <w:sz w:val="24"/>
          <w:szCs w:val="24"/>
          <w:color w:val="auto"/>
        </w:rPr>
      </w:pPr>
    </w:p>
    <w:p>
      <w:pPr>
        <w:ind w:left="500"/>
        <w:spacing w:after="0"/>
        <w:rPr>
          <w:sz w:val="20"/>
          <w:szCs w:val="20"/>
          <w:color w:val="auto"/>
        </w:rPr>
      </w:pPr>
      <w:r>
        <w:rPr>
          <w:rFonts w:ascii="Calibri" w:cs="Calibri" w:eastAsia="Calibri" w:hAnsi="Calibri"/>
          <w:sz w:val="11"/>
          <w:szCs w:val="11"/>
          <w:color w:val="auto"/>
        </w:rPr>
        <w:t>Indicate by check mark whether the registrant is a large accelerated fler, an accelerated fler, a non-accelerated fler, smaller reportng company, or an emerging growth company. See the defnitons of “large accelerated fler,” “accelerated fler,”</w:t>
      </w:r>
    </w:p>
    <w:tbl>
      <w:tblPr>
        <w:tblLayout w:type="fixed"/>
        <w:tblInd w:w="0" w:type="dxa"/>
        <w:tblCellMar>
          <w:top w:w="0" w:type="dxa"/>
          <w:left w:w="0" w:type="dxa"/>
          <w:bottom w:w="0" w:type="dxa"/>
          <w:right w:w="0" w:type="dxa"/>
        </w:tblCellMar>
      </w:tblPr>
      <w:tr>
        <w:trPr>
          <w:trHeight w:val="107"/>
        </w:trPr>
        <w:tc>
          <w:tcPr>
            <w:tcW w:w="6460" w:type="dxa"/>
            <w:vAlign w:val="bottom"/>
            <w:gridSpan w:val="2"/>
          </w:tcPr>
          <w:p>
            <w:pPr>
              <w:spacing w:after="0" w:line="107" w:lineRule="exact"/>
              <w:rPr>
                <w:sz w:val="20"/>
                <w:szCs w:val="20"/>
                <w:color w:val="auto"/>
              </w:rPr>
            </w:pPr>
            <w:r>
              <w:rPr>
                <w:rFonts w:ascii="Calibri" w:cs="Calibri" w:eastAsia="Calibri" w:hAnsi="Calibri"/>
                <w:sz w:val="11"/>
                <w:szCs w:val="11"/>
                <w:color w:val="auto"/>
              </w:rPr>
              <w:t>“smaller reportng company,” and “emerging growth company” in Rule 12b-2 of the Exchange Act.</w:t>
            </w:r>
          </w:p>
        </w:tc>
        <w:tc>
          <w:tcPr>
            <w:tcW w:w="3980" w:type="dxa"/>
            <w:vAlign w:val="bottom"/>
          </w:tcPr>
          <w:p>
            <w:pPr>
              <w:spacing w:after="0"/>
              <w:rPr>
                <w:sz w:val="9"/>
                <w:szCs w:val="9"/>
                <w:color w:val="auto"/>
              </w:rPr>
            </w:pPr>
          </w:p>
        </w:tc>
        <w:tc>
          <w:tcPr>
            <w:tcW w:w="700" w:type="dxa"/>
            <w:vAlign w:val="bottom"/>
            <w:vMerge w:val="restart"/>
          </w:tcPr>
          <w:p>
            <w:pPr>
              <w:ind w:left="600"/>
              <w:spacing w:after="0" w:line="111" w:lineRule="exact"/>
              <w:rPr>
                <w:sz w:val="20"/>
                <w:szCs w:val="20"/>
                <w:color w:val="auto"/>
              </w:rPr>
            </w:pPr>
            <w:r>
              <w:rPr>
                <w:rFonts w:ascii="MS PGothic" w:cs="MS PGothic" w:eastAsia="MS PGothic" w:hAnsi="MS PGothic"/>
                <w:sz w:val="11"/>
                <w:szCs w:val="11"/>
                <w:color w:val="auto"/>
                <w:w w:val="72"/>
              </w:rPr>
              <w:t>☐</w:t>
            </w:r>
          </w:p>
        </w:tc>
        <w:tc>
          <w:tcPr>
            <w:tcW w:w="0" w:type="dxa"/>
            <w:vAlign w:val="bottom"/>
          </w:tcPr>
          <w:p>
            <w:pPr>
              <w:spacing w:after="0"/>
              <w:rPr>
                <w:sz w:val="1"/>
                <w:szCs w:val="1"/>
                <w:color w:val="auto"/>
              </w:rPr>
            </w:pPr>
          </w:p>
        </w:tc>
      </w:tr>
      <w:tr>
        <w:trPr>
          <w:trHeight w:val="150"/>
        </w:trPr>
        <w:tc>
          <w:tcPr>
            <w:tcW w:w="1620" w:type="dxa"/>
            <w:vAlign w:val="bottom"/>
          </w:tcPr>
          <w:p>
            <w:pPr>
              <w:spacing w:after="0"/>
              <w:rPr>
                <w:sz w:val="20"/>
                <w:szCs w:val="20"/>
                <w:color w:val="auto"/>
              </w:rPr>
            </w:pPr>
            <w:r>
              <w:rPr>
                <w:rFonts w:ascii="Calibri" w:cs="Calibri" w:eastAsia="Calibri" w:hAnsi="Calibri"/>
                <w:sz w:val="11"/>
                <w:szCs w:val="11"/>
                <w:color w:val="auto"/>
              </w:rPr>
              <w:t>Large accelerated fler</w:t>
            </w:r>
          </w:p>
        </w:tc>
        <w:tc>
          <w:tcPr>
            <w:tcW w:w="4840" w:type="dxa"/>
            <w:vAlign w:val="bottom"/>
          </w:tcPr>
          <w:p>
            <w:pPr>
              <w:ind w:left="640"/>
              <w:spacing w:after="0" w:line="111" w:lineRule="exact"/>
              <w:rPr>
                <w:sz w:val="20"/>
                <w:szCs w:val="20"/>
                <w:color w:val="auto"/>
              </w:rPr>
            </w:pPr>
            <w:r>
              <w:rPr>
                <w:rFonts w:ascii="MS PGothic" w:cs="MS PGothic" w:eastAsia="MS PGothic" w:hAnsi="MS PGothic"/>
                <w:sz w:val="11"/>
                <w:szCs w:val="11"/>
                <w:color w:val="auto"/>
              </w:rPr>
              <w:t>☒</w:t>
            </w:r>
          </w:p>
        </w:tc>
        <w:tc>
          <w:tcPr>
            <w:tcW w:w="3980" w:type="dxa"/>
            <w:vAlign w:val="bottom"/>
          </w:tcPr>
          <w:p>
            <w:pPr>
              <w:ind w:left="2220"/>
              <w:spacing w:after="0"/>
              <w:rPr>
                <w:sz w:val="20"/>
                <w:szCs w:val="20"/>
                <w:color w:val="auto"/>
              </w:rPr>
            </w:pPr>
            <w:r>
              <w:rPr>
                <w:rFonts w:ascii="Calibri" w:cs="Calibri" w:eastAsia="Calibri" w:hAnsi="Calibri"/>
                <w:sz w:val="11"/>
                <w:szCs w:val="11"/>
                <w:color w:val="auto"/>
              </w:rPr>
              <w:t>Accelerated fler</w:t>
            </w: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620" w:type="dxa"/>
            <w:vAlign w:val="bottom"/>
          </w:tcPr>
          <w:p>
            <w:pPr>
              <w:spacing w:after="0"/>
              <w:rPr>
                <w:sz w:val="20"/>
                <w:szCs w:val="20"/>
                <w:color w:val="auto"/>
              </w:rPr>
            </w:pPr>
            <w:r>
              <w:rPr>
                <w:rFonts w:ascii="Calibri" w:cs="Calibri" w:eastAsia="Calibri" w:hAnsi="Calibri"/>
                <w:sz w:val="11"/>
                <w:szCs w:val="11"/>
                <w:color w:val="auto"/>
              </w:rPr>
              <w:t>Non-accelerated fler</w:t>
            </w:r>
          </w:p>
        </w:tc>
        <w:tc>
          <w:tcPr>
            <w:tcW w:w="4840" w:type="dxa"/>
            <w:vAlign w:val="bottom"/>
          </w:tcPr>
          <w:p>
            <w:pPr>
              <w:ind w:left="640"/>
              <w:spacing w:after="0" w:line="111" w:lineRule="exact"/>
              <w:rPr>
                <w:sz w:val="20"/>
                <w:szCs w:val="20"/>
                <w:color w:val="auto"/>
              </w:rPr>
            </w:pPr>
            <w:r>
              <w:rPr>
                <w:rFonts w:ascii="MS PGothic" w:cs="MS PGothic" w:eastAsia="MS PGothic" w:hAnsi="MS PGothic"/>
                <w:sz w:val="11"/>
                <w:szCs w:val="11"/>
                <w:color w:val="auto"/>
              </w:rPr>
              <w:t>☐</w:t>
            </w:r>
          </w:p>
        </w:tc>
        <w:tc>
          <w:tcPr>
            <w:tcW w:w="3980" w:type="dxa"/>
            <w:vAlign w:val="bottom"/>
          </w:tcPr>
          <w:p>
            <w:pPr>
              <w:ind w:left="2220"/>
              <w:spacing w:after="0"/>
              <w:rPr>
                <w:sz w:val="20"/>
                <w:szCs w:val="20"/>
                <w:color w:val="auto"/>
              </w:rPr>
            </w:pPr>
            <w:r>
              <w:rPr>
                <w:rFonts w:ascii="Calibri" w:cs="Calibri" w:eastAsia="Calibri" w:hAnsi="Calibri"/>
                <w:sz w:val="11"/>
                <w:szCs w:val="11"/>
                <w:color w:val="auto"/>
              </w:rPr>
              <w:t>Small reportng company</w:t>
            </w:r>
          </w:p>
        </w:tc>
        <w:tc>
          <w:tcPr>
            <w:tcW w:w="700" w:type="dxa"/>
            <w:vAlign w:val="bottom"/>
          </w:tcPr>
          <w:p>
            <w:pPr>
              <w:ind w:left="600"/>
              <w:spacing w:after="0" w:line="111" w:lineRule="exact"/>
              <w:rPr>
                <w:sz w:val="20"/>
                <w:szCs w:val="20"/>
                <w:color w:val="auto"/>
              </w:rPr>
            </w:pPr>
            <w:r>
              <w:rPr>
                <w:rFonts w:ascii="MS PGothic" w:cs="MS PGothic" w:eastAsia="MS PGothic" w:hAnsi="MS PGothic"/>
                <w:sz w:val="11"/>
                <w:szCs w:val="11"/>
                <w:color w:val="auto"/>
                <w:w w:val="72"/>
              </w:rPr>
              <w:t>☐</w:t>
            </w:r>
          </w:p>
        </w:tc>
        <w:tc>
          <w:tcPr>
            <w:tcW w:w="0" w:type="dxa"/>
            <w:vAlign w:val="bottom"/>
          </w:tcPr>
          <w:p>
            <w:pPr>
              <w:spacing w:after="0"/>
              <w:rPr>
                <w:sz w:val="1"/>
                <w:szCs w:val="1"/>
                <w:color w:val="auto"/>
              </w:rPr>
            </w:pPr>
          </w:p>
        </w:tc>
      </w:tr>
      <w:tr>
        <w:trPr>
          <w:trHeight w:val="180"/>
        </w:trPr>
        <w:tc>
          <w:tcPr>
            <w:tcW w:w="16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3980" w:type="dxa"/>
            <w:vAlign w:val="bottom"/>
          </w:tcPr>
          <w:p>
            <w:pPr>
              <w:ind w:left="2220"/>
              <w:spacing w:after="0"/>
              <w:rPr>
                <w:sz w:val="20"/>
                <w:szCs w:val="20"/>
                <w:color w:val="auto"/>
              </w:rPr>
            </w:pPr>
            <w:r>
              <w:rPr>
                <w:rFonts w:ascii="Calibri" w:cs="Calibri" w:eastAsia="Calibri" w:hAnsi="Calibri"/>
                <w:sz w:val="11"/>
                <w:szCs w:val="11"/>
                <w:color w:val="auto"/>
              </w:rPr>
              <w:t>Emerging growth company</w:t>
            </w:r>
          </w:p>
        </w:tc>
        <w:tc>
          <w:tcPr>
            <w:tcW w:w="700" w:type="dxa"/>
            <w:vAlign w:val="bottom"/>
          </w:tcPr>
          <w:p>
            <w:pPr>
              <w:ind w:left="600"/>
              <w:spacing w:after="0" w:line="111" w:lineRule="exact"/>
              <w:rPr>
                <w:sz w:val="20"/>
                <w:szCs w:val="20"/>
                <w:color w:val="auto"/>
              </w:rPr>
            </w:pPr>
            <w:r>
              <w:rPr>
                <w:rFonts w:ascii="MS PGothic" w:cs="MS PGothic" w:eastAsia="MS PGothic" w:hAnsi="MS PGothic"/>
                <w:sz w:val="11"/>
                <w:szCs w:val="11"/>
                <w:color w:val="auto"/>
                <w:w w:val="72"/>
              </w:rPr>
              <w:t>☐</w:t>
            </w:r>
          </w:p>
        </w:tc>
        <w:tc>
          <w:tcPr>
            <w:tcW w:w="0" w:type="dxa"/>
            <w:vAlign w:val="bottom"/>
          </w:tcPr>
          <w:p>
            <w:pPr>
              <w:spacing w:after="0"/>
              <w:rPr>
                <w:sz w:val="1"/>
                <w:szCs w:val="1"/>
                <w:color w:val="auto"/>
              </w:rPr>
            </w:pPr>
          </w:p>
        </w:tc>
      </w:tr>
    </w:tbl>
    <w:p>
      <w:pPr>
        <w:spacing w:after="0" w:line="116" w:lineRule="exact"/>
        <w:rPr>
          <w:sz w:val="24"/>
          <w:szCs w:val="24"/>
          <w:color w:val="auto"/>
        </w:rPr>
      </w:pPr>
    </w:p>
    <w:p>
      <w:pPr>
        <w:ind w:left="500"/>
        <w:spacing w:after="0"/>
        <w:rPr>
          <w:sz w:val="20"/>
          <w:szCs w:val="20"/>
          <w:color w:val="auto"/>
        </w:rPr>
      </w:pPr>
      <w:r>
        <w:rPr>
          <w:rFonts w:ascii="Calibri" w:cs="Calibri" w:eastAsia="Calibri" w:hAnsi="Calibri"/>
          <w:sz w:val="10"/>
          <w:szCs w:val="10"/>
          <w:color w:val="auto"/>
        </w:rPr>
        <w:t>If an emerging growth company, indicate by check mark if the registrant has elected not to use the extended transiton period for complying with any new or revised fnancial accountng standards provided pursuant to Secton 13(a) of the Exchange</w:t>
      </w:r>
    </w:p>
    <w:p>
      <w:pPr>
        <w:spacing w:after="0" w:line="4" w:lineRule="exact"/>
        <w:rPr>
          <w:sz w:val="24"/>
          <w:szCs w:val="24"/>
          <w:color w:val="auto"/>
        </w:rPr>
      </w:pPr>
    </w:p>
    <w:p>
      <w:pPr>
        <w:spacing w:after="0" w:line="135" w:lineRule="exact"/>
        <w:rPr>
          <w:sz w:val="20"/>
          <w:szCs w:val="20"/>
          <w:color w:val="auto"/>
        </w:rPr>
      </w:pPr>
      <w:r>
        <w:rPr>
          <w:rFonts w:ascii="Calibri" w:cs="Calibri" w:eastAsia="Calibri" w:hAnsi="Calibri"/>
          <w:sz w:val="11"/>
          <w:szCs w:val="11"/>
          <w:color w:val="auto"/>
        </w:rPr>
        <w:t xml:space="preserve">Act. </w:t>
      </w:r>
      <w:r>
        <w:rPr>
          <w:rFonts w:ascii="MS PGothic" w:cs="MS PGothic" w:eastAsia="MS PGothic" w:hAnsi="MS PGothic"/>
          <w:sz w:val="11"/>
          <w:szCs w:val="11"/>
          <w:color w:val="auto"/>
        </w:rPr>
        <w:t>☐</w:t>
      </w:r>
    </w:p>
    <w:p>
      <w:pPr>
        <w:spacing w:after="0" w:line="27" w:lineRule="exact"/>
        <w:rPr>
          <w:sz w:val="24"/>
          <w:szCs w:val="24"/>
          <w:color w:val="auto"/>
        </w:rPr>
      </w:pPr>
    </w:p>
    <w:p>
      <w:pPr>
        <w:ind w:right="340" w:firstLine="511"/>
        <w:spacing w:after="0" w:line="155" w:lineRule="exact"/>
        <w:rPr>
          <w:sz w:val="20"/>
          <w:szCs w:val="20"/>
          <w:color w:val="auto"/>
        </w:rPr>
      </w:pPr>
      <w:r>
        <w:rPr>
          <w:rFonts w:ascii="Calibri" w:cs="Calibri" w:eastAsia="Calibri" w:hAnsi="Calibri"/>
          <w:sz w:val="11"/>
          <w:szCs w:val="11"/>
          <w:color w:val="auto"/>
        </w:rPr>
        <w:t xml:space="preserve">Indicate by check mark whether the registrant has fled a report on and atestaton to its management’s assessment of the efectveness of its internal control over fnancial reportng under Secton 404(b) of the Sarbanes-Oxley Act (15 U.S.C. 7262(b)) by the registered public accountng frm that prepared or issued its audit report. </w:t>
      </w:r>
      <w:r>
        <w:rPr>
          <w:rFonts w:ascii="MS PGothic" w:cs="MS PGothic" w:eastAsia="MS PGothic" w:hAnsi="MS PGothic"/>
          <w:sz w:val="11"/>
          <w:szCs w:val="11"/>
          <w:color w:val="auto"/>
        </w:rPr>
        <w:t>☒</w:t>
      </w:r>
    </w:p>
    <w:p>
      <w:pPr>
        <w:spacing w:after="0" w:line="17" w:lineRule="exact"/>
        <w:rPr>
          <w:sz w:val="24"/>
          <w:szCs w:val="24"/>
          <w:color w:val="auto"/>
        </w:rPr>
      </w:pPr>
    </w:p>
    <w:p>
      <w:pPr>
        <w:ind w:left="500"/>
        <w:spacing w:after="0" w:line="135" w:lineRule="exact"/>
        <w:rPr>
          <w:sz w:val="20"/>
          <w:szCs w:val="20"/>
          <w:color w:val="auto"/>
        </w:rPr>
      </w:pPr>
      <w:r>
        <w:rPr>
          <w:rFonts w:ascii="Calibri" w:cs="Calibri" w:eastAsia="Calibri" w:hAnsi="Calibri"/>
          <w:sz w:val="11"/>
          <w:szCs w:val="11"/>
          <w:color w:val="auto"/>
        </w:rPr>
        <w:t xml:space="preserve">If securites are registered pursuant to Secton 12(b) of the Act, indicate by check mark whether the fnancial statements of the registrant included in the fling refect the correcton of an error to previously issued fnancial statements. </w:t>
      </w:r>
      <w:r>
        <w:rPr>
          <w:rFonts w:ascii="MS PGothic" w:cs="MS PGothic" w:eastAsia="MS PGothic" w:hAnsi="MS PGothic"/>
          <w:sz w:val="11"/>
          <w:szCs w:val="11"/>
          <w:color w:val="auto"/>
        </w:rPr>
        <w:t>☐</w:t>
      </w:r>
    </w:p>
    <w:p>
      <w:pPr>
        <w:spacing w:after="0" w:line="58" w:lineRule="exact"/>
        <w:rPr>
          <w:sz w:val="24"/>
          <w:szCs w:val="24"/>
          <w:color w:val="auto"/>
        </w:rPr>
      </w:pPr>
    </w:p>
    <w:p>
      <w:pPr>
        <w:ind w:right="120" w:firstLine="511"/>
        <w:spacing w:after="0" w:line="144" w:lineRule="exact"/>
        <w:rPr>
          <w:sz w:val="20"/>
          <w:szCs w:val="20"/>
          <w:color w:val="auto"/>
        </w:rPr>
      </w:pPr>
      <w:r>
        <w:rPr>
          <w:rFonts w:ascii="Calibri" w:cs="Calibri" w:eastAsia="Calibri" w:hAnsi="Calibri"/>
          <w:sz w:val="11"/>
          <w:szCs w:val="11"/>
          <w:color w:val="auto"/>
        </w:rPr>
        <w:t xml:space="preserve">Indicate by check mark whether any of those error correctons are restatements that required a recovery analysis of incentve-based compensaton received by any of the registrant’s executve oﬃcers during the relevant recovery period pursuant to §240.10D-1(b). </w:t>
      </w:r>
      <w:r>
        <w:rPr>
          <w:rFonts w:ascii="MS PGothic" w:cs="MS PGothic" w:eastAsia="MS PGothic" w:hAnsi="MS PGothic"/>
          <w:sz w:val="11"/>
          <w:szCs w:val="11"/>
          <w:color w:val="auto"/>
        </w:rPr>
        <w:t>☐</w:t>
      </w:r>
    </w:p>
    <w:p>
      <w:pPr>
        <w:ind w:left="500"/>
        <w:spacing w:after="0" w:line="135" w:lineRule="exact"/>
        <w:tabs>
          <w:tab w:leader="none" w:pos="5760" w:val="left"/>
        </w:tabs>
        <w:rPr>
          <w:sz w:val="20"/>
          <w:szCs w:val="20"/>
          <w:color w:val="auto"/>
        </w:rPr>
      </w:pPr>
      <w:r>
        <w:rPr>
          <w:rFonts w:ascii="Calibri" w:cs="Calibri" w:eastAsia="Calibri" w:hAnsi="Calibri"/>
          <w:sz w:val="11"/>
          <w:szCs w:val="11"/>
          <w:color w:val="auto"/>
        </w:rPr>
        <w:t xml:space="preserve">Indicate by check mark whether the registrant is a shell company (as defned in Rule 12b-2 of the Exchange Act). Yes </w:t>
      </w:r>
      <w:r>
        <w:rPr>
          <w:rFonts w:ascii="MS PGothic" w:cs="MS PGothic" w:eastAsia="MS PGothic" w:hAnsi="MS PGothic"/>
          <w:sz w:val="11"/>
          <w:szCs w:val="11"/>
          <w:color w:val="auto"/>
        </w:rPr>
        <w:t>☐</w:t>
      </w:r>
      <w:r>
        <w:rPr>
          <w:sz w:val="20"/>
          <w:szCs w:val="20"/>
          <w:color w:val="auto"/>
        </w:rPr>
        <w:tab/>
      </w:r>
      <w:r>
        <w:rPr>
          <w:rFonts w:ascii="Calibri" w:cs="Calibri" w:eastAsia="Calibri" w:hAnsi="Calibri"/>
          <w:sz w:val="10"/>
          <w:szCs w:val="10"/>
          <w:color w:val="auto"/>
        </w:rPr>
        <w:t xml:space="preserve">No </w:t>
      </w:r>
      <w:r>
        <w:rPr>
          <w:rFonts w:ascii="MS PGothic" w:cs="MS PGothic" w:eastAsia="MS PGothic" w:hAnsi="MS PGothic"/>
          <w:sz w:val="10"/>
          <w:szCs w:val="10"/>
          <w:color w:val="auto"/>
        </w:rPr>
        <w:t>☒</w:t>
      </w:r>
    </w:p>
    <w:p>
      <w:pPr>
        <w:spacing w:after="0" w:line="39" w:lineRule="exact"/>
        <w:rPr>
          <w:sz w:val="24"/>
          <w:szCs w:val="24"/>
          <w:color w:val="auto"/>
        </w:rPr>
      </w:pPr>
    </w:p>
    <w:p>
      <w:pPr>
        <w:jc w:val="both"/>
        <w:ind w:firstLine="511"/>
        <w:spacing w:after="0" w:line="226" w:lineRule="auto"/>
        <w:rPr>
          <w:sz w:val="20"/>
          <w:szCs w:val="20"/>
          <w:color w:val="auto"/>
        </w:rPr>
      </w:pPr>
      <w:r>
        <w:rPr>
          <w:rFonts w:ascii="Calibri" w:cs="Calibri" w:eastAsia="Calibri" w:hAnsi="Calibri"/>
          <w:sz w:val="11"/>
          <w:szCs w:val="11"/>
          <w:color w:val="auto"/>
        </w:rPr>
        <w:t>The aggregate market value of the registrant’s Class A common stock, par value $0.001 per share, held by non-afliates of the registrant based on the closing price of the registrant’s common stock as reported on the Nasdaq Global Select Market on June 30, 2023, was $1,289,254,386. Shares of votng and non-votng stock held by executve ofcers, directors, and holders of more than 10% of the outstanding stock as of such date have been excluded from this calculaton because such persons or insttutons may be deemed afliates. This determinaton of afliate status is not a conclusive determinaton for other purposes.</w:t>
      </w:r>
    </w:p>
    <w:p>
      <w:pPr>
        <w:spacing w:after="0" w:line="27" w:lineRule="exact"/>
        <w:rPr>
          <w:sz w:val="24"/>
          <w:szCs w:val="24"/>
          <w:color w:val="auto"/>
        </w:rPr>
      </w:pPr>
    </w:p>
    <w:p>
      <w:pPr>
        <w:ind w:left="500"/>
        <w:spacing w:after="0"/>
        <w:rPr>
          <w:sz w:val="20"/>
          <w:szCs w:val="20"/>
          <w:color w:val="auto"/>
        </w:rPr>
      </w:pPr>
      <w:r>
        <w:rPr>
          <w:rFonts w:ascii="Calibri" w:cs="Calibri" w:eastAsia="Calibri" w:hAnsi="Calibri"/>
          <w:sz w:val="11"/>
          <w:szCs w:val="11"/>
          <w:color w:val="auto"/>
        </w:rPr>
        <w:t>As of February 22, 2024, the registrant had 91,439,976 shares of Class A common stock, and 15,999,173 shares of Class B common stock, par value $0.001 per share, outstanding.</w:t>
      </w:r>
    </w:p>
    <w:p>
      <w:pPr>
        <w:spacing w:after="0" w:line="15" w:lineRule="exact"/>
        <w:rPr>
          <w:sz w:val="24"/>
          <w:szCs w:val="24"/>
          <w:color w:val="auto"/>
        </w:rPr>
      </w:pPr>
    </w:p>
    <w:p>
      <w:pPr>
        <w:ind w:left="4640"/>
        <w:spacing w:after="0"/>
        <w:rPr>
          <w:sz w:val="20"/>
          <w:szCs w:val="20"/>
          <w:color w:val="auto"/>
        </w:rPr>
      </w:pPr>
      <w:r>
        <w:rPr>
          <w:rFonts w:ascii="Calibri" w:cs="Calibri" w:eastAsia="Calibri" w:hAnsi="Calibri"/>
          <w:sz w:val="11"/>
          <w:szCs w:val="11"/>
          <w:b w:val="1"/>
          <w:bCs w:val="1"/>
          <w:color w:val="auto"/>
        </w:rPr>
        <w:t>DOCUMENTS INCORPORATED BY REFERENCE</w:t>
      </w:r>
    </w:p>
    <w:p>
      <w:pPr>
        <w:spacing w:after="0" w:line="35" w:lineRule="exact"/>
        <w:rPr>
          <w:sz w:val="24"/>
          <w:szCs w:val="24"/>
          <w:color w:val="auto"/>
        </w:rPr>
      </w:pPr>
    </w:p>
    <w:p>
      <w:pPr>
        <w:jc w:val="both"/>
        <w:ind w:right="20" w:firstLine="511"/>
        <w:spacing w:after="0" w:line="257" w:lineRule="auto"/>
        <w:rPr>
          <w:sz w:val="20"/>
          <w:szCs w:val="20"/>
          <w:color w:val="auto"/>
        </w:rPr>
      </w:pPr>
      <w:r>
        <w:rPr>
          <w:rFonts w:ascii="Calibri" w:cs="Calibri" w:eastAsia="Calibri" w:hAnsi="Calibri"/>
          <w:sz w:val="10"/>
          <w:szCs w:val="10"/>
          <w:color w:val="auto"/>
        </w:rPr>
        <w:t>Portons of the registrant’s defnitve Proxy Statement for its 2024 Annual Meetng of Stockholders are incorporated by reference in Part III of this Annual Report on Form 10-K. Such Proxy Statement will be fled with the U.S. Securites and Exchange Commission within 120 days afer the end of the fscal year to which this report relates. Except with respect to informaton specifcally incorporated by reference in this Form 10-K, the Proxy Statement is not deemed to be fled as part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572135</wp:posOffset>
            </wp:positionV>
            <wp:extent cx="7178040" cy="40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047"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83"/>
        </w:trPr>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740" w:type="dxa"/>
            <w:vAlign w:val="bottom"/>
            <w:gridSpan w:val="7"/>
          </w:tcPr>
          <w:p>
            <w:pPr>
              <w:ind w:left="360"/>
              <w:spacing w:after="0"/>
              <w:rPr>
                <w:sz w:val="20"/>
                <w:szCs w:val="20"/>
                <w:color w:val="auto"/>
              </w:rPr>
            </w:pPr>
            <w:r>
              <w:rPr>
                <w:rFonts w:ascii="Calibri" w:cs="Calibri" w:eastAsia="Calibri" w:hAnsi="Calibri"/>
                <w:sz w:val="15"/>
                <w:szCs w:val="15"/>
                <w:b w:val="1"/>
                <w:bCs w:val="1"/>
                <w:color w:val="auto"/>
              </w:rPr>
              <w:t>Table of Contents</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7"/>
        </w:trPr>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800" w:type="dxa"/>
            <w:vAlign w:val="bottom"/>
          </w:tcPr>
          <w:p>
            <w:pPr>
              <w:jc w:val="right"/>
              <w:ind w:right="204"/>
              <w:spacing w:after="0"/>
              <w:rPr>
                <w:sz w:val="20"/>
                <w:szCs w:val="20"/>
                <w:color w:val="auto"/>
              </w:rPr>
            </w:pPr>
            <w:r>
              <w:rPr>
                <w:rFonts w:ascii="Calibri" w:cs="Calibri" w:eastAsia="Calibri" w:hAnsi="Calibri"/>
                <w:sz w:val="12"/>
                <w:szCs w:val="12"/>
                <w:b w:val="1"/>
                <w:bCs w:val="1"/>
                <w:color w:val="auto"/>
              </w:rPr>
              <w:t>Page</w:t>
            </w:r>
          </w:p>
        </w:tc>
        <w:tc>
          <w:tcPr>
            <w:tcW w:w="0" w:type="dxa"/>
            <w:vAlign w:val="bottom"/>
          </w:tcPr>
          <w:p>
            <w:pPr>
              <w:spacing w:after="0"/>
              <w:rPr>
                <w:sz w:val="1"/>
                <w:szCs w:val="1"/>
                <w:color w:val="auto"/>
              </w:rPr>
            </w:pPr>
          </w:p>
        </w:tc>
      </w:tr>
      <w:tr>
        <w:trPr>
          <w:trHeight w:val="28"/>
        </w:trPr>
        <w:tc>
          <w:tcPr>
            <w:tcW w:w="400" w:type="dxa"/>
            <w:vAlign w:val="bottom"/>
            <w:vMerge w:val="restart"/>
          </w:tcPr>
          <w:p>
            <w:pPr>
              <w:spacing w:after="0" w:line="178" w:lineRule="exact"/>
              <w:rPr>
                <w:sz w:val="20"/>
                <w:szCs w:val="20"/>
                <w:color w:val="auto"/>
              </w:rPr>
            </w:pPr>
            <w:r>
              <w:rPr>
                <w:rFonts w:ascii="Calibri" w:cs="Calibri" w:eastAsia="Calibri" w:hAnsi="Calibri"/>
                <w:sz w:val="15"/>
                <w:szCs w:val="15"/>
                <w:b w:val="1"/>
                <w:bCs w:val="1"/>
                <w:color w:val="0000FF"/>
                <w:w w:val="94"/>
              </w:rPr>
              <w:t>PART I</w:t>
            </w: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5"/>
        </w:trPr>
        <w:tc>
          <w:tcPr>
            <w:tcW w:w="400" w:type="dxa"/>
            <w:vAlign w:val="bottom"/>
            <w:tcBorders>
              <w:bottom w:val="single" w:sz="8" w:color="0000EE"/>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00" w:type="dxa"/>
            <w:vAlign w:val="bottom"/>
          </w:tcPr>
          <w:p>
            <w:pPr>
              <w:jc w:val="center"/>
              <w:ind w:left="23"/>
              <w:spacing w:after="0" w:line="176" w:lineRule="exact"/>
              <w:rPr>
                <w:sz w:val="20"/>
                <w:szCs w:val="20"/>
                <w:color w:val="auto"/>
              </w:rPr>
            </w:pPr>
            <w:r>
              <w:rPr>
                <w:rFonts w:ascii="Calibri" w:cs="Calibri" w:eastAsia="Calibri" w:hAnsi="Calibri"/>
                <w:sz w:val="15"/>
                <w:szCs w:val="15"/>
                <w:color w:val="auto"/>
              </w:rPr>
              <w:t>Item</w:t>
            </w:r>
          </w:p>
        </w:tc>
        <w:tc>
          <w:tcPr>
            <w:tcW w:w="740" w:type="dxa"/>
            <w:vAlign w:val="bottom"/>
            <w:gridSpan w:val="3"/>
          </w:tcPr>
          <w:p>
            <w:pPr>
              <w:ind w:left="20"/>
              <w:spacing w:after="0" w:line="176" w:lineRule="exact"/>
              <w:rPr>
                <w:sz w:val="20"/>
                <w:szCs w:val="20"/>
                <w:color w:val="auto"/>
              </w:rPr>
            </w:pPr>
            <w:r>
              <w:rPr>
                <w:rFonts w:ascii="Calibri" w:cs="Calibri" w:eastAsia="Calibri" w:hAnsi="Calibri"/>
                <w:sz w:val="15"/>
                <w:szCs w:val="15"/>
                <w:color w:val="auto"/>
              </w:rPr>
              <w:t>1.</w:t>
            </w:r>
          </w:p>
        </w:tc>
        <w:tc>
          <w:tcPr>
            <w:tcW w:w="9320" w:type="dxa"/>
            <w:vAlign w:val="bottom"/>
            <w:gridSpan w:val="24"/>
          </w:tcPr>
          <w:p>
            <w:pPr>
              <w:spacing w:after="0" w:line="176" w:lineRule="exact"/>
              <w:rPr>
                <w:sz w:val="20"/>
                <w:szCs w:val="20"/>
                <w:color w:val="auto"/>
              </w:rPr>
            </w:pPr>
            <w:r>
              <w:rPr>
                <w:rFonts w:ascii="Calibri" w:cs="Calibri" w:eastAsia="Calibri" w:hAnsi="Calibri"/>
                <w:sz w:val="15"/>
                <w:szCs w:val="15"/>
                <w:color w:val="0000FF"/>
              </w:rPr>
              <w:t>Business</w:t>
            </w:r>
          </w:p>
        </w:tc>
        <w:tc>
          <w:tcPr>
            <w:tcW w:w="800" w:type="dxa"/>
            <w:vAlign w:val="bottom"/>
          </w:tcPr>
          <w:p>
            <w:pPr>
              <w:jc w:val="right"/>
              <w:spacing w:after="0" w:line="176" w:lineRule="exact"/>
              <w:rPr>
                <w:sz w:val="20"/>
                <w:szCs w:val="20"/>
                <w:color w:val="auto"/>
              </w:rPr>
            </w:pPr>
            <w:r>
              <w:rPr>
                <w:rFonts w:ascii="Calibri" w:cs="Calibri" w:eastAsia="Calibri" w:hAnsi="Calibri"/>
                <w:sz w:val="15"/>
                <w:szCs w:val="15"/>
                <w:color w:val="auto"/>
              </w:rPr>
              <w:t>3</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0" w:type="dxa"/>
            <w:vAlign w:val="bottom"/>
          </w:tcPr>
          <w:p>
            <w:pPr>
              <w:jc w:val="center"/>
              <w:ind w:left="23"/>
              <w:spacing w:after="0" w:line="176" w:lineRule="exact"/>
              <w:rPr>
                <w:sz w:val="20"/>
                <w:szCs w:val="20"/>
                <w:color w:val="auto"/>
              </w:rPr>
            </w:pPr>
            <w:r>
              <w:rPr>
                <w:rFonts w:ascii="Calibri" w:cs="Calibri" w:eastAsia="Calibri" w:hAnsi="Calibri"/>
                <w:sz w:val="15"/>
                <w:szCs w:val="15"/>
                <w:color w:val="auto"/>
              </w:rPr>
              <w:t>Item</w:t>
            </w:r>
          </w:p>
        </w:tc>
        <w:tc>
          <w:tcPr>
            <w:tcW w:w="740" w:type="dxa"/>
            <w:vAlign w:val="bottom"/>
            <w:gridSpan w:val="3"/>
          </w:tcPr>
          <w:p>
            <w:pPr>
              <w:ind w:left="20"/>
              <w:spacing w:after="0" w:line="176" w:lineRule="exact"/>
              <w:rPr>
                <w:sz w:val="20"/>
                <w:szCs w:val="20"/>
                <w:color w:val="auto"/>
              </w:rPr>
            </w:pPr>
            <w:r>
              <w:rPr>
                <w:rFonts w:ascii="Calibri" w:cs="Calibri" w:eastAsia="Calibri" w:hAnsi="Calibri"/>
                <w:sz w:val="15"/>
                <w:szCs w:val="15"/>
                <w:color w:val="auto"/>
              </w:rPr>
              <w:t>1A.</w:t>
            </w:r>
          </w:p>
        </w:tc>
        <w:tc>
          <w:tcPr>
            <w:tcW w:w="720" w:type="dxa"/>
            <w:vAlign w:val="bottom"/>
            <w:tcBorders>
              <w:bottom w:val="single" w:sz="8" w:color="0000EE"/>
            </w:tcBorders>
            <w:gridSpan w:val="4"/>
          </w:tcPr>
          <w:p>
            <w:pPr>
              <w:spacing w:after="0" w:line="176" w:lineRule="exact"/>
              <w:rPr>
                <w:sz w:val="20"/>
                <w:szCs w:val="20"/>
                <w:color w:val="auto"/>
              </w:rPr>
            </w:pPr>
            <w:r>
              <w:rPr>
                <w:rFonts w:ascii="Calibri" w:cs="Calibri" w:eastAsia="Calibri" w:hAnsi="Calibri"/>
                <w:sz w:val="15"/>
                <w:szCs w:val="15"/>
                <w:color w:val="0000FF"/>
                <w:w w:val="97"/>
              </w:rPr>
              <w:t>Risk Factors</w:t>
            </w:r>
          </w:p>
        </w:tc>
        <w:tc>
          <w:tcPr>
            <w:tcW w:w="8600" w:type="dxa"/>
            <w:vAlign w:val="bottom"/>
            <w:gridSpan w:val="20"/>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Calibri" w:cs="Calibri" w:eastAsia="Calibri" w:hAnsi="Calibri"/>
                <w:sz w:val="15"/>
                <w:szCs w:val="15"/>
                <w:color w:val="auto"/>
              </w:rPr>
              <w:t>24</w:t>
            </w:r>
          </w:p>
        </w:tc>
        <w:tc>
          <w:tcPr>
            <w:tcW w:w="0" w:type="dxa"/>
            <w:vAlign w:val="bottom"/>
          </w:tcPr>
          <w:p>
            <w:pPr>
              <w:spacing w:after="0"/>
              <w:rPr>
                <w:sz w:val="1"/>
                <w:szCs w:val="1"/>
                <w:color w:val="auto"/>
              </w:rPr>
            </w:pPr>
          </w:p>
        </w:tc>
      </w:tr>
      <w:tr>
        <w:trPr>
          <w:trHeight w:val="176"/>
        </w:trPr>
        <w:tc>
          <w:tcPr>
            <w:tcW w:w="400" w:type="dxa"/>
            <w:vAlign w:val="bottom"/>
          </w:tcPr>
          <w:p>
            <w:pPr>
              <w:jc w:val="center"/>
              <w:ind w:left="23"/>
              <w:spacing w:after="0" w:line="176" w:lineRule="exact"/>
              <w:rPr>
                <w:sz w:val="20"/>
                <w:szCs w:val="20"/>
                <w:color w:val="auto"/>
              </w:rPr>
            </w:pPr>
            <w:r>
              <w:rPr>
                <w:rFonts w:ascii="Calibri" w:cs="Calibri" w:eastAsia="Calibri" w:hAnsi="Calibri"/>
                <w:sz w:val="15"/>
                <w:szCs w:val="15"/>
                <w:color w:val="auto"/>
              </w:rPr>
              <w:t>Item</w:t>
            </w:r>
          </w:p>
        </w:tc>
        <w:tc>
          <w:tcPr>
            <w:tcW w:w="740" w:type="dxa"/>
            <w:vAlign w:val="bottom"/>
            <w:gridSpan w:val="3"/>
          </w:tcPr>
          <w:p>
            <w:pPr>
              <w:ind w:left="20"/>
              <w:spacing w:after="0" w:line="176" w:lineRule="exact"/>
              <w:rPr>
                <w:sz w:val="20"/>
                <w:szCs w:val="20"/>
                <w:color w:val="auto"/>
              </w:rPr>
            </w:pPr>
            <w:r>
              <w:rPr>
                <w:rFonts w:ascii="Calibri" w:cs="Calibri" w:eastAsia="Calibri" w:hAnsi="Calibri"/>
                <w:sz w:val="15"/>
                <w:szCs w:val="15"/>
                <w:color w:val="auto"/>
              </w:rPr>
              <w:t>1B.</w:t>
            </w:r>
          </w:p>
        </w:tc>
        <w:tc>
          <w:tcPr>
            <w:tcW w:w="1700" w:type="dxa"/>
            <w:vAlign w:val="bottom"/>
            <w:tcBorders>
              <w:bottom w:val="single" w:sz="8" w:color="0000EE"/>
            </w:tcBorders>
            <w:gridSpan w:val="12"/>
          </w:tcPr>
          <w:p>
            <w:pPr>
              <w:spacing w:after="0" w:line="176" w:lineRule="exact"/>
              <w:rPr>
                <w:sz w:val="20"/>
                <w:szCs w:val="20"/>
                <w:color w:val="auto"/>
              </w:rPr>
            </w:pPr>
            <w:r>
              <w:rPr>
                <w:rFonts w:ascii="Calibri" w:cs="Calibri" w:eastAsia="Calibri" w:hAnsi="Calibri"/>
                <w:sz w:val="15"/>
                <w:szCs w:val="15"/>
                <w:color w:val="0000FF"/>
              </w:rPr>
              <w:t>Unresolved Staf Comments</w:t>
            </w:r>
          </w:p>
        </w:tc>
        <w:tc>
          <w:tcPr>
            <w:tcW w:w="7620" w:type="dxa"/>
            <w:vAlign w:val="bottom"/>
            <w:gridSpan w:val="12"/>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Calibri" w:cs="Calibri" w:eastAsia="Calibri" w:hAnsi="Calibri"/>
                <w:sz w:val="15"/>
                <w:szCs w:val="15"/>
                <w:color w:val="auto"/>
              </w:rPr>
              <w:t>43</w:t>
            </w:r>
          </w:p>
        </w:tc>
        <w:tc>
          <w:tcPr>
            <w:tcW w:w="0" w:type="dxa"/>
            <w:vAlign w:val="bottom"/>
          </w:tcPr>
          <w:p>
            <w:pPr>
              <w:spacing w:after="0"/>
              <w:rPr>
                <w:sz w:val="1"/>
                <w:szCs w:val="1"/>
                <w:color w:val="auto"/>
              </w:rPr>
            </w:pPr>
          </w:p>
        </w:tc>
      </w:tr>
      <w:tr>
        <w:trPr>
          <w:trHeight w:val="176"/>
        </w:trPr>
        <w:tc>
          <w:tcPr>
            <w:tcW w:w="400" w:type="dxa"/>
            <w:vAlign w:val="bottom"/>
          </w:tcPr>
          <w:p>
            <w:pPr>
              <w:jc w:val="center"/>
              <w:ind w:left="23"/>
              <w:spacing w:after="0" w:line="176" w:lineRule="exact"/>
              <w:rPr>
                <w:sz w:val="20"/>
                <w:szCs w:val="20"/>
                <w:color w:val="auto"/>
              </w:rPr>
            </w:pPr>
            <w:r>
              <w:rPr>
                <w:rFonts w:ascii="Calibri" w:cs="Calibri" w:eastAsia="Calibri" w:hAnsi="Calibri"/>
                <w:sz w:val="15"/>
                <w:szCs w:val="15"/>
                <w:color w:val="auto"/>
              </w:rPr>
              <w:t>Item</w:t>
            </w:r>
          </w:p>
        </w:tc>
        <w:tc>
          <w:tcPr>
            <w:tcW w:w="740" w:type="dxa"/>
            <w:vAlign w:val="bottom"/>
            <w:gridSpan w:val="3"/>
          </w:tcPr>
          <w:p>
            <w:pPr>
              <w:ind w:left="20"/>
              <w:spacing w:after="0" w:line="176" w:lineRule="exact"/>
              <w:rPr>
                <w:sz w:val="20"/>
                <w:szCs w:val="20"/>
                <w:color w:val="auto"/>
              </w:rPr>
            </w:pPr>
            <w:r>
              <w:rPr>
                <w:rFonts w:ascii="Calibri" w:cs="Calibri" w:eastAsia="Calibri" w:hAnsi="Calibri"/>
                <w:sz w:val="15"/>
                <w:szCs w:val="15"/>
                <w:color w:val="auto"/>
              </w:rPr>
              <w:t>1C.</w:t>
            </w:r>
          </w:p>
        </w:tc>
        <w:tc>
          <w:tcPr>
            <w:tcW w:w="840" w:type="dxa"/>
            <w:vAlign w:val="bottom"/>
            <w:tcBorders>
              <w:bottom w:val="single" w:sz="8" w:color="0000EE"/>
            </w:tcBorders>
            <w:gridSpan w:val="5"/>
          </w:tcPr>
          <w:p>
            <w:pPr>
              <w:spacing w:after="0" w:line="176" w:lineRule="exact"/>
              <w:rPr>
                <w:sz w:val="20"/>
                <w:szCs w:val="20"/>
                <w:color w:val="auto"/>
              </w:rPr>
            </w:pPr>
            <w:r>
              <w:rPr>
                <w:rFonts w:ascii="Calibri" w:cs="Calibri" w:eastAsia="Calibri" w:hAnsi="Calibri"/>
                <w:sz w:val="15"/>
                <w:szCs w:val="15"/>
                <w:color w:val="0000FF"/>
                <w:w w:val="98"/>
              </w:rPr>
              <w:t>Cybersecurity</w:t>
            </w:r>
          </w:p>
        </w:tc>
        <w:tc>
          <w:tcPr>
            <w:tcW w:w="8480" w:type="dxa"/>
            <w:vAlign w:val="bottom"/>
            <w:gridSpan w:val="19"/>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Calibri" w:cs="Calibri" w:eastAsia="Calibri" w:hAnsi="Calibri"/>
                <w:sz w:val="15"/>
                <w:szCs w:val="15"/>
                <w:color w:val="auto"/>
              </w:rPr>
              <w:t>43</w:t>
            </w:r>
          </w:p>
        </w:tc>
        <w:tc>
          <w:tcPr>
            <w:tcW w:w="0" w:type="dxa"/>
            <w:vAlign w:val="bottom"/>
          </w:tcPr>
          <w:p>
            <w:pPr>
              <w:spacing w:after="0"/>
              <w:rPr>
                <w:sz w:val="1"/>
                <w:szCs w:val="1"/>
                <w:color w:val="auto"/>
              </w:rPr>
            </w:pPr>
          </w:p>
        </w:tc>
      </w:tr>
      <w:tr>
        <w:trPr>
          <w:trHeight w:val="176"/>
        </w:trPr>
        <w:tc>
          <w:tcPr>
            <w:tcW w:w="400" w:type="dxa"/>
            <w:vAlign w:val="bottom"/>
          </w:tcPr>
          <w:p>
            <w:pPr>
              <w:jc w:val="center"/>
              <w:ind w:left="23"/>
              <w:spacing w:after="0" w:line="176" w:lineRule="exact"/>
              <w:rPr>
                <w:sz w:val="20"/>
                <w:szCs w:val="20"/>
                <w:color w:val="auto"/>
              </w:rPr>
            </w:pPr>
            <w:r>
              <w:rPr>
                <w:rFonts w:ascii="Calibri" w:cs="Calibri" w:eastAsia="Calibri" w:hAnsi="Calibri"/>
                <w:sz w:val="15"/>
                <w:szCs w:val="15"/>
                <w:color w:val="auto"/>
              </w:rPr>
              <w:t>Item</w:t>
            </w:r>
          </w:p>
        </w:tc>
        <w:tc>
          <w:tcPr>
            <w:tcW w:w="740" w:type="dxa"/>
            <w:vAlign w:val="bottom"/>
            <w:gridSpan w:val="3"/>
          </w:tcPr>
          <w:p>
            <w:pPr>
              <w:ind w:left="20"/>
              <w:spacing w:after="0" w:line="176" w:lineRule="exact"/>
              <w:rPr>
                <w:sz w:val="20"/>
                <w:szCs w:val="20"/>
                <w:color w:val="auto"/>
              </w:rPr>
            </w:pPr>
            <w:r>
              <w:rPr>
                <w:rFonts w:ascii="Calibri" w:cs="Calibri" w:eastAsia="Calibri" w:hAnsi="Calibri"/>
                <w:sz w:val="15"/>
                <w:szCs w:val="15"/>
                <w:color w:val="auto"/>
              </w:rPr>
              <w:t>2.</w:t>
            </w:r>
          </w:p>
        </w:tc>
        <w:tc>
          <w:tcPr>
            <w:tcW w:w="640" w:type="dxa"/>
            <w:vAlign w:val="bottom"/>
            <w:tcBorders>
              <w:bottom w:val="single" w:sz="8" w:color="0000EE"/>
            </w:tcBorders>
            <w:gridSpan w:val="2"/>
          </w:tcPr>
          <w:p>
            <w:pPr>
              <w:spacing w:after="0" w:line="176" w:lineRule="exact"/>
              <w:rPr>
                <w:sz w:val="20"/>
                <w:szCs w:val="20"/>
                <w:color w:val="auto"/>
              </w:rPr>
            </w:pPr>
            <w:r>
              <w:rPr>
                <w:rFonts w:ascii="Calibri" w:cs="Calibri" w:eastAsia="Calibri" w:hAnsi="Calibri"/>
                <w:sz w:val="15"/>
                <w:szCs w:val="15"/>
                <w:color w:val="0000FF"/>
              </w:rPr>
              <w:t>Propertes</w:t>
            </w:r>
          </w:p>
        </w:tc>
        <w:tc>
          <w:tcPr>
            <w:tcW w:w="8680" w:type="dxa"/>
            <w:vAlign w:val="bottom"/>
            <w:gridSpan w:val="22"/>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Calibri" w:cs="Calibri" w:eastAsia="Calibri" w:hAnsi="Calibri"/>
                <w:sz w:val="15"/>
                <w:szCs w:val="15"/>
                <w:color w:val="auto"/>
              </w:rPr>
              <w:t>44</w:t>
            </w:r>
          </w:p>
        </w:tc>
        <w:tc>
          <w:tcPr>
            <w:tcW w:w="0" w:type="dxa"/>
            <w:vAlign w:val="bottom"/>
          </w:tcPr>
          <w:p>
            <w:pPr>
              <w:spacing w:after="0"/>
              <w:rPr>
                <w:sz w:val="1"/>
                <w:szCs w:val="1"/>
                <w:color w:val="auto"/>
              </w:rPr>
            </w:pPr>
          </w:p>
        </w:tc>
      </w:tr>
      <w:tr>
        <w:trPr>
          <w:trHeight w:val="176"/>
        </w:trPr>
        <w:tc>
          <w:tcPr>
            <w:tcW w:w="400" w:type="dxa"/>
            <w:vAlign w:val="bottom"/>
          </w:tcPr>
          <w:p>
            <w:pPr>
              <w:jc w:val="center"/>
              <w:ind w:left="23"/>
              <w:spacing w:after="0" w:line="176" w:lineRule="exact"/>
              <w:rPr>
                <w:sz w:val="20"/>
                <w:szCs w:val="20"/>
                <w:color w:val="auto"/>
              </w:rPr>
            </w:pPr>
            <w:r>
              <w:rPr>
                <w:rFonts w:ascii="Calibri" w:cs="Calibri" w:eastAsia="Calibri" w:hAnsi="Calibri"/>
                <w:sz w:val="15"/>
                <w:szCs w:val="15"/>
                <w:color w:val="auto"/>
              </w:rPr>
              <w:t>Item</w:t>
            </w:r>
          </w:p>
        </w:tc>
        <w:tc>
          <w:tcPr>
            <w:tcW w:w="740" w:type="dxa"/>
            <w:vAlign w:val="bottom"/>
            <w:gridSpan w:val="3"/>
          </w:tcPr>
          <w:p>
            <w:pPr>
              <w:ind w:left="20"/>
              <w:spacing w:after="0" w:line="176" w:lineRule="exact"/>
              <w:rPr>
                <w:sz w:val="20"/>
                <w:szCs w:val="20"/>
                <w:color w:val="auto"/>
              </w:rPr>
            </w:pPr>
            <w:r>
              <w:rPr>
                <w:rFonts w:ascii="Calibri" w:cs="Calibri" w:eastAsia="Calibri" w:hAnsi="Calibri"/>
                <w:sz w:val="15"/>
                <w:szCs w:val="15"/>
                <w:color w:val="auto"/>
              </w:rPr>
              <w:t>3.</w:t>
            </w:r>
          </w:p>
        </w:tc>
        <w:tc>
          <w:tcPr>
            <w:tcW w:w="9320" w:type="dxa"/>
            <w:vAlign w:val="bottom"/>
            <w:gridSpan w:val="24"/>
          </w:tcPr>
          <w:p>
            <w:pPr>
              <w:spacing w:after="0" w:line="176" w:lineRule="exact"/>
              <w:rPr>
                <w:sz w:val="20"/>
                <w:szCs w:val="20"/>
                <w:color w:val="auto"/>
              </w:rPr>
            </w:pPr>
            <w:r>
              <w:rPr>
                <w:rFonts w:ascii="Calibri" w:cs="Calibri" w:eastAsia="Calibri" w:hAnsi="Calibri"/>
                <w:sz w:val="15"/>
                <w:szCs w:val="15"/>
                <w:color w:val="0000FF"/>
              </w:rPr>
              <w:t>Legal Proceedings</w:t>
            </w:r>
          </w:p>
        </w:tc>
        <w:tc>
          <w:tcPr>
            <w:tcW w:w="800" w:type="dxa"/>
            <w:vAlign w:val="bottom"/>
          </w:tcPr>
          <w:p>
            <w:pPr>
              <w:jc w:val="right"/>
              <w:spacing w:after="0" w:line="176" w:lineRule="exact"/>
              <w:rPr>
                <w:sz w:val="20"/>
                <w:szCs w:val="20"/>
                <w:color w:val="auto"/>
              </w:rPr>
            </w:pPr>
            <w:r>
              <w:rPr>
                <w:rFonts w:ascii="Calibri" w:cs="Calibri" w:eastAsia="Calibri" w:hAnsi="Calibri"/>
                <w:sz w:val="15"/>
                <w:szCs w:val="15"/>
                <w:color w:val="auto"/>
              </w:rPr>
              <w:t>44</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0" w:type="dxa"/>
            <w:vAlign w:val="bottom"/>
          </w:tcPr>
          <w:p>
            <w:pPr>
              <w:jc w:val="center"/>
              <w:ind w:left="23"/>
              <w:spacing w:after="0" w:line="176" w:lineRule="exact"/>
              <w:rPr>
                <w:sz w:val="20"/>
                <w:szCs w:val="20"/>
                <w:color w:val="auto"/>
              </w:rPr>
            </w:pPr>
            <w:r>
              <w:rPr>
                <w:rFonts w:ascii="Calibri" w:cs="Calibri" w:eastAsia="Calibri" w:hAnsi="Calibri"/>
                <w:sz w:val="15"/>
                <w:szCs w:val="15"/>
                <w:color w:val="auto"/>
              </w:rPr>
              <w:t>Item</w:t>
            </w:r>
          </w:p>
        </w:tc>
        <w:tc>
          <w:tcPr>
            <w:tcW w:w="740" w:type="dxa"/>
            <w:vAlign w:val="bottom"/>
            <w:gridSpan w:val="3"/>
          </w:tcPr>
          <w:p>
            <w:pPr>
              <w:ind w:left="20"/>
              <w:spacing w:after="0" w:line="176" w:lineRule="exact"/>
              <w:rPr>
                <w:sz w:val="20"/>
                <w:szCs w:val="20"/>
                <w:color w:val="auto"/>
              </w:rPr>
            </w:pPr>
            <w:r>
              <w:rPr>
                <w:rFonts w:ascii="Calibri" w:cs="Calibri" w:eastAsia="Calibri" w:hAnsi="Calibri"/>
                <w:sz w:val="15"/>
                <w:szCs w:val="15"/>
                <w:color w:val="auto"/>
              </w:rPr>
              <w:t>4.</w:t>
            </w:r>
          </w:p>
        </w:tc>
        <w:tc>
          <w:tcPr>
            <w:tcW w:w="9320" w:type="dxa"/>
            <w:vAlign w:val="bottom"/>
            <w:gridSpan w:val="24"/>
          </w:tcPr>
          <w:p>
            <w:pPr>
              <w:spacing w:after="0" w:line="176" w:lineRule="exact"/>
              <w:rPr>
                <w:sz w:val="20"/>
                <w:szCs w:val="20"/>
                <w:color w:val="auto"/>
              </w:rPr>
            </w:pPr>
            <w:r>
              <w:rPr>
                <w:rFonts w:ascii="Calibri" w:cs="Calibri" w:eastAsia="Calibri" w:hAnsi="Calibri"/>
                <w:sz w:val="15"/>
                <w:szCs w:val="15"/>
                <w:color w:val="0000FF"/>
              </w:rPr>
              <w:t>Mine Safety Disclosures</w:t>
            </w:r>
          </w:p>
        </w:tc>
        <w:tc>
          <w:tcPr>
            <w:tcW w:w="800" w:type="dxa"/>
            <w:vAlign w:val="bottom"/>
          </w:tcPr>
          <w:p>
            <w:pPr>
              <w:jc w:val="right"/>
              <w:spacing w:after="0" w:line="176" w:lineRule="exact"/>
              <w:rPr>
                <w:sz w:val="20"/>
                <w:szCs w:val="20"/>
                <w:color w:val="auto"/>
              </w:rPr>
            </w:pPr>
            <w:r>
              <w:rPr>
                <w:rFonts w:ascii="Calibri" w:cs="Calibri" w:eastAsia="Calibri" w:hAnsi="Calibri"/>
                <w:sz w:val="15"/>
                <w:szCs w:val="15"/>
                <w:color w:val="auto"/>
              </w:rPr>
              <w:t>44</w:t>
            </w:r>
          </w:p>
        </w:tc>
        <w:tc>
          <w:tcPr>
            <w:tcW w:w="0" w:type="dxa"/>
            <w:vAlign w:val="bottom"/>
          </w:tcPr>
          <w:p>
            <w:pPr>
              <w:spacing w:after="0"/>
              <w:rPr>
                <w:sz w:val="1"/>
                <w:szCs w:val="1"/>
                <w:color w:val="auto"/>
              </w:rPr>
            </w:pPr>
          </w:p>
        </w:tc>
      </w:tr>
      <w:tr>
        <w:trPr>
          <w:trHeight w:val="302"/>
        </w:trPr>
        <w:tc>
          <w:tcPr>
            <w:tcW w:w="440" w:type="dxa"/>
            <w:vAlign w:val="bottom"/>
            <w:tcBorders>
              <w:bottom w:val="single" w:sz="8" w:color="0000EE"/>
            </w:tcBorders>
            <w:gridSpan w:val="2"/>
          </w:tcPr>
          <w:p>
            <w:pPr>
              <w:spacing w:after="0"/>
              <w:rPr>
                <w:sz w:val="20"/>
                <w:szCs w:val="20"/>
                <w:color w:val="auto"/>
              </w:rPr>
            </w:pPr>
            <w:r>
              <w:rPr>
                <w:rFonts w:ascii="Calibri" w:cs="Calibri" w:eastAsia="Calibri" w:hAnsi="Calibri"/>
                <w:sz w:val="15"/>
                <w:szCs w:val="15"/>
                <w:b w:val="1"/>
                <w:bCs w:val="1"/>
                <w:color w:val="0000FF"/>
                <w:w w:val="94"/>
              </w:rPr>
              <w:t>PART II</w:t>
            </w:r>
          </w:p>
        </w:tc>
        <w:tc>
          <w:tcPr>
            <w:tcW w:w="700" w:type="dxa"/>
            <w:vAlign w:val="bottom"/>
            <w:gridSpan w:val="2"/>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00" w:type="dxa"/>
            <w:vAlign w:val="bottom"/>
          </w:tcPr>
          <w:p>
            <w:pPr>
              <w:jc w:val="center"/>
              <w:ind w:left="23"/>
              <w:spacing w:after="0" w:line="176" w:lineRule="exact"/>
              <w:rPr>
                <w:sz w:val="20"/>
                <w:szCs w:val="20"/>
                <w:color w:val="auto"/>
              </w:rPr>
            </w:pPr>
            <w:r>
              <w:rPr>
                <w:rFonts w:ascii="Calibri" w:cs="Calibri" w:eastAsia="Calibri" w:hAnsi="Calibri"/>
                <w:sz w:val="15"/>
                <w:szCs w:val="15"/>
                <w:color w:val="auto"/>
              </w:rPr>
              <w:t>Item</w:t>
            </w:r>
          </w:p>
        </w:tc>
        <w:tc>
          <w:tcPr>
            <w:tcW w:w="740" w:type="dxa"/>
            <w:vAlign w:val="bottom"/>
            <w:gridSpan w:val="3"/>
          </w:tcPr>
          <w:p>
            <w:pPr>
              <w:ind w:left="20"/>
              <w:spacing w:after="0" w:line="176" w:lineRule="exact"/>
              <w:rPr>
                <w:sz w:val="20"/>
                <w:szCs w:val="20"/>
                <w:color w:val="auto"/>
              </w:rPr>
            </w:pPr>
            <w:r>
              <w:rPr>
                <w:rFonts w:ascii="Calibri" w:cs="Calibri" w:eastAsia="Calibri" w:hAnsi="Calibri"/>
                <w:sz w:val="15"/>
                <w:szCs w:val="15"/>
                <w:color w:val="auto"/>
              </w:rPr>
              <w:t>5.</w:t>
            </w:r>
          </w:p>
        </w:tc>
        <w:tc>
          <w:tcPr>
            <w:tcW w:w="9320" w:type="dxa"/>
            <w:vAlign w:val="bottom"/>
            <w:gridSpan w:val="24"/>
          </w:tcPr>
          <w:p>
            <w:pPr>
              <w:spacing w:after="0" w:line="176" w:lineRule="exact"/>
              <w:rPr>
                <w:sz w:val="20"/>
                <w:szCs w:val="20"/>
                <w:color w:val="auto"/>
              </w:rPr>
            </w:pPr>
            <w:r>
              <w:rPr>
                <w:rFonts w:ascii="Calibri" w:cs="Calibri" w:eastAsia="Calibri" w:hAnsi="Calibri"/>
                <w:sz w:val="15"/>
                <w:szCs w:val="15"/>
                <w:color w:val="0000FF"/>
              </w:rPr>
              <w:t>Market for Registrant’s Common Equity, Related Stockholder Maters and Issuer Purchases of Equity Securites</w:t>
            </w:r>
          </w:p>
        </w:tc>
        <w:tc>
          <w:tcPr>
            <w:tcW w:w="800" w:type="dxa"/>
            <w:vAlign w:val="bottom"/>
          </w:tcPr>
          <w:p>
            <w:pPr>
              <w:jc w:val="right"/>
              <w:spacing w:after="0" w:line="176" w:lineRule="exact"/>
              <w:rPr>
                <w:sz w:val="20"/>
                <w:szCs w:val="20"/>
                <w:color w:val="auto"/>
              </w:rPr>
            </w:pPr>
            <w:r>
              <w:rPr>
                <w:rFonts w:ascii="Calibri" w:cs="Calibri" w:eastAsia="Calibri" w:hAnsi="Calibri"/>
                <w:sz w:val="15"/>
                <w:szCs w:val="15"/>
                <w:color w:val="auto"/>
              </w:rPr>
              <w:t>45</w:t>
            </w:r>
          </w:p>
        </w:tc>
        <w:tc>
          <w:tcPr>
            <w:tcW w:w="0" w:type="dxa"/>
            <w:vAlign w:val="bottom"/>
          </w:tcPr>
          <w:p>
            <w:pPr>
              <w:spacing w:after="0"/>
              <w:rPr>
                <w:sz w:val="1"/>
                <w:szCs w:val="1"/>
                <w:color w:val="auto"/>
              </w:rPr>
            </w:pPr>
          </w:p>
        </w:tc>
      </w:tr>
      <w:tr>
        <w:trPr>
          <w:trHeight w:val="176"/>
        </w:trPr>
        <w:tc>
          <w:tcPr>
            <w:tcW w:w="400" w:type="dxa"/>
            <w:vAlign w:val="bottom"/>
          </w:tcPr>
          <w:p>
            <w:pPr>
              <w:jc w:val="center"/>
              <w:ind w:left="23"/>
              <w:spacing w:after="0" w:line="176" w:lineRule="exact"/>
              <w:rPr>
                <w:sz w:val="20"/>
                <w:szCs w:val="20"/>
                <w:color w:val="auto"/>
              </w:rPr>
            </w:pPr>
            <w:r>
              <w:rPr>
                <w:rFonts w:ascii="Calibri" w:cs="Calibri" w:eastAsia="Calibri" w:hAnsi="Calibri"/>
                <w:sz w:val="15"/>
                <w:szCs w:val="15"/>
                <w:color w:val="auto"/>
              </w:rPr>
              <w:t>Item</w:t>
            </w:r>
          </w:p>
        </w:tc>
        <w:tc>
          <w:tcPr>
            <w:tcW w:w="740" w:type="dxa"/>
            <w:vAlign w:val="bottom"/>
            <w:gridSpan w:val="3"/>
          </w:tcPr>
          <w:p>
            <w:pPr>
              <w:ind w:left="20"/>
              <w:spacing w:after="0" w:line="176" w:lineRule="exact"/>
              <w:rPr>
                <w:sz w:val="20"/>
                <w:szCs w:val="20"/>
                <w:color w:val="auto"/>
              </w:rPr>
            </w:pPr>
            <w:r>
              <w:rPr>
                <w:rFonts w:ascii="Calibri" w:cs="Calibri" w:eastAsia="Calibri" w:hAnsi="Calibri"/>
                <w:sz w:val="15"/>
                <w:szCs w:val="15"/>
                <w:color w:val="auto"/>
              </w:rPr>
              <w:t>6.</w:t>
            </w:r>
          </w:p>
        </w:tc>
        <w:tc>
          <w:tcPr>
            <w:tcW w:w="660" w:type="dxa"/>
            <w:vAlign w:val="bottom"/>
            <w:tcBorders>
              <w:top w:val="single" w:sz="8" w:color="0000EE"/>
              <w:bottom w:val="single" w:sz="8" w:color="0000EE"/>
            </w:tcBorders>
            <w:gridSpan w:val="3"/>
          </w:tcPr>
          <w:p>
            <w:pPr>
              <w:spacing w:after="0" w:line="176" w:lineRule="exact"/>
              <w:rPr>
                <w:sz w:val="20"/>
                <w:szCs w:val="20"/>
                <w:color w:val="auto"/>
              </w:rPr>
            </w:pPr>
            <w:r>
              <w:rPr>
                <w:rFonts w:ascii="Calibri" w:cs="Calibri" w:eastAsia="Calibri" w:hAnsi="Calibri"/>
                <w:sz w:val="15"/>
                <w:szCs w:val="15"/>
                <w:color w:val="0000FF"/>
                <w:w w:val="97"/>
              </w:rPr>
              <w:t>[Reserved]</w:t>
            </w:r>
          </w:p>
        </w:tc>
        <w:tc>
          <w:tcPr>
            <w:tcW w:w="6000" w:type="dxa"/>
            <w:vAlign w:val="bottom"/>
            <w:tcBorders>
              <w:top w:val="single" w:sz="8" w:color="0000EE"/>
            </w:tcBorders>
            <w:gridSpan w:val="20"/>
          </w:tcPr>
          <w:p>
            <w:pPr>
              <w:spacing w:after="0"/>
              <w:rPr>
                <w:sz w:val="15"/>
                <w:szCs w:val="15"/>
                <w:color w:val="auto"/>
              </w:rPr>
            </w:pPr>
          </w:p>
        </w:tc>
        <w:tc>
          <w:tcPr>
            <w:tcW w:w="266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Calibri" w:cs="Calibri" w:eastAsia="Calibri" w:hAnsi="Calibri"/>
                <w:sz w:val="15"/>
                <w:szCs w:val="15"/>
                <w:color w:val="auto"/>
              </w:rPr>
              <w:t>47</w:t>
            </w:r>
          </w:p>
        </w:tc>
        <w:tc>
          <w:tcPr>
            <w:tcW w:w="0" w:type="dxa"/>
            <w:vAlign w:val="bottom"/>
          </w:tcPr>
          <w:p>
            <w:pPr>
              <w:spacing w:after="0"/>
              <w:rPr>
                <w:sz w:val="1"/>
                <w:szCs w:val="1"/>
                <w:color w:val="auto"/>
              </w:rPr>
            </w:pPr>
          </w:p>
        </w:tc>
      </w:tr>
      <w:tr>
        <w:trPr>
          <w:trHeight w:val="176"/>
        </w:trPr>
        <w:tc>
          <w:tcPr>
            <w:tcW w:w="400" w:type="dxa"/>
            <w:vAlign w:val="bottom"/>
          </w:tcPr>
          <w:p>
            <w:pPr>
              <w:jc w:val="center"/>
              <w:ind w:left="23"/>
              <w:spacing w:after="0" w:line="176" w:lineRule="exact"/>
              <w:rPr>
                <w:sz w:val="20"/>
                <w:szCs w:val="20"/>
                <w:color w:val="auto"/>
              </w:rPr>
            </w:pPr>
            <w:r>
              <w:rPr>
                <w:rFonts w:ascii="Calibri" w:cs="Calibri" w:eastAsia="Calibri" w:hAnsi="Calibri"/>
                <w:sz w:val="15"/>
                <w:szCs w:val="15"/>
                <w:color w:val="auto"/>
              </w:rPr>
              <w:t>Item</w:t>
            </w:r>
          </w:p>
        </w:tc>
        <w:tc>
          <w:tcPr>
            <w:tcW w:w="740" w:type="dxa"/>
            <w:vAlign w:val="bottom"/>
            <w:gridSpan w:val="3"/>
          </w:tcPr>
          <w:p>
            <w:pPr>
              <w:ind w:left="20"/>
              <w:spacing w:after="0" w:line="176" w:lineRule="exact"/>
              <w:rPr>
                <w:sz w:val="20"/>
                <w:szCs w:val="20"/>
                <w:color w:val="auto"/>
              </w:rPr>
            </w:pPr>
            <w:r>
              <w:rPr>
                <w:rFonts w:ascii="Calibri" w:cs="Calibri" w:eastAsia="Calibri" w:hAnsi="Calibri"/>
                <w:sz w:val="15"/>
                <w:szCs w:val="15"/>
                <w:color w:val="auto"/>
              </w:rPr>
              <w:t>7.</w:t>
            </w:r>
          </w:p>
        </w:tc>
        <w:tc>
          <w:tcPr>
            <w:tcW w:w="9320" w:type="dxa"/>
            <w:vAlign w:val="bottom"/>
            <w:gridSpan w:val="24"/>
          </w:tcPr>
          <w:p>
            <w:pPr>
              <w:spacing w:after="0" w:line="176" w:lineRule="exact"/>
              <w:rPr>
                <w:sz w:val="20"/>
                <w:szCs w:val="20"/>
                <w:color w:val="auto"/>
              </w:rPr>
            </w:pPr>
            <w:r>
              <w:rPr>
                <w:rFonts w:ascii="Calibri" w:cs="Calibri" w:eastAsia="Calibri" w:hAnsi="Calibri"/>
                <w:sz w:val="15"/>
                <w:szCs w:val="15"/>
                <w:color w:val="0000FF"/>
              </w:rPr>
              <w:t>Management’s Discussion and Analysis of Financial Conditon and Results of Operatons</w:t>
            </w:r>
          </w:p>
        </w:tc>
        <w:tc>
          <w:tcPr>
            <w:tcW w:w="800" w:type="dxa"/>
            <w:vAlign w:val="bottom"/>
          </w:tcPr>
          <w:p>
            <w:pPr>
              <w:jc w:val="right"/>
              <w:spacing w:after="0" w:line="176" w:lineRule="exact"/>
              <w:rPr>
                <w:sz w:val="20"/>
                <w:szCs w:val="20"/>
                <w:color w:val="auto"/>
              </w:rPr>
            </w:pPr>
            <w:r>
              <w:rPr>
                <w:rFonts w:ascii="Calibri" w:cs="Calibri" w:eastAsia="Calibri" w:hAnsi="Calibri"/>
                <w:sz w:val="15"/>
                <w:szCs w:val="15"/>
                <w:color w:val="auto"/>
              </w:rPr>
              <w:t>48</w:t>
            </w:r>
          </w:p>
        </w:tc>
        <w:tc>
          <w:tcPr>
            <w:tcW w:w="0" w:type="dxa"/>
            <w:vAlign w:val="bottom"/>
          </w:tcPr>
          <w:p>
            <w:pPr>
              <w:spacing w:after="0"/>
              <w:rPr>
                <w:sz w:val="1"/>
                <w:szCs w:val="1"/>
                <w:color w:val="auto"/>
              </w:rPr>
            </w:pPr>
          </w:p>
        </w:tc>
      </w:tr>
      <w:tr>
        <w:trPr>
          <w:trHeight w:val="176"/>
        </w:trPr>
        <w:tc>
          <w:tcPr>
            <w:tcW w:w="400" w:type="dxa"/>
            <w:vAlign w:val="bottom"/>
          </w:tcPr>
          <w:p>
            <w:pPr>
              <w:jc w:val="center"/>
              <w:ind w:left="23"/>
              <w:spacing w:after="0" w:line="176" w:lineRule="exact"/>
              <w:rPr>
                <w:sz w:val="20"/>
                <w:szCs w:val="20"/>
                <w:color w:val="auto"/>
              </w:rPr>
            </w:pPr>
            <w:r>
              <w:rPr>
                <w:rFonts w:ascii="Calibri" w:cs="Calibri" w:eastAsia="Calibri" w:hAnsi="Calibri"/>
                <w:sz w:val="15"/>
                <w:szCs w:val="15"/>
                <w:color w:val="auto"/>
              </w:rPr>
              <w:t>Item</w:t>
            </w:r>
          </w:p>
        </w:tc>
        <w:tc>
          <w:tcPr>
            <w:tcW w:w="740" w:type="dxa"/>
            <w:vAlign w:val="bottom"/>
            <w:gridSpan w:val="3"/>
          </w:tcPr>
          <w:p>
            <w:pPr>
              <w:ind w:left="20"/>
              <w:spacing w:after="0" w:line="176" w:lineRule="exact"/>
              <w:rPr>
                <w:sz w:val="20"/>
                <w:szCs w:val="20"/>
                <w:color w:val="auto"/>
              </w:rPr>
            </w:pPr>
            <w:r>
              <w:rPr>
                <w:rFonts w:ascii="Calibri" w:cs="Calibri" w:eastAsia="Calibri" w:hAnsi="Calibri"/>
                <w:sz w:val="15"/>
                <w:szCs w:val="15"/>
                <w:color w:val="auto"/>
              </w:rPr>
              <w:t>7A.</w:t>
            </w:r>
          </w:p>
        </w:tc>
        <w:tc>
          <w:tcPr>
            <w:tcW w:w="5300" w:type="dxa"/>
            <w:vAlign w:val="bottom"/>
            <w:tcBorders>
              <w:top w:val="single" w:sz="8" w:color="0000EE"/>
            </w:tcBorders>
            <w:gridSpan w:val="20"/>
          </w:tcPr>
          <w:p>
            <w:pPr>
              <w:spacing w:after="0" w:line="176" w:lineRule="exact"/>
              <w:rPr>
                <w:sz w:val="20"/>
                <w:szCs w:val="20"/>
                <w:color w:val="auto"/>
              </w:rPr>
            </w:pPr>
            <w:r>
              <w:rPr>
                <w:rFonts w:ascii="Calibri" w:cs="Calibri" w:eastAsia="Calibri" w:hAnsi="Calibri"/>
                <w:sz w:val="15"/>
                <w:szCs w:val="15"/>
                <w:color w:val="0000FF"/>
              </w:rPr>
              <w:t>Quanttatve and Qualitatve Disclosures About Market Risk</w:t>
            </w:r>
          </w:p>
        </w:tc>
        <w:tc>
          <w:tcPr>
            <w:tcW w:w="4020" w:type="dxa"/>
            <w:vAlign w:val="bottom"/>
            <w:gridSpan w:val="4"/>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Calibri" w:cs="Calibri" w:eastAsia="Calibri" w:hAnsi="Calibri"/>
                <w:sz w:val="15"/>
                <w:szCs w:val="15"/>
                <w:color w:val="auto"/>
              </w:rPr>
              <w:t>76</w:t>
            </w:r>
          </w:p>
        </w:tc>
        <w:tc>
          <w:tcPr>
            <w:tcW w:w="0" w:type="dxa"/>
            <w:vAlign w:val="bottom"/>
          </w:tcPr>
          <w:p>
            <w:pPr>
              <w:spacing w:after="0"/>
              <w:rPr>
                <w:sz w:val="1"/>
                <w:szCs w:val="1"/>
                <w:color w:val="auto"/>
              </w:rPr>
            </w:pPr>
          </w:p>
        </w:tc>
      </w:tr>
      <w:tr>
        <w:trPr>
          <w:trHeight w:val="176"/>
        </w:trPr>
        <w:tc>
          <w:tcPr>
            <w:tcW w:w="400" w:type="dxa"/>
            <w:vAlign w:val="bottom"/>
          </w:tcPr>
          <w:p>
            <w:pPr>
              <w:jc w:val="center"/>
              <w:ind w:left="23"/>
              <w:spacing w:after="0" w:line="176" w:lineRule="exact"/>
              <w:rPr>
                <w:sz w:val="20"/>
                <w:szCs w:val="20"/>
                <w:color w:val="auto"/>
              </w:rPr>
            </w:pPr>
            <w:r>
              <w:rPr>
                <w:rFonts w:ascii="Calibri" w:cs="Calibri" w:eastAsia="Calibri" w:hAnsi="Calibri"/>
                <w:sz w:val="15"/>
                <w:szCs w:val="15"/>
                <w:color w:val="auto"/>
              </w:rPr>
              <w:t>Item</w:t>
            </w:r>
          </w:p>
        </w:tc>
        <w:tc>
          <w:tcPr>
            <w:tcW w:w="740" w:type="dxa"/>
            <w:vAlign w:val="bottom"/>
            <w:gridSpan w:val="3"/>
          </w:tcPr>
          <w:p>
            <w:pPr>
              <w:ind w:left="20"/>
              <w:spacing w:after="0" w:line="176" w:lineRule="exact"/>
              <w:rPr>
                <w:sz w:val="20"/>
                <w:szCs w:val="20"/>
                <w:color w:val="auto"/>
              </w:rPr>
            </w:pPr>
            <w:r>
              <w:rPr>
                <w:rFonts w:ascii="Calibri" w:cs="Calibri" w:eastAsia="Calibri" w:hAnsi="Calibri"/>
                <w:sz w:val="15"/>
                <w:szCs w:val="15"/>
                <w:color w:val="auto"/>
              </w:rPr>
              <w:t>8.</w:t>
            </w:r>
          </w:p>
        </w:tc>
        <w:tc>
          <w:tcPr>
            <w:tcW w:w="3580" w:type="dxa"/>
            <w:vAlign w:val="bottom"/>
            <w:tcBorders>
              <w:top w:val="single" w:sz="8" w:color="0000EE"/>
            </w:tcBorders>
            <w:gridSpan w:val="17"/>
          </w:tcPr>
          <w:p>
            <w:pPr>
              <w:spacing w:after="0" w:line="176" w:lineRule="exact"/>
              <w:rPr>
                <w:sz w:val="20"/>
                <w:szCs w:val="20"/>
                <w:color w:val="auto"/>
              </w:rPr>
            </w:pPr>
            <w:r>
              <w:rPr>
                <w:rFonts w:ascii="Calibri" w:cs="Calibri" w:eastAsia="Calibri" w:hAnsi="Calibri"/>
                <w:sz w:val="15"/>
                <w:szCs w:val="15"/>
                <w:color w:val="0000FF"/>
              </w:rPr>
              <w:t>Financial Statements and Supplementary Data</w:t>
            </w:r>
          </w:p>
        </w:tc>
        <w:tc>
          <w:tcPr>
            <w:tcW w:w="5740" w:type="dxa"/>
            <w:vAlign w:val="bottom"/>
            <w:gridSpan w:val="7"/>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Calibri" w:cs="Calibri" w:eastAsia="Calibri" w:hAnsi="Calibri"/>
                <w:sz w:val="15"/>
                <w:szCs w:val="15"/>
                <w:color w:val="auto"/>
              </w:rPr>
              <w:t>77</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gridSpan w:val="7"/>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0" w:type="dxa"/>
            <w:vAlign w:val="bottom"/>
          </w:tcPr>
          <w:p>
            <w:pPr>
              <w:jc w:val="center"/>
              <w:ind w:left="23"/>
              <w:spacing w:after="0" w:line="176" w:lineRule="exact"/>
              <w:rPr>
                <w:sz w:val="20"/>
                <w:szCs w:val="20"/>
                <w:color w:val="auto"/>
              </w:rPr>
            </w:pPr>
            <w:r>
              <w:rPr>
                <w:rFonts w:ascii="Calibri" w:cs="Calibri" w:eastAsia="Calibri" w:hAnsi="Calibri"/>
                <w:sz w:val="15"/>
                <w:szCs w:val="15"/>
                <w:color w:val="auto"/>
              </w:rPr>
              <w:t>Item</w:t>
            </w:r>
          </w:p>
        </w:tc>
        <w:tc>
          <w:tcPr>
            <w:tcW w:w="740" w:type="dxa"/>
            <w:vAlign w:val="bottom"/>
            <w:gridSpan w:val="3"/>
          </w:tcPr>
          <w:p>
            <w:pPr>
              <w:ind w:left="20"/>
              <w:spacing w:after="0" w:line="176" w:lineRule="exact"/>
              <w:rPr>
                <w:sz w:val="20"/>
                <w:szCs w:val="20"/>
                <w:color w:val="auto"/>
              </w:rPr>
            </w:pPr>
            <w:r>
              <w:rPr>
                <w:rFonts w:ascii="Calibri" w:cs="Calibri" w:eastAsia="Calibri" w:hAnsi="Calibri"/>
                <w:sz w:val="15"/>
                <w:szCs w:val="15"/>
                <w:color w:val="auto"/>
              </w:rPr>
              <w:t>9.</w:t>
            </w:r>
          </w:p>
        </w:tc>
        <w:tc>
          <w:tcPr>
            <w:tcW w:w="9320" w:type="dxa"/>
            <w:vAlign w:val="bottom"/>
            <w:gridSpan w:val="24"/>
          </w:tcPr>
          <w:p>
            <w:pPr>
              <w:spacing w:after="0" w:line="176" w:lineRule="exact"/>
              <w:rPr>
                <w:sz w:val="20"/>
                <w:szCs w:val="20"/>
                <w:color w:val="auto"/>
              </w:rPr>
            </w:pPr>
            <w:r>
              <w:rPr>
                <w:rFonts w:ascii="Calibri" w:cs="Calibri" w:eastAsia="Calibri" w:hAnsi="Calibri"/>
                <w:sz w:val="15"/>
                <w:szCs w:val="15"/>
                <w:color w:val="0000FF"/>
              </w:rPr>
              <w:t>Changes in and Disagreements with Accountants on Accountng and Financial Disclosure</w:t>
            </w:r>
          </w:p>
        </w:tc>
        <w:tc>
          <w:tcPr>
            <w:tcW w:w="800" w:type="dxa"/>
            <w:vAlign w:val="bottom"/>
          </w:tcPr>
          <w:p>
            <w:pPr>
              <w:jc w:val="right"/>
              <w:spacing w:after="0" w:line="176" w:lineRule="exact"/>
              <w:rPr>
                <w:sz w:val="20"/>
                <w:szCs w:val="20"/>
                <w:color w:val="auto"/>
              </w:rPr>
            </w:pPr>
            <w:r>
              <w:rPr>
                <w:rFonts w:ascii="Calibri" w:cs="Calibri" w:eastAsia="Calibri" w:hAnsi="Calibri"/>
                <w:sz w:val="15"/>
                <w:szCs w:val="15"/>
                <w:color w:val="auto"/>
              </w:rPr>
              <w:t>132</w:t>
            </w:r>
          </w:p>
        </w:tc>
        <w:tc>
          <w:tcPr>
            <w:tcW w:w="0" w:type="dxa"/>
            <w:vAlign w:val="bottom"/>
          </w:tcPr>
          <w:p>
            <w:pPr>
              <w:spacing w:after="0"/>
              <w:rPr>
                <w:sz w:val="1"/>
                <w:szCs w:val="1"/>
                <w:color w:val="auto"/>
              </w:rPr>
            </w:pPr>
          </w:p>
        </w:tc>
      </w:tr>
      <w:tr>
        <w:trPr>
          <w:trHeight w:val="176"/>
        </w:trPr>
        <w:tc>
          <w:tcPr>
            <w:tcW w:w="400" w:type="dxa"/>
            <w:vAlign w:val="bottom"/>
          </w:tcPr>
          <w:p>
            <w:pPr>
              <w:jc w:val="center"/>
              <w:ind w:left="23"/>
              <w:spacing w:after="0" w:line="176" w:lineRule="exact"/>
              <w:rPr>
                <w:sz w:val="20"/>
                <w:szCs w:val="20"/>
                <w:color w:val="auto"/>
              </w:rPr>
            </w:pPr>
            <w:r>
              <w:rPr>
                <w:rFonts w:ascii="Calibri" w:cs="Calibri" w:eastAsia="Calibri" w:hAnsi="Calibri"/>
                <w:sz w:val="15"/>
                <w:szCs w:val="15"/>
                <w:color w:val="auto"/>
              </w:rPr>
              <w:t>Item</w:t>
            </w:r>
          </w:p>
        </w:tc>
        <w:tc>
          <w:tcPr>
            <w:tcW w:w="740" w:type="dxa"/>
            <w:vAlign w:val="bottom"/>
            <w:gridSpan w:val="3"/>
          </w:tcPr>
          <w:p>
            <w:pPr>
              <w:ind w:left="20"/>
              <w:spacing w:after="0" w:line="176" w:lineRule="exact"/>
              <w:rPr>
                <w:sz w:val="20"/>
                <w:szCs w:val="20"/>
                <w:color w:val="auto"/>
              </w:rPr>
            </w:pPr>
            <w:r>
              <w:rPr>
                <w:rFonts w:ascii="Calibri" w:cs="Calibri" w:eastAsia="Calibri" w:hAnsi="Calibri"/>
                <w:sz w:val="15"/>
                <w:szCs w:val="15"/>
                <w:color w:val="auto"/>
              </w:rPr>
              <w:t>9A.</w:t>
            </w:r>
          </w:p>
        </w:tc>
        <w:tc>
          <w:tcPr>
            <w:tcW w:w="5340" w:type="dxa"/>
            <w:vAlign w:val="bottom"/>
            <w:tcBorders>
              <w:top w:val="single" w:sz="8" w:color="0000EE"/>
            </w:tcBorders>
            <w:gridSpan w:val="21"/>
          </w:tcPr>
          <w:p>
            <w:pPr>
              <w:spacing w:after="0" w:line="176" w:lineRule="exact"/>
              <w:rPr>
                <w:sz w:val="20"/>
                <w:szCs w:val="20"/>
                <w:color w:val="auto"/>
              </w:rPr>
            </w:pPr>
            <w:r>
              <w:rPr>
                <w:rFonts w:ascii="Calibri" w:cs="Calibri" w:eastAsia="Calibri" w:hAnsi="Calibri"/>
                <w:sz w:val="15"/>
                <w:szCs w:val="15"/>
                <w:color w:val="0000FF"/>
              </w:rPr>
              <w:t>Controls and Procedures</w:t>
            </w:r>
          </w:p>
        </w:tc>
        <w:tc>
          <w:tcPr>
            <w:tcW w:w="3980" w:type="dxa"/>
            <w:vAlign w:val="bottom"/>
            <w:gridSpan w:val="3"/>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Calibri" w:cs="Calibri" w:eastAsia="Calibri" w:hAnsi="Calibri"/>
                <w:sz w:val="15"/>
                <w:szCs w:val="15"/>
                <w:color w:val="auto"/>
              </w:rPr>
              <w:t>132</w:t>
            </w:r>
          </w:p>
        </w:tc>
        <w:tc>
          <w:tcPr>
            <w:tcW w:w="0" w:type="dxa"/>
            <w:vAlign w:val="bottom"/>
          </w:tcPr>
          <w:p>
            <w:pPr>
              <w:spacing w:after="0"/>
              <w:rPr>
                <w:sz w:val="1"/>
                <w:szCs w:val="1"/>
                <w:color w:val="auto"/>
              </w:rPr>
            </w:pPr>
          </w:p>
        </w:tc>
      </w:tr>
      <w:tr>
        <w:trPr>
          <w:trHeight w:val="176"/>
        </w:trPr>
        <w:tc>
          <w:tcPr>
            <w:tcW w:w="400" w:type="dxa"/>
            <w:vAlign w:val="bottom"/>
          </w:tcPr>
          <w:p>
            <w:pPr>
              <w:jc w:val="center"/>
              <w:ind w:left="23"/>
              <w:spacing w:after="0" w:line="176" w:lineRule="exact"/>
              <w:rPr>
                <w:sz w:val="20"/>
                <w:szCs w:val="20"/>
                <w:color w:val="auto"/>
              </w:rPr>
            </w:pPr>
            <w:r>
              <w:rPr>
                <w:rFonts w:ascii="Calibri" w:cs="Calibri" w:eastAsia="Calibri" w:hAnsi="Calibri"/>
                <w:sz w:val="15"/>
                <w:szCs w:val="15"/>
                <w:color w:val="auto"/>
              </w:rPr>
              <w:t>Item</w:t>
            </w:r>
          </w:p>
        </w:tc>
        <w:tc>
          <w:tcPr>
            <w:tcW w:w="740" w:type="dxa"/>
            <w:vAlign w:val="bottom"/>
            <w:gridSpan w:val="3"/>
          </w:tcPr>
          <w:p>
            <w:pPr>
              <w:ind w:left="20"/>
              <w:spacing w:after="0" w:line="176" w:lineRule="exact"/>
              <w:rPr>
                <w:sz w:val="20"/>
                <w:szCs w:val="20"/>
                <w:color w:val="auto"/>
              </w:rPr>
            </w:pPr>
            <w:r>
              <w:rPr>
                <w:rFonts w:ascii="Calibri" w:cs="Calibri" w:eastAsia="Calibri" w:hAnsi="Calibri"/>
                <w:sz w:val="15"/>
                <w:szCs w:val="15"/>
                <w:color w:val="auto"/>
              </w:rPr>
              <w:t>9B.</w:t>
            </w:r>
          </w:p>
        </w:tc>
        <w:tc>
          <w:tcPr>
            <w:tcW w:w="1120" w:type="dxa"/>
            <w:vAlign w:val="bottom"/>
            <w:tcBorders>
              <w:top w:val="single" w:sz="8" w:color="0000EE"/>
              <w:bottom w:val="single" w:sz="8" w:color="0000EE"/>
            </w:tcBorders>
            <w:gridSpan w:val="7"/>
          </w:tcPr>
          <w:p>
            <w:pPr>
              <w:spacing w:after="0" w:line="176" w:lineRule="exact"/>
              <w:rPr>
                <w:sz w:val="20"/>
                <w:szCs w:val="20"/>
                <w:color w:val="auto"/>
              </w:rPr>
            </w:pPr>
            <w:r>
              <w:rPr>
                <w:rFonts w:ascii="Calibri" w:cs="Calibri" w:eastAsia="Calibri" w:hAnsi="Calibri"/>
                <w:sz w:val="15"/>
                <w:szCs w:val="15"/>
                <w:color w:val="0000FF"/>
              </w:rPr>
              <w:t>Other Informaton</w:t>
            </w:r>
          </w:p>
        </w:tc>
        <w:tc>
          <w:tcPr>
            <w:tcW w:w="360" w:type="dxa"/>
            <w:vAlign w:val="bottom"/>
            <w:tcBorders>
              <w:top w:val="single" w:sz="8" w:color="0000EE"/>
            </w:tcBorders>
            <w:gridSpan w:val="3"/>
          </w:tcPr>
          <w:p>
            <w:pPr>
              <w:spacing w:after="0"/>
              <w:rPr>
                <w:sz w:val="15"/>
                <w:szCs w:val="15"/>
                <w:color w:val="auto"/>
              </w:rPr>
            </w:pPr>
          </w:p>
        </w:tc>
        <w:tc>
          <w:tcPr>
            <w:tcW w:w="7840" w:type="dxa"/>
            <w:vAlign w:val="bottom"/>
            <w:gridSpan w:val="14"/>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Calibri" w:cs="Calibri" w:eastAsia="Calibri" w:hAnsi="Calibri"/>
                <w:sz w:val="15"/>
                <w:szCs w:val="15"/>
                <w:color w:val="auto"/>
              </w:rPr>
              <w:t>137</w:t>
            </w:r>
          </w:p>
        </w:tc>
        <w:tc>
          <w:tcPr>
            <w:tcW w:w="0" w:type="dxa"/>
            <w:vAlign w:val="bottom"/>
          </w:tcPr>
          <w:p>
            <w:pPr>
              <w:spacing w:after="0"/>
              <w:rPr>
                <w:sz w:val="1"/>
                <w:szCs w:val="1"/>
                <w:color w:val="auto"/>
              </w:rPr>
            </w:pPr>
          </w:p>
        </w:tc>
      </w:tr>
      <w:tr>
        <w:trPr>
          <w:trHeight w:val="176"/>
        </w:trPr>
        <w:tc>
          <w:tcPr>
            <w:tcW w:w="400" w:type="dxa"/>
            <w:vAlign w:val="bottom"/>
          </w:tcPr>
          <w:p>
            <w:pPr>
              <w:jc w:val="center"/>
              <w:ind w:left="23"/>
              <w:spacing w:after="0" w:line="176" w:lineRule="exact"/>
              <w:rPr>
                <w:sz w:val="20"/>
                <w:szCs w:val="20"/>
                <w:color w:val="auto"/>
              </w:rPr>
            </w:pPr>
            <w:r>
              <w:rPr>
                <w:rFonts w:ascii="Calibri" w:cs="Calibri" w:eastAsia="Calibri" w:hAnsi="Calibri"/>
                <w:sz w:val="15"/>
                <w:szCs w:val="15"/>
                <w:color w:val="auto"/>
              </w:rPr>
              <w:t>Item</w:t>
            </w:r>
          </w:p>
        </w:tc>
        <w:tc>
          <w:tcPr>
            <w:tcW w:w="740" w:type="dxa"/>
            <w:vAlign w:val="bottom"/>
            <w:gridSpan w:val="3"/>
          </w:tcPr>
          <w:p>
            <w:pPr>
              <w:ind w:left="20"/>
              <w:spacing w:after="0" w:line="176" w:lineRule="exact"/>
              <w:rPr>
                <w:sz w:val="20"/>
                <w:szCs w:val="20"/>
                <w:color w:val="auto"/>
              </w:rPr>
            </w:pPr>
            <w:r>
              <w:rPr>
                <w:rFonts w:ascii="Calibri" w:cs="Calibri" w:eastAsia="Calibri" w:hAnsi="Calibri"/>
                <w:sz w:val="15"/>
                <w:szCs w:val="15"/>
                <w:color w:val="auto"/>
              </w:rPr>
              <w:t>9C.</w:t>
            </w:r>
          </w:p>
        </w:tc>
        <w:tc>
          <w:tcPr>
            <w:tcW w:w="9320" w:type="dxa"/>
            <w:vAlign w:val="bottom"/>
            <w:gridSpan w:val="24"/>
          </w:tcPr>
          <w:p>
            <w:pPr>
              <w:spacing w:after="0" w:line="176" w:lineRule="exact"/>
              <w:rPr>
                <w:sz w:val="20"/>
                <w:szCs w:val="20"/>
                <w:color w:val="auto"/>
              </w:rPr>
            </w:pPr>
            <w:r>
              <w:rPr>
                <w:rFonts w:ascii="Calibri" w:cs="Calibri" w:eastAsia="Calibri" w:hAnsi="Calibri"/>
                <w:sz w:val="15"/>
                <w:szCs w:val="15"/>
                <w:color w:val="0000FF"/>
              </w:rPr>
              <w:t>Disclosure Regarding Foreign Jurisdictons that Prevent Inspectons</w:t>
            </w:r>
          </w:p>
        </w:tc>
        <w:tc>
          <w:tcPr>
            <w:tcW w:w="800" w:type="dxa"/>
            <w:vAlign w:val="bottom"/>
          </w:tcPr>
          <w:p>
            <w:pPr>
              <w:jc w:val="right"/>
              <w:spacing w:after="0" w:line="176" w:lineRule="exact"/>
              <w:rPr>
                <w:sz w:val="20"/>
                <w:szCs w:val="20"/>
                <w:color w:val="auto"/>
              </w:rPr>
            </w:pPr>
            <w:r>
              <w:rPr>
                <w:rFonts w:ascii="Calibri" w:cs="Calibri" w:eastAsia="Calibri" w:hAnsi="Calibri"/>
                <w:sz w:val="15"/>
                <w:szCs w:val="15"/>
                <w:color w:val="auto"/>
              </w:rPr>
              <w:t>137</w:t>
            </w:r>
          </w:p>
        </w:tc>
        <w:tc>
          <w:tcPr>
            <w:tcW w:w="0" w:type="dxa"/>
            <w:vAlign w:val="bottom"/>
          </w:tcPr>
          <w:p>
            <w:pPr>
              <w:spacing w:after="0"/>
              <w:rPr>
                <w:sz w:val="1"/>
                <w:szCs w:val="1"/>
                <w:color w:val="auto"/>
              </w:rPr>
            </w:pPr>
          </w:p>
        </w:tc>
      </w:tr>
      <w:tr>
        <w:trPr>
          <w:trHeight w:val="302"/>
        </w:trPr>
        <w:tc>
          <w:tcPr>
            <w:tcW w:w="480" w:type="dxa"/>
            <w:vAlign w:val="bottom"/>
            <w:tcBorders>
              <w:bottom w:val="single" w:sz="8" w:color="0000EE"/>
            </w:tcBorders>
            <w:gridSpan w:val="3"/>
          </w:tcPr>
          <w:p>
            <w:pPr>
              <w:jc w:val="center"/>
              <w:spacing w:after="0"/>
              <w:rPr>
                <w:sz w:val="20"/>
                <w:szCs w:val="20"/>
                <w:color w:val="auto"/>
              </w:rPr>
            </w:pPr>
            <w:r>
              <w:rPr>
                <w:rFonts w:ascii="Calibri" w:cs="Calibri" w:eastAsia="Calibri" w:hAnsi="Calibri"/>
                <w:sz w:val="15"/>
                <w:szCs w:val="15"/>
                <w:b w:val="1"/>
                <w:bCs w:val="1"/>
                <w:color w:val="0000FF"/>
                <w:w w:val="99"/>
              </w:rPr>
              <w:t>PART III</w:t>
            </w:r>
          </w:p>
        </w:tc>
        <w:tc>
          <w:tcPr>
            <w:tcW w:w="66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00" w:type="dxa"/>
            <w:vAlign w:val="bottom"/>
          </w:tcPr>
          <w:p>
            <w:pPr>
              <w:jc w:val="center"/>
              <w:ind w:left="23"/>
              <w:spacing w:after="0" w:line="176" w:lineRule="exact"/>
              <w:rPr>
                <w:sz w:val="20"/>
                <w:szCs w:val="20"/>
                <w:color w:val="auto"/>
              </w:rPr>
            </w:pPr>
            <w:r>
              <w:rPr>
                <w:rFonts w:ascii="Calibri" w:cs="Calibri" w:eastAsia="Calibri" w:hAnsi="Calibri"/>
                <w:sz w:val="15"/>
                <w:szCs w:val="15"/>
                <w:color w:val="auto"/>
              </w:rPr>
              <w:t>Item</w:t>
            </w:r>
          </w:p>
        </w:tc>
        <w:tc>
          <w:tcPr>
            <w:tcW w:w="740" w:type="dxa"/>
            <w:vAlign w:val="bottom"/>
            <w:gridSpan w:val="3"/>
          </w:tcPr>
          <w:p>
            <w:pPr>
              <w:ind w:left="20"/>
              <w:spacing w:after="0" w:line="176" w:lineRule="exact"/>
              <w:rPr>
                <w:sz w:val="20"/>
                <w:szCs w:val="20"/>
                <w:color w:val="auto"/>
              </w:rPr>
            </w:pPr>
            <w:r>
              <w:rPr>
                <w:rFonts w:ascii="Calibri" w:cs="Calibri" w:eastAsia="Calibri" w:hAnsi="Calibri"/>
                <w:sz w:val="15"/>
                <w:szCs w:val="15"/>
                <w:color w:val="auto"/>
              </w:rPr>
              <w:t>10.</w:t>
            </w:r>
          </w:p>
        </w:tc>
        <w:tc>
          <w:tcPr>
            <w:tcW w:w="9320" w:type="dxa"/>
            <w:vAlign w:val="bottom"/>
            <w:gridSpan w:val="24"/>
          </w:tcPr>
          <w:p>
            <w:pPr>
              <w:spacing w:after="0" w:line="176" w:lineRule="exact"/>
              <w:rPr>
                <w:sz w:val="20"/>
                <w:szCs w:val="20"/>
                <w:color w:val="auto"/>
              </w:rPr>
            </w:pPr>
            <w:r>
              <w:rPr>
                <w:rFonts w:ascii="Calibri" w:cs="Calibri" w:eastAsia="Calibri" w:hAnsi="Calibri"/>
                <w:sz w:val="15"/>
                <w:szCs w:val="15"/>
                <w:color w:val="0000FF"/>
              </w:rPr>
              <w:t>Directors, Executve Ofcers and Corporate Governance</w:t>
            </w:r>
          </w:p>
        </w:tc>
        <w:tc>
          <w:tcPr>
            <w:tcW w:w="800" w:type="dxa"/>
            <w:vAlign w:val="bottom"/>
          </w:tcPr>
          <w:p>
            <w:pPr>
              <w:jc w:val="right"/>
              <w:spacing w:after="0" w:line="176" w:lineRule="exact"/>
              <w:rPr>
                <w:sz w:val="20"/>
                <w:szCs w:val="20"/>
                <w:color w:val="auto"/>
              </w:rPr>
            </w:pPr>
            <w:r>
              <w:rPr>
                <w:rFonts w:ascii="Calibri" w:cs="Calibri" w:eastAsia="Calibri" w:hAnsi="Calibri"/>
                <w:sz w:val="15"/>
                <w:szCs w:val="15"/>
                <w:color w:val="auto"/>
              </w:rPr>
              <w:t>138</w:t>
            </w:r>
          </w:p>
        </w:tc>
        <w:tc>
          <w:tcPr>
            <w:tcW w:w="0" w:type="dxa"/>
            <w:vAlign w:val="bottom"/>
          </w:tcPr>
          <w:p>
            <w:pPr>
              <w:spacing w:after="0"/>
              <w:rPr>
                <w:sz w:val="1"/>
                <w:szCs w:val="1"/>
                <w:color w:val="auto"/>
              </w:rPr>
            </w:pPr>
          </w:p>
        </w:tc>
      </w:tr>
      <w:tr>
        <w:trPr>
          <w:trHeight w:val="176"/>
        </w:trPr>
        <w:tc>
          <w:tcPr>
            <w:tcW w:w="400" w:type="dxa"/>
            <w:vAlign w:val="bottom"/>
          </w:tcPr>
          <w:p>
            <w:pPr>
              <w:jc w:val="center"/>
              <w:ind w:left="23"/>
              <w:spacing w:after="0" w:line="176" w:lineRule="exact"/>
              <w:rPr>
                <w:sz w:val="20"/>
                <w:szCs w:val="20"/>
                <w:color w:val="auto"/>
              </w:rPr>
            </w:pPr>
            <w:r>
              <w:rPr>
                <w:rFonts w:ascii="Calibri" w:cs="Calibri" w:eastAsia="Calibri" w:hAnsi="Calibri"/>
                <w:sz w:val="15"/>
                <w:szCs w:val="15"/>
                <w:color w:val="auto"/>
              </w:rPr>
              <w:t>Item</w:t>
            </w:r>
          </w:p>
        </w:tc>
        <w:tc>
          <w:tcPr>
            <w:tcW w:w="740" w:type="dxa"/>
            <w:vAlign w:val="bottom"/>
            <w:gridSpan w:val="3"/>
          </w:tcPr>
          <w:p>
            <w:pPr>
              <w:ind w:left="20"/>
              <w:spacing w:after="0" w:line="176" w:lineRule="exact"/>
              <w:rPr>
                <w:sz w:val="20"/>
                <w:szCs w:val="20"/>
                <w:color w:val="auto"/>
              </w:rPr>
            </w:pPr>
            <w:r>
              <w:rPr>
                <w:rFonts w:ascii="Calibri" w:cs="Calibri" w:eastAsia="Calibri" w:hAnsi="Calibri"/>
                <w:sz w:val="15"/>
                <w:szCs w:val="15"/>
                <w:color w:val="auto"/>
              </w:rPr>
              <w:t>11.</w:t>
            </w:r>
          </w:p>
        </w:tc>
        <w:tc>
          <w:tcPr>
            <w:tcW w:w="1500" w:type="dxa"/>
            <w:vAlign w:val="bottom"/>
            <w:tcBorders>
              <w:top w:val="single" w:sz="8" w:color="0000EE"/>
              <w:bottom w:val="single" w:sz="8" w:color="0000EE"/>
            </w:tcBorders>
            <w:gridSpan w:val="11"/>
          </w:tcPr>
          <w:p>
            <w:pPr>
              <w:spacing w:after="0" w:line="176" w:lineRule="exact"/>
              <w:rPr>
                <w:sz w:val="20"/>
                <w:szCs w:val="20"/>
                <w:color w:val="auto"/>
              </w:rPr>
            </w:pPr>
            <w:r>
              <w:rPr>
                <w:rFonts w:ascii="Calibri" w:cs="Calibri" w:eastAsia="Calibri" w:hAnsi="Calibri"/>
                <w:sz w:val="15"/>
                <w:szCs w:val="15"/>
                <w:color w:val="0000FF"/>
              </w:rPr>
              <w:t>Executve Compensaton</w:t>
            </w:r>
          </w:p>
        </w:tc>
        <w:tc>
          <w:tcPr>
            <w:tcW w:w="1860" w:type="dxa"/>
            <w:vAlign w:val="bottom"/>
            <w:tcBorders>
              <w:top w:val="single" w:sz="8" w:color="0000EE"/>
            </w:tcBorders>
            <w:gridSpan w:val="5"/>
          </w:tcPr>
          <w:p>
            <w:pPr>
              <w:spacing w:after="0"/>
              <w:rPr>
                <w:sz w:val="15"/>
                <w:szCs w:val="15"/>
                <w:color w:val="auto"/>
              </w:rPr>
            </w:pPr>
          </w:p>
        </w:tc>
        <w:tc>
          <w:tcPr>
            <w:tcW w:w="5960" w:type="dxa"/>
            <w:vAlign w:val="bottom"/>
            <w:gridSpan w:val="8"/>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Calibri" w:cs="Calibri" w:eastAsia="Calibri" w:hAnsi="Calibri"/>
                <w:sz w:val="15"/>
                <w:szCs w:val="15"/>
                <w:color w:val="auto"/>
              </w:rPr>
              <w:t>138</w:t>
            </w:r>
          </w:p>
        </w:tc>
        <w:tc>
          <w:tcPr>
            <w:tcW w:w="0" w:type="dxa"/>
            <w:vAlign w:val="bottom"/>
          </w:tcPr>
          <w:p>
            <w:pPr>
              <w:spacing w:after="0"/>
              <w:rPr>
                <w:sz w:val="1"/>
                <w:szCs w:val="1"/>
                <w:color w:val="auto"/>
              </w:rPr>
            </w:pPr>
          </w:p>
        </w:tc>
      </w:tr>
      <w:tr>
        <w:trPr>
          <w:trHeight w:val="176"/>
        </w:trPr>
        <w:tc>
          <w:tcPr>
            <w:tcW w:w="400" w:type="dxa"/>
            <w:vAlign w:val="bottom"/>
          </w:tcPr>
          <w:p>
            <w:pPr>
              <w:jc w:val="center"/>
              <w:ind w:left="23"/>
              <w:spacing w:after="0" w:line="176" w:lineRule="exact"/>
              <w:rPr>
                <w:sz w:val="20"/>
                <w:szCs w:val="20"/>
                <w:color w:val="auto"/>
              </w:rPr>
            </w:pPr>
            <w:r>
              <w:rPr>
                <w:rFonts w:ascii="Calibri" w:cs="Calibri" w:eastAsia="Calibri" w:hAnsi="Calibri"/>
                <w:sz w:val="15"/>
                <w:szCs w:val="15"/>
                <w:color w:val="auto"/>
              </w:rPr>
              <w:t>Item</w:t>
            </w:r>
          </w:p>
        </w:tc>
        <w:tc>
          <w:tcPr>
            <w:tcW w:w="740" w:type="dxa"/>
            <w:vAlign w:val="bottom"/>
            <w:gridSpan w:val="3"/>
          </w:tcPr>
          <w:p>
            <w:pPr>
              <w:ind w:left="20"/>
              <w:spacing w:after="0" w:line="176" w:lineRule="exact"/>
              <w:rPr>
                <w:sz w:val="20"/>
                <w:szCs w:val="20"/>
                <w:color w:val="auto"/>
              </w:rPr>
            </w:pPr>
            <w:r>
              <w:rPr>
                <w:rFonts w:ascii="Calibri" w:cs="Calibri" w:eastAsia="Calibri" w:hAnsi="Calibri"/>
                <w:sz w:val="15"/>
                <w:szCs w:val="15"/>
                <w:color w:val="auto"/>
              </w:rPr>
              <w:t>12.</w:t>
            </w:r>
          </w:p>
        </w:tc>
        <w:tc>
          <w:tcPr>
            <w:tcW w:w="6080" w:type="dxa"/>
            <w:vAlign w:val="bottom"/>
            <w:tcBorders>
              <w:bottom w:val="single" w:sz="8" w:color="0000EE"/>
            </w:tcBorders>
            <w:gridSpan w:val="22"/>
          </w:tcPr>
          <w:p>
            <w:pPr>
              <w:spacing w:after="0" w:line="176" w:lineRule="exact"/>
              <w:rPr>
                <w:sz w:val="20"/>
                <w:szCs w:val="20"/>
                <w:color w:val="auto"/>
              </w:rPr>
            </w:pPr>
            <w:r>
              <w:rPr>
                <w:rFonts w:ascii="Calibri" w:cs="Calibri" w:eastAsia="Calibri" w:hAnsi="Calibri"/>
                <w:sz w:val="15"/>
                <w:szCs w:val="15"/>
                <w:color w:val="0000FF"/>
              </w:rPr>
              <w:t>Security Ownership of Certain Benefcial Owners and Management and Related Stockholder Maters</w:t>
            </w:r>
          </w:p>
        </w:tc>
        <w:tc>
          <w:tcPr>
            <w:tcW w:w="3240" w:type="dxa"/>
            <w:vAlign w:val="bottom"/>
            <w:gridSpan w:val="2"/>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Calibri" w:cs="Calibri" w:eastAsia="Calibri" w:hAnsi="Calibri"/>
                <w:sz w:val="15"/>
                <w:szCs w:val="15"/>
                <w:color w:val="auto"/>
              </w:rPr>
              <w:t>138</w:t>
            </w:r>
          </w:p>
        </w:tc>
        <w:tc>
          <w:tcPr>
            <w:tcW w:w="0" w:type="dxa"/>
            <w:vAlign w:val="bottom"/>
          </w:tcPr>
          <w:p>
            <w:pPr>
              <w:spacing w:after="0"/>
              <w:rPr>
                <w:sz w:val="1"/>
                <w:szCs w:val="1"/>
                <w:color w:val="auto"/>
              </w:rPr>
            </w:pPr>
          </w:p>
        </w:tc>
      </w:tr>
      <w:tr>
        <w:trPr>
          <w:trHeight w:val="176"/>
        </w:trPr>
        <w:tc>
          <w:tcPr>
            <w:tcW w:w="400" w:type="dxa"/>
            <w:vAlign w:val="bottom"/>
          </w:tcPr>
          <w:p>
            <w:pPr>
              <w:jc w:val="center"/>
              <w:ind w:left="23"/>
              <w:spacing w:after="0" w:line="176" w:lineRule="exact"/>
              <w:rPr>
                <w:sz w:val="20"/>
                <w:szCs w:val="20"/>
                <w:color w:val="auto"/>
              </w:rPr>
            </w:pPr>
            <w:r>
              <w:rPr>
                <w:rFonts w:ascii="Calibri" w:cs="Calibri" w:eastAsia="Calibri" w:hAnsi="Calibri"/>
                <w:sz w:val="15"/>
                <w:szCs w:val="15"/>
                <w:color w:val="auto"/>
              </w:rPr>
              <w:t>Item</w:t>
            </w:r>
          </w:p>
        </w:tc>
        <w:tc>
          <w:tcPr>
            <w:tcW w:w="740" w:type="dxa"/>
            <w:vAlign w:val="bottom"/>
            <w:gridSpan w:val="3"/>
          </w:tcPr>
          <w:p>
            <w:pPr>
              <w:ind w:left="20"/>
              <w:spacing w:after="0" w:line="176" w:lineRule="exact"/>
              <w:rPr>
                <w:sz w:val="20"/>
                <w:szCs w:val="20"/>
                <w:color w:val="auto"/>
              </w:rPr>
            </w:pPr>
            <w:r>
              <w:rPr>
                <w:rFonts w:ascii="Calibri" w:cs="Calibri" w:eastAsia="Calibri" w:hAnsi="Calibri"/>
                <w:sz w:val="15"/>
                <w:szCs w:val="15"/>
                <w:color w:val="auto"/>
              </w:rPr>
              <w:t>13.</w:t>
            </w:r>
          </w:p>
        </w:tc>
        <w:tc>
          <w:tcPr>
            <w:tcW w:w="4560" w:type="dxa"/>
            <w:vAlign w:val="bottom"/>
            <w:tcBorders>
              <w:bottom w:val="single" w:sz="8" w:color="0000EE"/>
            </w:tcBorders>
            <w:gridSpan w:val="19"/>
          </w:tcPr>
          <w:p>
            <w:pPr>
              <w:spacing w:after="0" w:line="176" w:lineRule="exact"/>
              <w:rPr>
                <w:sz w:val="20"/>
                <w:szCs w:val="20"/>
                <w:color w:val="auto"/>
              </w:rPr>
            </w:pPr>
            <w:r>
              <w:rPr>
                <w:rFonts w:ascii="Calibri" w:cs="Calibri" w:eastAsia="Calibri" w:hAnsi="Calibri"/>
                <w:sz w:val="15"/>
                <w:szCs w:val="15"/>
                <w:color w:val="0000FF"/>
              </w:rPr>
              <w:t>Certain Relatonships and Related Transactons, and Director Independence</w:t>
            </w:r>
          </w:p>
        </w:tc>
        <w:tc>
          <w:tcPr>
            <w:tcW w:w="4760" w:type="dxa"/>
            <w:vAlign w:val="bottom"/>
            <w:gridSpan w:val="5"/>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Calibri" w:cs="Calibri" w:eastAsia="Calibri" w:hAnsi="Calibri"/>
                <w:sz w:val="15"/>
                <w:szCs w:val="15"/>
                <w:color w:val="auto"/>
              </w:rPr>
              <w:t>138</w:t>
            </w:r>
          </w:p>
        </w:tc>
        <w:tc>
          <w:tcPr>
            <w:tcW w:w="0" w:type="dxa"/>
            <w:vAlign w:val="bottom"/>
          </w:tcPr>
          <w:p>
            <w:pPr>
              <w:spacing w:after="0"/>
              <w:rPr>
                <w:sz w:val="1"/>
                <w:szCs w:val="1"/>
                <w:color w:val="auto"/>
              </w:rPr>
            </w:pPr>
          </w:p>
        </w:tc>
      </w:tr>
      <w:tr>
        <w:trPr>
          <w:trHeight w:val="176"/>
        </w:trPr>
        <w:tc>
          <w:tcPr>
            <w:tcW w:w="400" w:type="dxa"/>
            <w:vAlign w:val="bottom"/>
          </w:tcPr>
          <w:p>
            <w:pPr>
              <w:jc w:val="center"/>
              <w:ind w:left="23"/>
              <w:spacing w:after="0" w:line="176" w:lineRule="exact"/>
              <w:rPr>
                <w:sz w:val="20"/>
                <w:szCs w:val="20"/>
                <w:color w:val="auto"/>
              </w:rPr>
            </w:pPr>
            <w:r>
              <w:rPr>
                <w:rFonts w:ascii="Calibri" w:cs="Calibri" w:eastAsia="Calibri" w:hAnsi="Calibri"/>
                <w:sz w:val="15"/>
                <w:szCs w:val="15"/>
                <w:color w:val="auto"/>
              </w:rPr>
              <w:t>Item</w:t>
            </w:r>
          </w:p>
        </w:tc>
        <w:tc>
          <w:tcPr>
            <w:tcW w:w="740" w:type="dxa"/>
            <w:vAlign w:val="bottom"/>
            <w:gridSpan w:val="3"/>
          </w:tcPr>
          <w:p>
            <w:pPr>
              <w:ind w:left="20"/>
              <w:spacing w:after="0" w:line="176" w:lineRule="exact"/>
              <w:rPr>
                <w:sz w:val="20"/>
                <w:szCs w:val="20"/>
                <w:color w:val="auto"/>
              </w:rPr>
            </w:pPr>
            <w:r>
              <w:rPr>
                <w:rFonts w:ascii="Calibri" w:cs="Calibri" w:eastAsia="Calibri" w:hAnsi="Calibri"/>
                <w:sz w:val="15"/>
                <w:szCs w:val="15"/>
                <w:color w:val="auto"/>
              </w:rPr>
              <w:t>14.</w:t>
            </w:r>
          </w:p>
        </w:tc>
        <w:tc>
          <w:tcPr>
            <w:tcW w:w="9320" w:type="dxa"/>
            <w:vAlign w:val="bottom"/>
            <w:gridSpan w:val="24"/>
          </w:tcPr>
          <w:p>
            <w:pPr>
              <w:spacing w:after="0" w:line="176" w:lineRule="exact"/>
              <w:rPr>
                <w:sz w:val="20"/>
                <w:szCs w:val="20"/>
                <w:color w:val="auto"/>
              </w:rPr>
            </w:pPr>
            <w:r>
              <w:rPr>
                <w:rFonts w:ascii="Calibri" w:cs="Calibri" w:eastAsia="Calibri" w:hAnsi="Calibri"/>
                <w:sz w:val="15"/>
                <w:szCs w:val="15"/>
                <w:color w:val="0000FF"/>
              </w:rPr>
              <w:t>Principal Accountant Fees and Services</w:t>
            </w:r>
          </w:p>
        </w:tc>
        <w:tc>
          <w:tcPr>
            <w:tcW w:w="800" w:type="dxa"/>
            <w:vAlign w:val="bottom"/>
          </w:tcPr>
          <w:p>
            <w:pPr>
              <w:jc w:val="right"/>
              <w:spacing w:after="0" w:line="176" w:lineRule="exact"/>
              <w:rPr>
                <w:sz w:val="20"/>
                <w:szCs w:val="20"/>
                <w:color w:val="auto"/>
              </w:rPr>
            </w:pPr>
            <w:r>
              <w:rPr>
                <w:rFonts w:ascii="Calibri" w:cs="Calibri" w:eastAsia="Calibri" w:hAnsi="Calibri"/>
                <w:sz w:val="15"/>
                <w:szCs w:val="15"/>
                <w:color w:val="auto"/>
              </w:rPr>
              <w:t>138</w:t>
            </w:r>
          </w:p>
        </w:tc>
        <w:tc>
          <w:tcPr>
            <w:tcW w:w="0" w:type="dxa"/>
            <w:vAlign w:val="bottom"/>
          </w:tcPr>
          <w:p>
            <w:pPr>
              <w:spacing w:after="0"/>
              <w:rPr>
                <w:sz w:val="1"/>
                <w:szCs w:val="1"/>
                <w:color w:val="auto"/>
              </w:rPr>
            </w:pPr>
          </w:p>
        </w:tc>
      </w:tr>
      <w:tr>
        <w:trPr>
          <w:trHeight w:val="302"/>
        </w:trPr>
        <w:tc>
          <w:tcPr>
            <w:tcW w:w="1140" w:type="dxa"/>
            <w:vAlign w:val="bottom"/>
            <w:gridSpan w:val="4"/>
          </w:tcPr>
          <w:p>
            <w:pPr>
              <w:jc w:val="center"/>
              <w:ind w:right="660"/>
              <w:spacing w:after="0"/>
              <w:rPr>
                <w:sz w:val="20"/>
                <w:szCs w:val="20"/>
                <w:color w:val="auto"/>
              </w:rPr>
            </w:pPr>
            <w:r>
              <w:rPr>
                <w:rFonts w:ascii="Calibri" w:cs="Calibri" w:eastAsia="Calibri" w:hAnsi="Calibri"/>
                <w:sz w:val="15"/>
                <w:szCs w:val="15"/>
                <w:b w:val="1"/>
                <w:bCs w:val="1"/>
                <w:color w:val="0000FF"/>
                <w:w w:val="97"/>
              </w:rPr>
              <w:t>PART IV</w:t>
            </w:r>
          </w:p>
        </w:tc>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40" w:type="dxa"/>
            <w:vAlign w:val="bottom"/>
            <w:gridSpan w:val="8"/>
          </w:tcPr>
          <w:p>
            <w:pPr>
              <w:spacing w:after="0" w:line="20" w:lineRule="exact"/>
              <w:rPr>
                <w:sz w:val="1"/>
                <w:szCs w:val="1"/>
                <w:color w:val="auto"/>
              </w:rPr>
            </w:pPr>
          </w:p>
        </w:tc>
        <w:tc>
          <w:tcPr>
            <w:tcW w:w="1380" w:type="dxa"/>
            <w:vAlign w:val="bottom"/>
            <w:gridSpan w:val="6"/>
          </w:tcPr>
          <w:p>
            <w:pPr>
              <w:spacing w:after="0" w:line="20" w:lineRule="exact"/>
              <w:rPr>
                <w:sz w:val="1"/>
                <w:szCs w:val="1"/>
                <w:color w:val="auto"/>
              </w:rPr>
            </w:pPr>
          </w:p>
        </w:tc>
        <w:tc>
          <w:tcPr>
            <w:tcW w:w="6700" w:type="dxa"/>
            <w:vAlign w:val="bottom"/>
            <w:gridSpan w:val="1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0" w:type="dxa"/>
            <w:vAlign w:val="bottom"/>
          </w:tcPr>
          <w:p>
            <w:pPr>
              <w:jc w:val="center"/>
              <w:ind w:left="23"/>
              <w:spacing w:after="0" w:line="176" w:lineRule="exact"/>
              <w:rPr>
                <w:sz w:val="20"/>
                <w:szCs w:val="20"/>
                <w:color w:val="auto"/>
              </w:rPr>
            </w:pPr>
            <w:r>
              <w:rPr>
                <w:rFonts w:ascii="Calibri" w:cs="Calibri" w:eastAsia="Calibri" w:hAnsi="Calibri"/>
                <w:sz w:val="15"/>
                <w:szCs w:val="15"/>
                <w:color w:val="auto"/>
              </w:rPr>
              <w:t>Item</w:t>
            </w:r>
          </w:p>
        </w:tc>
        <w:tc>
          <w:tcPr>
            <w:tcW w:w="740" w:type="dxa"/>
            <w:vAlign w:val="bottom"/>
            <w:gridSpan w:val="3"/>
          </w:tcPr>
          <w:p>
            <w:pPr>
              <w:ind w:left="20"/>
              <w:spacing w:after="0" w:line="176" w:lineRule="exact"/>
              <w:rPr>
                <w:sz w:val="20"/>
                <w:szCs w:val="20"/>
                <w:color w:val="auto"/>
              </w:rPr>
            </w:pPr>
            <w:r>
              <w:rPr>
                <w:rFonts w:ascii="Calibri" w:cs="Calibri" w:eastAsia="Calibri" w:hAnsi="Calibri"/>
                <w:sz w:val="15"/>
                <w:szCs w:val="15"/>
                <w:color w:val="auto"/>
              </w:rPr>
              <w:t>15.</w:t>
            </w:r>
          </w:p>
        </w:tc>
        <w:tc>
          <w:tcPr>
            <w:tcW w:w="2620" w:type="dxa"/>
            <w:vAlign w:val="bottom"/>
            <w:tcBorders>
              <w:bottom w:val="single" w:sz="8" w:color="0000EE"/>
            </w:tcBorders>
            <w:gridSpan w:val="14"/>
          </w:tcPr>
          <w:p>
            <w:pPr>
              <w:spacing w:after="0" w:line="176" w:lineRule="exact"/>
              <w:rPr>
                <w:sz w:val="20"/>
                <w:szCs w:val="20"/>
                <w:color w:val="auto"/>
              </w:rPr>
            </w:pPr>
            <w:r>
              <w:rPr>
                <w:rFonts w:ascii="Calibri" w:cs="Calibri" w:eastAsia="Calibri" w:hAnsi="Calibri"/>
                <w:sz w:val="15"/>
                <w:szCs w:val="15"/>
                <w:color w:val="0000FF"/>
                <w:w w:val="99"/>
              </w:rPr>
              <w:t>Exhibits and Financial Statement Schedules</w:t>
            </w:r>
          </w:p>
        </w:tc>
        <w:tc>
          <w:tcPr>
            <w:tcW w:w="6700" w:type="dxa"/>
            <w:vAlign w:val="bottom"/>
            <w:gridSpan w:val="10"/>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Calibri" w:cs="Calibri" w:eastAsia="Calibri" w:hAnsi="Calibri"/>
                <w:sz w:val="15"/>
                <w:szCs w:val="15"/>
                <w:color w:val="auto"/>
              </w:rPr>
              <w:t>139</w:t>
            </w:r>
          </w:p>
        </w:tc>
        <w:tc>
          <w:tcPr>
            <w:tcW w:w="0" w:type="dxa"/>
            <w:vAlign w:val="bottom"/>
          </w:tcPr>
          <w:p>
            <w:pPr>
              <w:spacing w:after="0"/>
              <w:rPr>
                <w:sz w:val="1"/>
                <w:szCs w:val="1"/>
                <w:color w:val="auto"/>
              </w:rPr>
            </w:pPr>
          </w:p>
        </w:tc>
      </w:tr>
      <w:tr>
        <w:trPr>
          <w:trHeight w:val="176"/>
        </w:trPr>
        <w:tc>
          <w:tcPr>
            <w:tcW w:w="400" w:type="dxa"/>
            <w:vAlign w:val="bottom"/>
          </w:tcPr>
          <w:p>
            <w:pPr>
              <w:jc w:val="center"/>
              <w:ind w:left="23"/>
              <w:spacing w:after="0" w:line="176" w:lineRule="exact"/>
              <w:rPr>
                <w:sz w:val="20"/>
                <w:szCs w:val="20"/>
                <w:color w:val="auto"/>
              </w:rPr>
            </w:pPr>
            <w:r>
              <w:rPr>
                <w:rFonts w:ascii="Calibri" w:cs="Calibri" w:eastAsia="Calibri" w:hAnsi="Calibri"/>
                <w:sz w:val="15"/>
                <w:szCs w:val="15"/>
                <w:color w:val="auto"/>
              </w:rPr>
              <w:t>Item</w:t>
            </w:r>
          </w:p>
        </w:tc>
        <w:tc>
          <w:tcPr>
            <w:tcW w:w="740" w:type="dxa"/>
            <w:vAlign w:val="bottom"/>
            <w:gridSpan w:val="3"/>
          </w:tcPr>
          <w:p>
            <w:pPr>
              <w:ind w:left="20"/>
              <w:spacing w:after="0" w:line="176" w:lineRule="exact"/>
              <w:rPr>
                <w:sz w:val="20"/>
                <w:szCs w:val="20"/>
                <w:color w:val="auto"/>
              </w:rPr>
            </w:pPr>
            <w:r>
              <w:rPr>
                <w:rFonts w:ascii="Calibri" w:cs="Calibri" w:eastAsia="Calibri" w:hAnsi="Calibri"/>
                <w:sz w:val="15"/>
                <w:szCs w:val="15"/>
                <w:color w:val="auto"/>
              </w:rPr>
              <w:t>16.</w:t>
            </w:r>
          </w:p>
        </w:tc>
        <w:tc>
          <w:tcPr>
            <w:tcW w:w="9320" w:type="dxa"/>
            <w:vAlign w:val="bottom"/>
            <w:gridSpan w:val="24"/>
          </w:tcPr>
          <w:p>
            <w:pPr>
              <w:spacing w:after="0" w:line="176" w:lineRule="exact"/>
              <w:rPr>
                <w:sz w:val="20"/>
                <w:szCs w:val="20"/>
                <w:color w:val="auto"/>
              </w:rPr>
            </w:pPr>
            <w:r>
              <w:rPr>
                <w:rFonts w:ascii="Calibri" w:cs="Calibri" w:eastAsia="Calibri" w:hAnsi="Calibri"/>
                <w:sz w:val="15"/>
                <w:szCs w:val="15"/>
                <w:color w:val="0000FF"/>
              </w:rPr>
              <w:t>Form 10-K Summary</w:t>
            </w:r>
          </w:p>
        </w:tc>
        <w:tc>
          <w:tcPr>
            <w:tcW w:w="800" w:type="dxa"/>
            <w:vAlign w:val="bottom"/>
          </w:tcPr>
          <w:p>
            <w:pPr>
              <w:jc w:val="right"/>
              <w:spacing w:after="0" w:line="176" w:lineRule="exact"/>
              <w:rPr>
                <w:sz w:val="20"/>
                <w:szCs w:val="20"/>
                <w:color w:val="auto"/>
              </w:rPr>
            </w:pPr>
            <w:r>
              <w:rPr>
                <w:rFonts w:ascii="Calibri" w:cs="Calibri" w:eastAsia="Calibri" w:hAnsi="Calibri"/>
                <w:sz w:val="15"/>
                <w:szCs w:val="15"/>
                <w:color w:val="auto"/>
              </w:rPr>
              <w:t>139</w:t>
            </w:r>
          </w:p>
        </w:tc>
        <w:tc>
          <w:tcPr>
            <w:tcW w:w="0" w:type="dxa"/>
            <w:vAlign w:val="bottom"/>
          </w:tcPr>
          <w:p>
            <w:pPr>
              <w:spacing w:after="0"/>
              <w:rPr>
                <w:sz w:val="1"/>
                <w:szCs w:val="1"/>
                <w:color w:val="auto"/>
              </w:rPr>
            </w:pPr>
          </w:p>
        </w:tc>
      </w:tr>
      <w:tr>
        <w:trPr>
          <w:trHeight w:val="1145"/>
        </w:trPr>
        <w:tc>
          <w:tcPr>
            <w:tcW w:w="4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520" w:type="dxa"/>
            <w:vAlign w:val="bottom"/>
            <w:tcBorders>
              <w:top w:val="single" w:sz="8" w:color="0000EE"/>
              <w:bottom w:val="single" w:sz="8" w:color="9A9A9A"/>
            </w:tcBorders>
          </w:tcPr>
          <w:p>
            <w:pPr>
              <w:spacing w:after="0"/>
              <w:rPr>
                <w:sz w:val="24"/>
                <w:szCs w:val="24"/>
                <w:color w:val="auto"/>
              </w:rPr>
            </w:pPr>
          </w:p>
        </w:tc>
        <w:tc>
          <w:tcPr>
            <w:tcW w:w="12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120" w:type="dxa"/>
            <w:vAlign w:val="bottom"/>
            <w:tcBorders>
              <w:top w:val="single" w:sz="8" w:color="0000EE"/>
              <w:bottom w:val="single" w:sz="8" w:color="9A9A9A"/>
            </w:tcBorders>
          </w:tcPr>
          <w:p>
            <w:pPr>
              <w:spacing w:after="0"/>
              <w:rPr>
                <w:sz w:val="24"/>
                <w:szCs w:val="24"/>
                <w:color w:val="auto"/>
              </w:rPr>
            </w:pPr>
          </w:p>
        </w:tc>
        <w:tc>
          <w:tcPr>
            <w:tcW w:w="24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120" w:type="dxa"/>
            <w:vAlign w:val="bottom"/>
            <w:tcBorders>
              <w:top w:val="single" w:sz="8" w:color="0000EE"/>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-26670</wp:posOffset>
            </wp:positionV>
            <wp:extent cx="33020" cy="400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949" w:right="319" w:bottom="1440" w:gutter="0" w:footer="0" w:header="0"/>
        </w:sectPr>
      </w:pPr>
    </w:p>
    <w:bookmarkStart w:id="2" w:name="page3"/>
    <w:bookmarkEnd w:id="2"/>
    <w:p>
      <w:pPr>
        <w:jc w:val="center"/>
        <w:spacing w:after="0"/>
        <w:rPr>
          <w:sz w:val="20"/>
          <w:szCs w:val="20"/>
          <w:color w:val="auto"/>
        </w:rPr>
      </w:pPr>
      <w:r>
        <w:rPr>
          <w:rFonts w:ascii="Calibri" w:cs="Calibri" w:eastAsia="Calibri" w:hAnsi="Calibri"/>
          <w:sz w:val="15"/>
          <w:szCs w:val="15"/>
          <w:b w:val="1"/>
          <w:bCs w:val="1"/>
          <w:color w:val="auto"/>
        </w:rPr>
        <w:t>SPECIAL NOTE REGARDING FORWARD-LOOKING STATEMENTS</w:t>
      </w:r>
    </w:p>
    <w:p>
      <w:pPr>
        <w:spacing w:after="0" w:line="93" w:lineRule="exact"/>
        <w:rPr>
          <w:sz w:val="20"/>
          <w:szCs w:val="20"/>
          <w:color w:val="auto"/>
        </w:rPr>
      </w:pPr>
    </w:p>
    <w:p>
      <w:pPr>
        <w:jc w:val="both"/>
        <w:ind w:firstLine="511"/>
        <w:spacing w:after="0" w:line="307" w:lineRule="auto"/>
        <w:rPr>
          <w:sz w:val="20"/>
          <w:szCs w:val="20"/>
          <w:color w:val="auto"/>
        </w:rPr>
      </w:pPr>
      <w:r>
        <w:rPr>
          <w:rFonts w:ascii="MS PGothic" w:cs="MS PGothic" w:eastAsia="MS PGothic" w:hAnsi="MS PGothic"/>
          <w:sz w:val="15"/>
          <w:szCs w:val="15"/>
          <w:color w:val="auto"/>
        </w:rPr>
        <w:t>This Annual Report on Form 10-K, or Annual Report, contains forward‑looking statements within the meaning of the federal securites laws, which statements involve substantal risks and uncertaintes. Forward‑looking statements generally relate to future events or our future fnancial or operatng performance. In some cases, you can identfy forward‑looking statements because they contain words such as “aim,” “antcipates,” “believes,” “could,” “estmates,” “expects,” “goal,” “intends,” “may,” “might,” “plans,” “potental,” “predicts,” “projects,” “seeks,” “should,” “target,” “will,” “would,” or similar expressions and the negatves of those terms. Forward-looking statements contained in this Annual Report include statements about:</w:t>
      </w:r>
    </w:p>
    <w:p>
      <w:pPr>
        <w:spacing w:after="0" w:line="65" w:lineRule="exact"/>
        <w:rPr>
          <w:sz w:val="20"/>
          <w:szCs w:val="20"/>
          <w:color w:val="auto"/>
        </w:rPr>
      </w:pPr>
    </w:p>
    <w:p>
      <w:pPr>
        <w:ind w:left="1020" w:right="20" w:hanging="518"/>
        <w:spacing w:after="0" w:line="311" w:lineRule="auto"/>
        <w:tabs>
          <w:tab w:leader="none" w:pos="1020" w:val="left"/>
        </w:tabs>
        <w:numPr>
          <w:ilvl w:val="0"/>
          <w:numId w:val="2"/>
        </w:numPr>
        <w:rPr>
          <w:rFonts w:ascii="Times New Roman" w:cs="Times New Roman" w:eastAsia="Times New Roman" w:hAnsi="Times New Roman"/>
          <w:sz w:val="15"/>
          <w:szCs w:val="15"/>
          <w:color w:val="auto"/>
        </w:rPr>
      </w:pPr>
      <w:r>
        <w:rPr>
          <w:rFonts w:ascii="MS PGothic" w:cs="MS PGothic" w:eastAsia="MS PGothic" w:hAnsi="MS PGothic"/>
          <w:sz w:val="15"/>
          <w:szCs w:val="15"/>
          <w:color w:val="auto"/>
        </w:rPr>
        <w:t>our future fnancial performance, including our expectatons regarding our revenue, cost of revenue, gross proft or gross margin, operatng expenses, ability to generate cash fow, and ability to achieve and maintain future proftability;</w:t>
      </w:r>
    </w:p>
    <w:p>
      <w:pPr>
        <w:spacing w:after="0" w:line="53" w:lineRule="exact"/>
        <w:rPr>
          <w:rFonts w:ascii="Times New Roman" w:cs="Times New Roman" w:eastAsia="Times New Roman" w:hAnsi="Times New Roman"/>
          <w:sz w:val="15"/>
          <w:szCs w:val="15"/>
          <w:color w:val="auto"/>
        </w:rPr>
      </w:pPr>
    </w:p>
    <w:p>
      <w:pPr>
        <w:ind w:left="1020" w:hanging="518"/>
        <w:spacing w:after="0"/>
        <w:tabs>
          <w:tab w:leader="none" w:pos="1020" w:val="left"/>
        </w:tabs>
        <w:numPr>
          <w:ilvl w:val="0"/>
          <w:numId w:val="2"/>
        </w:numPr>
        <w:rPr>
          <w:rFonts w:ascii="Times New Roman" w:cs="Times New Roman" w:eastAsia="Times New Roman" w:hAnsi="Times New Roman"/>
          <w:sz w:val="15"/>
          <w:szCs w:val="15"/>
          <w:color w:val="auto"/>
        </w:rPr>
      </w:pPr>
      <w:r>
        <w:rPr>
          <w:rFonts w:ascii="MS PGothic" w:cs="MS PGothic" w:eastAsia="MS PGothic" w:hAnsi="MS PGothic"/>
          <w:sz w:val="15"/>
          <w:szCs w:val="15"/>
          <w:color w:val="auto"/>
        </w:rPr>
        <w:t>our growth strategies and our ability to efectvely manage any growth;</w:t>
      </w:r>
    </w:p>
    <w:p>
      <w:pPr>
        <w:spacing w:after="0" w:line="115" w:lineRule="exact"/>
        <w:rPr>
          <w:rFonts w:ascii="Times New Roman" w:cs="Times New Roman" w:eastAsia="Times New Roman" w:hAnsi="Times New Roman"/>
          <w:sz w:val="15"/>
          <w:szCs w:val="15"/>
          <w:color w:val="auto"/>
        </w:rPr>
      </w:pPr>
    </w:p>
    <w:p>
      <w:pPr>
        <w:ind w:left="1020" w:hanging="518"/>
        <w:spacing w:after="0"/>
        <w:tabs>
          <w:tab w:leader="none" w:pos="1020" w:val="left"/>
        </w:tabs>
        <w:numPr>
          <w:ilvl w:val="0"/>
          <w:numId w:val="2"/>
        </w:numPr>
        <w:rPr>
          <w:rFonts w:ascii="Times New Roman" w:cs="Times New Roman" w:eastAsia="Times New Roman" w:hAnsi="Times New Roman"/>
          <w:sz w:val="15"/>
          <w:szCs w:val="15"/>
          <w:color w:val="auto"/>
        </w:rPr>
      </w:pPr>
      <w:r>
        <w:rPr>
          <w:rFonts w:ascii="MS PGothic" w:cs="MS PGothic" w:eastAsia="MS PGothic" w:hAnsi="MS PGothic"/>
          <w:sz w:val="15"/>
          <w:szCs w:val="15"/>
          <w:color w:val="auto"/>
        </w:rPr>
        <w:t>the value propositon of our product oferings for dealers and consumers;</w:t>
      </w:r>
    </w:p>
    <w:p>
      <w:pPr>
        <w:spacing w:after="0" w:line="115" w:lineRule="exact"/>
        <w:rPr>
          <w:rFonts w:ascii="Times New Roman" w:cs="Times New Roman" w:eastAsia="Times New Roman" w:hAnsi="Times New Roman"/>
          <w:sz w:val="15"/>
          <w:szCs w:val="15"/>
          <w:color w:val="auto"/>
        </w:rPr>
      </w:pPr>
    </w:p>
    <w:p>
      <w:pPr>
        <w:jc w:val="both"/>
        <w:ind w:left="1020" w:hanging="518"/>
        <w:spacing w:after="0" w:line="298" w:lineRule="auto"/>
        <w:tabs>
          <w:tab w:leader="none" w:pos="1020" w:val="left"/>
        </w:tabs>
        <w:numPr>
          <w:ilvl w:val="0"/>
          <w:numId w:val="2"/>
        </w:numPr>
        <w:rPr>
          <w:rFonts w:ascii="Times New Roman" w:cs="Times New Roman" w:eastAsia="Times New Roman" w:hAnsi="Times New Roman"/>
          <w:sz w:val="15"/>
          <w:szCs w:val="15"/>
          <w:color w:val="auto"/>
        </w:rPr>
      </w:pPr>
      <w:r>
        <w:rPr>
          <w:rFonts w:ascii="MS PGothic" w:cs="MS PGothic" w:eastAsia="MS PGothic" w:hAnsi="MS PGothic"/>
          <w:sz w:val="15"/>
          <w:szCs w:val="15"/>
          <w:color w:val="auto"/>
        </w:rPr>
        <w:t>the ability of our combined suite of oferings to increase a dealer’s return on investment, add scale to our marketplace network, drive powerful network efects, create powerful synergies for dealers, transform the end-to-end car-shopping journey for both consumers and dealers and become the marketplace for all steps of the vehicle acquisiton and sale processes;</w:t>
      </w:r>
    </w:p>
    <w:p>
      <w:pPr>
        <w:spacing w:after="0" w:line="69" w:lineRule="exact"/>
        <w:rPr>
          <w:rFonts w:ascii="Times New Roman" w:cs="Times New Roman" w:eastAsia="Times New Roman" w:hAnsi="Times New Roman"/>
          <w:sz w:val="15"/>
          <w:szCs w:val="15"/>
          <w:color w:val="auto"/>
        </w:rPr>
      </w:pPr>
    </w:p>
    <w:p>
      <w:pPr>
        <w:ind w:left="1020" w:right="20" w:hanging="518"/>
        <w:spacing w:after="0" w:line="311" w:lineRule="auto"/>
        <w:tabs>
          <w:tab w:leader="none" w:pos="1020" w:val="left"/>
        </w:tabs>
        <w:numPr>
          <w:ilvl w:val="0"/>
          <w:numId w:val="2"/>
        </w:numPr>
        <w:rPr>
          <w:rFonts w:ascii="Times New Roman" w:cs="Times New Roman" w:eastAsia="Times New Roman" w:hAnsi="Times New Roman"/>
          <w:sz w:val="15"/>
          <w:szCs w:val="15"/>
          <w:color w:val="auto"/>
        </w:rPr>
      </w:pPr>
      <w:r>
        <w:rPr>
          <w:rFonts w:ascii="MS PGothic" w:cs="MS PGothic" w:eastAsia="MS PGothic" w:hAnsi="MS PGothic"/>
          <w:sz w:val="15"/>
          <w:szCs w:val="15"/>
          <w:color w:val="auto"/>
        </w:rPr>
        <w:t>our evoluton to becoming a transacton-enabled platorm where consumers can shop, fnance, buy, seek fnancing, and sell their cars and dealers can source, market, and sell their cars;</w:t>
      </w:r>
    </w:p>
    <w:p>
      <w:pPr>
        <w:spacing w:after="0" w:line="53" w:lineRule="exact"/>
        <w:rPr>
          <w:rFonts w:ascii="Times New Roman" w:cs="Times New Roman" w:eastAsia="Times New Roman" w:hAnsi="Times New Roman"/>
          <w:sz w:val="15"/>
          <w:szCs w:val="15"/>
          <w:color w:val="auto"/>
        </w:rPr>
      </w:pPr>
    </w:p>
    <w:p>
      <w:pPr>
        <w:ind w:left="1020" w:hanging="518"/>
        <w:spacing w:after="0" w:line="311" w:lineRule="auto"/>
        <w:tabs>
          <w:tab w:leader="none" w:pos="1020" w:val="left"/>
        </w:tabs>
        <w:numPr>
          <w:ilvl w:val="0"/>
          <w:numId w:val="2"/>
        </w:numPr>
        <w:rPr>
          <w:rFonts w:ascii="Times New Roman" w:cs="Times New Roman" w:eastAsia="Times New Roman" w:hAnsi="Times New Roman"/>
          <w:sz w:val="15"/>
          <w:szCs w:val="15"/>
          <w:color w:val="auto"/>
        </w:rPr>
      </w:pPr>
      <w:r>
        <w:rPr>
          <w:rFonts w:ascii="MS PGothic" w:cs="MS PGothic" w:eastAsia="MS PGothic" w:hAnsi="MS PGothic"/>
          <w:sz w:val="15"/>
          <w:szCs w:val="15"/>
          <w:color w:val="auto"/>
        </w:rPr>
        <w:t>our belief that certain of our strengths, including our trusted marketplace for consumers, our strong value propositon for dealers, and our data-driven approach, among other things, will lead to an advantage over our compettors;</w:t>
      </w:r>
    </w:p>
    <w:p>
      <w:pPr>
        <w:spacing w:after="0" w:line="53" w:lineRule="exact"/>
        <w:rPr>
          <w:rFonts w:ascii="Times New Roman" w:cs="Times New Roman" w:eastAsia="Times New Roman" w:hAnsi="Times New Roman"/>
          <w:sz w:val="15"/>
          <w:szCs w:val="15"/>
          <w:color w:val="auto"/>
        </w:rPr>
      </w:pPr>
    </w:p>
    <w:p>
      <w:pPr>
        <w:ind w:left="1020" w:right="20" w:hanging="518"/>
        <w:spacing w:after="0" w:line="311" w:lineRule="auto"/>
        <w:tabs>
          <w:tab w:leader="none" w:pos="1020" w:val="left"/>
        </w:tabs>
        <w:numPr>
          <w:ilvl w:val="0"/>
          <w:numId w:val="2"/>
        </w:numPr>
        <w:rPr>
          <w:rFonts w:ascii="Times New Roman" w:cs="Times New Roman" w:eastAsia="Times New Roman" w:hAnsi="Times New Roman"/>
          <w:sz w:val="15"/>
          <w:szCs w:val="15"/>
          <w:color w:val="auto"/>
        </w:rPr>
      </w:pPr>
      <w:r>
        <w:rPr>
          <w:rFonts w:ascii="MS PGothic" w:cs="MS PGothic" w:eastAsia="MS PGothic" w:hAnsi="MS PGothic"/>
          <w:sz w:val="15"/>
          <w:szCs w:val="15"/>
          <w:color w:val="auto"/>
        </w:rPr>
        <w:t>the value propositon of the CarOfer, LLC, or CarOfer, online wholesale platorm, including our belief that as dealer enrollments increase, dealers will see a corresponding increase in inventory on the platorm, further enabling liquidity, selecton, choice, and business efciencies;</w:t>
      </w:r>
    </w:p>
    <w:p>
      <w:pPr>
        <w:spacing w:after="0" w:line="53" w:lineRule="exact"/>
        <w:rPr>
          <w:rFonts w:ascii="Times New Roman" w:cs="Times New Roman" w:eastAsia="Times New Roman" w:hAnsi="Times New Roman"/>
          <w:sz w:val="15"/>
          <w:szCs w:val="15"/>
          <w:color w:val="auto"/>
        </w:rPr>
      </w:pPr>
    </w:p>
    <w:p>
      <w:pPr>
        <w:ind w:left="1020" w:hanging="518"/>
        <w:spacing w:after="0"/>
        <w:tabs>
          <w:tab w:leader="none" w:pos="1020" w:val="left"/>
        </w:tabs>
        <w:numPr>
          <w:ilvl w:val="0"/>
          <w:numId w:val="2"/>
        </w:numPr>
        <w:rPr>
          <w:rFonts w:ascii="Times New Roman" w:cs="Times New Roman" w:eastAsia="Times New Roman" w:hAnsi="Times New Roman"/>
          <w:sz w:val="15"/>
          <w:szCs w:val="15"/>
          <w:color w:val="auto"/>
        </w:rPr>
      </w:pPr>
      <w:r>
        <w:rPr>
          <w:rFonts w:ascii="MS PGothic" w:cs="MS PGothic" w:eastAsia="MS PGothic" w:hAnsi="MS PGothic"/>
          <w:sz w:val="15"/>
          <w:szCs w:val="15"/>
          <w:color w:val="auto"/>
        </w:rPr>
        <w:t>our ability to deliver quality leads at a high volume for our dealer customers and to provide the highest return on a dealer’s investment;</w:t>
      </w:r>
    </w:p>
    <w:p>
      <w:pPr>
        <w:spacing w:after="0" w:line="115" w:lineRule="exact"/>
        <w:rPr>
          <w:rFonts w:ascii="Times New Roman" w:cs="Times New Roman" w:eastAsia="Times New Roman" w:hAnsi="Times New Roman"/>
          <w:sz w:val="15"/>
          <w:szCs w:val="15"/>
          <w:color w:val="auto"/>
        </w:rPr>
      </w:pPr>
    </w:p>
    <w:p>
      <w:pPr>
        <w:ind w:left="1020" w:hanging="518"/>
        <w:spacing w:after="0"/>
        <w:tabs>
          <w:tab w:leader="none" w:pos="1020" w:val="left"/>
        </w:tabs>
        <w:numPr>
          <w:ilvl w:val="0"/>
          <w:numId w:val="2"/>
        </w:numPr>
        <w:rPr>
          <w:rFonts w:ascii="Times New Roman" w:cs="Times New Roman" w:eastAsia="Times New Roman" w:hAnsi="Times New Roman"/>
          <w:sz w:val="15"/>
          <w:szCs w:val="15"/>
          <w:color w:val="auto"/>
        </w:rPr>
      </w:pPr>
      <w:r>
        <w:rPr>
          <w:rFonts w:ascii="MS PGothic" w:cs="MS PGothic" w:eastAsia="MS PGothic" w:hAnsi="MS PGothic"/>
          <w:sz w:val="15"/>
          <w:szCs w:val="15"/>
          <w:color w:val="auto"/>
        </w:rPr>
        <w:t>our expectatons for CarGurus Sell My Car (Instant Max Cash Ofer and Top Dealer Ofers) as well as our digital retail oferings and contnued investments;</w:t>
      </w:r>
    </w:p>
    <w:p>
      <w:pPr>
        <w:spacing w:after="0" w:line="115" w:lineRule="exact"/>
        <w:rPr>
          <w:rFonts w:ascii="Times New Roman" w:cs="Times New Roman" w:eastAsia="Times New Roman" w:hAnsi="Times New Roman"/>
          <w:sz w:val="15"/>
          <w:szCs w:val="15"/>
          <w:color w:val="auto"/>
        </w:rPr>
      </w:pPr>
    </w:p>
    <w:p>
      <w:pPr>
        <w:ind w:left="1020" w:hanging="518"/>
        <w:spacing w:after="0"/>
        <w:tabs>
          <w:tab w:leader="none" w:pos="1020" w:val="left"/>
        </w:tabs>
        <w:numPr>
          <w:ilvl w:val="0"/>
          <w:numId w:val="2"/>
        </w:numPr>
        <w:rPr>
          <w:rFonts w:ascii="Times New Roman" w:cs="Times New Roman" w:eastAsia="Times New Roman" w:hAnsi="Times New Roman"/>
          <w:sz w:val="15"/>
          <w:szCs w:val="15"/>
          <w:color w:val="auto"/>
        </w:rPr>
      </w:pPr>
      <w:r>
        <w:rPr>
          <w:rFonts w:ascii="MS PGothic" w:cs="MS PGothic" w:eastAsia="MS PGothic" w:hAnsi="MS PGothic"/>
          <w:sz w:val="15"/>
          <w:szCs w:val="15"/>
          <w:color w:val="auto"/>
        </w:rPr>
        <w:t>our ability to maintain and acquire new customers;</w:t>
      </w:r>
    </w:p>
    <w:p>
      <w:pPr>
        <w:spacing w:after="0" w:line="115" w:lineRule="exact"/>
        <w:rPr>
          <w:rFonts w:ascii="Times New Roman" w:cs="Times New Roman" w:eastAsia="Times New Roman" w:hAnsi="Times New Roman"/>
          <w:sz w:val="15"/>
          <w:szCs w:val="15"/>
          <w:color w:val="auto"/>
        </w:rPr>
      </w:pPr>
    </w:p>
    <w:p>
      <w:pPr>
        <w:ind w:left="1020" w:hanging="518"/>
        <w:spacing w:after="0"/>
        <w:tabs>
          <w:tab w:leader="none" w:pos="1020" w:val="left"/>
        </w:tabs>
        <w:numPr>
          <w:ilvl w:val="0"/>
          <w:numId w:val="2"/>
        </w:numPr>
        <w:rPr>
          <w:rFonts w:ascii="Times New Roman" w:cs="Times New Roman" w:eastAsia="Times New Roman" w:hAnsi="Times New Roman"/>
          <w:sz w:val="15"/>
          <w:szCs w:val="15"/>
          <w:color w:val="auto"/>
        </w:rPr>
      </w:pPr>
      <w:r>
        <w:rPr>
          <w:rFonts w:ascii="MS PGothic" w:cs="MS PGothic" w:eastAsia="MS PGothic" w:hAnsi="MS PGothic"/>
          <w:sz w:val="15"/>
          <w:szCs w:val="15"/>
          <w:color w:val="auto"/>
        </w:rPr>
        <w:t>our ability to maintain and build our brand;</w:t>
      </w:r>
    </w:p>
    <w:p>
      <w:pPr>
        <w:spacing w:after="0" w:line="115" w:lineRule="exact"/>
        <w:rPr>
          <w:rFonts w:ascii="Times New Roman" w:cs="Times New Roman" w:eastAsia="Times New Roman" w:hAnsi="Times New Roman"/>
          <w:sz w:val="15"/>
          <w:szCs w:val="15"/>
          <w:color w:val="auto"/>
        </w:rPr>
      </w:pPr>
    </w:p>
    <w:p>
      <w:pPr>
        <w:ind w:left="1020" w:right="20" w:hanging="518"/>
        <w:spacing w:after="0" w:line="311" w:lineRule="auto"/>
        <w:tabs>
          <w:tab w:leader="none" w:pos="1020" w:val="left"/>
        </w:tabs>
        <w:numPr>
          <w:ilvl w:val="0"/>
          <w:numId w:val="2"/>
        </w:numPr>
        <w:rPr>
          <w:rFonts w:ascii="Times New Roman" w:cs="Times New Roman" w:eastAsia="Times New Roman" w:hAnsi="Times New Roman"/>
          <w:sz w:val="15"/>
          <w:szCs w:val="15"/>
          <w:color w:val="auto"/>
        </w:rPr>
      </w:pPr>
      <w:r>
        <w:rPr>
          <w:rFonts w:ascii="MS PGothic" w:cs="MS PGothic" w:eastAsia="MS PGothic" w:hAnsi="MS PGothic"/>
          <w:sz w:val="15"/>
          <w:szCs w:val="15"/>
          <w:color w:val="auto"/>
        </w:rPr>
        <w:t>our belief that our partnerships with automotve lending companies provide more transparency to car shoppers and deliver highly qualifed car shopper leads to partcipatng dealers;</w:t>
      </w:r>
    </w:p>
    <w:p>
      <w:pPr>
        <w:spacing w:after="0" w:line="53" w:lineRule="exact"/>
        <w:rPr>
          <w:rFonts w:ascii="Times New Roman" w:cs="Times New Roman" w:eastAsia="Times New Roman" w:hAnsi="Times New Roman"/>
          <w:sz w:val="15"/>
          <w:szCs w:val="15"/>
          <w:color w:val="auto"/>
        </w:rPr>
      </w:pPr>
    </w:p>
    <w:p>
      <w:pPr>
        <w:ind w:left="1020" w:hanging="518"/>
        <w:spacing w:after="0"/>
        <w:tabs>
          <w:tab w:leader="none" w:pos="1020" w:val="left"/>
        </w:tabs>
        <w:numPr>
          <w:ilvl w:val="0"/>
          <w:numId w:val="2"/>
        </w:numPr>
        <w:rPr>
          <w:rFonts w:ascii="Times New Roman" w:cs="Times New Roman" w:eastAsia="Times New Roman" w:hAnsi="Times New Roman"/>
          <w:sz w:val="15"/>
          <w:szCs w:val="15"/>
          <w:color w:val="auto"/>
        </w:rPr>
      </w:pPr>
      <w:r>
        <w:rPr>
          <w:rFonts w:ascii="MS PGothic" w:cs="MS PGothic" w:eastAsia="MS PGothic" w:hAnsi="MS PGothic"/>
          <w:sz w:val="15"/>
          <w:szCs w:val="15"/>
          <w:color w:val="auto"/>
        </w:rPr>
        <w:t>our belief that our Geo Expansion ofering promotes partcipatng dealers’ delivery capabilites and increases non-local vehicle detail page, or VDP, views;</w:t>
      </w:r>
    </w:p>
    <w:p>
      <w:pPr>
        <w:spacing w:after="0" w:line="115" w:lineRule="exact"/>
        <w:rPr>
          <w:rFonts w:ascii="Times New Roman" w:cs="Times New Roman" w:eastAsia="Times New Roman" w:hAnsi="Times New Roman"/>
          <w:sz w:val="15"/>
          <w:szCs w:val="15"/>
          <w:color w:val="auto"/>
        </w:rPr>
      </w:pPr>
    </w:p>
    <w:p>
      <w:pPr>
        <w:ind w:left="1020" w:hanging="518"/>
        <w:spacing w:after="0"/>
        <w:tabs>
          <w:tab w:leader="none" w:pos="1020" w:val="left"/>
        </w:tabs>
        <w:numPr>
          <w:ilvl w:val="0"/>
          <w:numId w:val="2"/>
        </w:numPr>
        <w:rPr>
          <w:rFonts w:ascii="Times New Roman" w:cs="Times New Roman" w:eastAsia="Times New Roman" w:hAnsi="Times New Roman"/>
          <w:sz w:val="15"/>
          <w:szCs w:val="15"/>
          <w:color w:val="auto"/>
        </w:rPr>
      </w:pPr>
      <w:r>
        <w:rPr>
          <w:rFonts w:ascii="MS PGothic" w:cs="MS PGothic" w:eastAsia="MS PGothic" w:hAnsi="MS PGothic"/>
          <w:sz w:val="15"/>
          <w:szCs w:val="15"/>
          <w:color w:val="auto"/>
        </w:rPr>
        <w:t>our outlook for our Restricted Listngs product;</w:t>
      </w:r>
    </w:p>
    <w:p>
      <w:pPr>
        <w:spacing w:after="0" w:line="115" w:lineRule="exact"/>
        <w:rPr>
          <w:rFonts w:ascii="Times New Roman" w:cs="Times New Roman" w:eastAsia="Times New Roman" w:hAnsi="Times New Roman"/>
          <w:sz w:val="15"/>
          <w:szCs w:val="15"/>
          <w:color w:val="auto"/>
        </w:rPr>
      </w:pPr>
    </w:p>
    <w:p>
      <w:pPr>
        <w:ind w:left="1020" w:hanging="518"/>
        <w:spacing w:after="0"/>
        <w:tabs>
          <w:tab w:leader="none" w:pos="1020" w:val="left"/>
        </w:tabs>
        <w:numPr>
          <w:ilvl w:val="0"/>
          <w:numId w:val="2"/>
        </w:numPr>
        <w:rPr>
          <w:rFonts w:ascii="Times New Roman" w:cs="Times New Roman" w:eastAsia="Times New Roman" w:hAnsi="Times New Roman"/>
          <w:sz w:val="15"/>
          <w:szCs w:val="15"/>
          <w:color w:val="auto"/>
        </w:rPr>
      </w:pPr>
      <w:r>
        <w:rPr>
          <w:rFonts w:ascii="MS PGothic" w:cs="MS PGothic" w:eastAsia="MS PGothic" w:hAnsi="MS PGothic"/>
          <w:sz w:val="15"/>
          <w:szCs w:val="15"/>
          <w:color w:val="auto"/>
        </w:rPr>
        <w:t>the impact of competton in our industry and innovaton by our compettors;</w:t>
      </w:r>
    </w:p>
    <w:p>
      <w:pPr>
        <w:spacing w:after="0" w:line="115" w:lineRule="exact"/>
        <w:rPr>
          <w:rFonts w:ascii="Times New Roman" w:cs="Times New Roman" w:eastAsia="Times New Roman" w:hAnsi="Times New Roman"/>
          <w:sz w:val="15"/>
          <w:szCs w:val="15"/>
          <w:color w:val="auto"/>
        </w:rPr>
      </w:pPr>
    </w:p>
    <w:p>
      <w:pPr>
        <w:ind w:left="1020" w:hanging="518"/>
        <w:spacing w:after="0"/>
        <w:tabs>
          <w:tab w:leader="none" w:pos="1020" w:val="left"/>
        </w:tabs>
        <w:numPr>
          <w:ilvl w:val="0"/>
          <w:numId w:val="2"/>
        </w:numPr>
        <w:rPr>
          <w:rFonts w:ascii="Times New Roman" w:cs="Times New Roman" w:eastAsia="Times New Roman" w:hAnsi="Times New Roman"/>
          <w:sz w:val="15"/>
          <w:szCs w:val="15"/>
          <w:color w:val="auto"/>
        </w:rPr>
      </w:pPr>
      <w:r>
        <w:rPr>
          <w:rFonts w:ascii="MS PGothic" w:cs="MS PGothic" w:eastAsia="MS PGothic" w:hAnsi="MS PGothic"/>
          <w:sz w:val="15"/>
          <w:szCs w:val="15"/>
          <w:color w:val="auto"/>
        </w:rPr>
        <w:t>our ability to adapt to technological change and efectvely enhance, innovate, and scale our platorm and oferings;</w:t>
      </w:r>
    </w:p>
    <w:p>
      <w:pPr>
        <w:spacing w:after="0" w:line="115" w:lineRule="exact"/>
        <w:rPr>
          <w:rFonts w:ascii="Times New Roman" w:cs="Times New Roman" w:eastAsia="Times New Roman" w:hAnsi="Times New Roman"/>
          <w:sz w:val="15"/>
          <w:szCs w:val="15"/>
          <w:color w:val="auto"/>
        </w:rPr>
      </w:pPr>
    </w:p>
    <w:p>
      <w:pPr>
        <w:ind w:left="1020" w:hanging="518"/>
        <w:spacing w:after="0"/>
        <w:tabs>
          <w:tab w:leader="none" w:pos="1020" w:val="left"/>
        </w:tabs>
        <w:numPr>
          <w:ilvl w:val="0"/>
          <w:numId w:val="2"/>
        </w:numPr>
        <w:rPr>
          <w:rFonts w:ascii="Times New Roman" w:cs="Times New Roman" w:eastAsia="Times New Roman" w:hAnsi="Times New Roman"/>
          <w:sz w:val="15"/>
          <w:szCs w:val="15"/>
          <w:color w:val="auto"/>
        </w:rPr>
      </w:pPr>
      <w:r>
        <w:rPr>
          <w:rFonts w:ascii="MS PGothic" w:cs="MS PGothic" w:eastAsia="MS PGothic" w:hAnsi="MS PGothic"/>
          <w:sz w:val="15"/>
          <w:szCs w:val="15"/>
          <w:color w:val="auto"/>
        </w:rPr>
        <w:t>our ability to realize benefts from our acquisitons and successfully implement the integraton strategies in connecton therewith;</w:t>
      </w:r>
    </w:p>
    <w:p>
      <w:pPr>
        <w:spacing w:after="0" w:line="115" w:lineRule="exact"/>
        <w:rPr>
          <w:rFonts w:ascii="Times New Roman" w:cs="Times New Roman" w:eastAsia="Times New Roman" w:hAnsi="Times New Roman"/>
          <w:sz w:val="15"/>
          <w:szCs w:val="15"/>
          <w:color w:val="auto"/>
        </w:rPr>
      </w:pPr>
    </w:p>
    <w:p>
      <w:pPr>
        <w:ind w:left="1020" w:hanging="518"/>
        <w:spacing w:after="0" w:line="311" w:lineRule="auto"/>
        <w:tabs>
          <w:tab w:leader="none" w:pos="1020" w:val="left"/>
        </w:tabs>
        <w:numPr>
          <w:ilvl w:val="0"/>
          <w:numId w:val="2"/>
        </w:numPr>
        <w:rPr>
          <w:rFonts w:ascii="Times New Roman" w:cs="Times New Roman" w:eastAsia="Times New Roman" w:hAnsi="Times New Roman"/>
          <w:sz w:val="15"/>
          <w:szCs w:val="15"/>
          <w:color w:val="auto"/>
        </w:rPr>
      </w:pPr>
      <w:r>
        <w:rPr>
          <w:rFonts w:ascii="MS PGothic" w:cs="MS PGothic" w:eastAsia="MS PGothic" w:hAnsi="MS PGothic"/>
          <w:sz w:val="15"/>
          <w:szCs w:val="15"/>
          <w:color w:val="auto"/>
        </w:rPr>
        <w:t>our ability to overcome challenges facing the automotve industry ecosystem, including inventory supply problems, global supply chain challenges, changes to trade policies, and other macroeconomic issues;</w:t>
      </w:r>
    </w:p>
    <w:p>
      <w:pPr>
        <w:spacing w:after="0" w:line="53" w:lineRule="exact"/>
        <w:rPr>
          <w:rFonts w:ascii="Times New Roman" w:cs="Times New Roman" w:eastAsia="Times New Roman" w:hAnsi="Times New Roman"/>
          <w:sz w:val="15"/>
          <w:szCs w:val="15"/>
          <w:color w:val="auto"/>
        </w:rPr>
      </w:pPr>
    </w:p>
    <w:p>
      <w:pPr>
        <w:ind w:left="1020" w:hanging="518"/>
        <w:spacing w:after="0"/>
        <w:tabs>
          <w:tab w:leader="none" w:pos="1020" w:val="left"/>
        </w:tabs>
        <w:numPr>
          <w:ilvl w:val="0"/>
          <w:numId w:val="2"/>
        </w:numPr>
        <w:rPr>
          <w:rFonts w:ascii="Times New Roman" w:cs="Times New Roman" w:eastAsia="Times New Roman" w:hAnsi="Times New Roman"/>
          <w:sz w:val="15"/>
          <w:szCs w:val="15"/>
          <w:color w:val="auto"/>
        </w:rPr>
      </w:pPr>
      <w:r>
        <w:rPr>
          <w:rFonts w:ascii="MS PGothic" w:cs="MS PGothic" w:eastAsia="MS PGothic" w:hAnsi="MS PGothic"/>
          <w:sz w:val="15"/>
          <w:szCs w:val="15"/>
          <w:color w:val="auto"/>
        </w:rPr>
        <w:t>our expectatons regarding cash generaton and the sufciency of our cash to fund our operatons;</w:t>
      </w:r>
    </w:p>
    <w:p>
      <w:pPr>
        <w:spacing w:after="0" w:line="196" w:lineRule="exact"/>
        <w:rPr>
          <w:sz w:val="20"/>
          <w:szCs w:val="20"/>
          <w:color w:val="auto"/>
        </w:rPr>
      </w:pPr>
    </w:p>
    <w:p>
      <w:pPr>
        <w:jc w:val="center"/>
        <w:spacing w:after="0"/>
        <w:rPr>
          <w:sz w:val="20"/>
          <w:szCs w:val="20"/>
          <w:color w:val="auto"/>
        </w:rPr>
      </w:pPr>
      <w:r>
        <w:rPr>
          <w:rFonts w:ascii="MS PGothic" w:cs="MS PGothic" w:eastAsia="MS PGothic" w:hAnsi="MS PGothic"/>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429895</wp:posOffset>
            </wp:positionV>
            <wp:extent cx="7178040" cy="400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949" w:right="319" w:bottom="1440" w:gutter="0" w:footer="0" w:header="0"/>
        </w:sectPr>
      </w:pPr>
    </w:p>
    <w:bookmarkStart w:id="3" w:name="page4"/>
    <w:bookmarkEnd w:id="3"/>
    <w:p>
      <w:pPr>
        <w:ind w:left="1020" w:hanging="518"/>
        <w:spacing w:after="0"/>
        <w:tabs>
          <w:tab w:leader="none" w:pos="1020" w:val="left"/>
        </w:tabs>
        <w:numPr>
          <w:ilvl w:val="0"/>
          <w:numId w:val="3"/>
        </w:numPr>
        <w:rPr>
          <w:rFonts w:ascii="Times New Roman" w:cs="Times New Roman" w:eastAsia="Times New Roman" w:hAnsi="Times New Roman"/>
          <w:sz w:val="15"/>
          <w:szCs w:val="15"/>
          <w:color w:val="auto"/>
        </w:rPr>
      </w:pPr>
      <w:r>
        <w:rPr>
          <w:rFonts w:ascii="MS PGothic" w:cs="MS PGothic" w:eastAsia="MS PGothic" w:hAnsi="MS PGothic"/>
          <w:sz w:val="15"/>
          <w:szCs w:val="15"/>
          <w:color w:val="auto"/>
        </w:rPr>
        <w:t>our expected returns on investments;</w:t>
      </w:r>
    </w:p>
    <w:p>
      <w:pPr>
        <w:spacing w:after="0" w:line="115" w:lineRule="exact"/>
        <w:rPr>
          <w:rFonts w:ascii="Times New Roman" w:cs="Times New Roman" w:eastAsia="Times New Roman" w:hAnsi="Times New Roman"/>
          <w:sz w:val="15"/>
          <w:szCs w:val="15"/>
          <w:color w:val="auto"/>
        </w:rPr>
      </w:pPr>
    </w:p>
    <w:p>
      <w:pPr>
        <w:ind w:left="1020" w:hanging="518"/>
        <w:spacing w:after="0"/>
        <w:tabs>
          <w:tab w:leader="none" w:pos="1020" w:val="left"/>
        </w:tabs>
        <w:numPr>
          <w:ilvl w:val="0"/>
          <w:numId w:val="3"/>
        </w:numPr>
        <w:rPr>
          <w:rFonts w:ascii="Times New Roman" w:cs="Times New Roman" w:eastAsia="Times New Roman" w:hAnsi="Times New Roman"/>
          <w:sz w:val="15"/>
          <w:szCs w:val="15"/>
          <w:color w:val="auto"/>
        </w:rPr>
      </w:pPr>
      <w:r>
        <w:rPr>
          <w:rFonts w:ascii="MS PGothic" w:cs="MS PGothic" w:eastAsia="MS PGothic" w:hAnsi="MS PGothic"/>
          <w:sz w:val="15"/>
          <w:szCs w:val="15"/>
          <w:color w:val="auto"/>
        </w:rPr>
        <w:t>our expectatons regarding our deferred tax assets;</w:t>
      </w:r>
    </w:p>
    <w:p>
      <w:pPr>
        <w:spacing w:after="0" w:line="115" w:lineRule="exact"/>
        <w:rPr>
          <w:rFonts w:ascii="Times New Roman" w:cs="Times New Roman" w:eastAsia="Times New Roman" w:hAnsi="Times New Roman"/>
          <w:sz w:val="15"/>
          <w:szCs w:val="15"/>
          <w:color w:val="auto"/>
        </w:rPr>
      </w:pPr>
    </w:p>
    <w:p>
      <w:pPr>
        <w:ind w:left="1020" w:hanging="518"/>
        <w:spacing w:after="0"/>
        <w:tabs>
          <w:tab w:leader="none" w:pos="1020" w:val="left"/>
        </w:tabs>
        <w:numPr>
          <w:ilvl w:val="0"/>
          <w:numId w:val="3"/>
        </w:numPr>
        <w:rPr>
          <w:rFonts w:ascii="Times New Roman" w:cs="Times New Roman" w:eastAsia="Times New Roman" w:hAnsi="Times New Roman"/>
          <w:sz w:val="15"/>
          <w:szCs w:val="15"/>
          <w:color w:val="auto"/>
        </w:rPr>
      </w:pPr>
      <w:r>
        <w:rPr>
          <w:rFonts w:ascii="MS PGothic" w:cs="MS PGothic" w:eastAsia="MS PGothic" w:hAnsi="MS PGothic"/>
          <w:sz w:val="15"/>
          <w:szCs w:val="15"/>
          <w:color w:val="auto"/>
        </w:rPr>
        <w:t>global and domestc economic conditons afectng us or our customers;</w:t>
      </w:r>
    </w:p>
    <w:p>
      <w:pPr>
        <w:spacing w:after="0" w:line="115" w:lineRule="exact"/>
        <w:rPr>
          <w:rFonts w:ascii="Times New Roman" w:cs="Times New Roman" w:eastAsia="Times New Roman" w:hAnsi="Times New Roman"/>
          <w:sz w:val="15"/>
          <w:szCs w:val="15"/>
          <w:color w:val="auto"/>
        </w:rPr>
      </w:pPr>
    </w:p>
    <w:p>
      <w:pPr>
        <w:ind w:left="1020" w:hanging="518"/>
        <w:spacing w:after="0"/>
        <w:tabs>
          <w:tab w:leader="none" w:pos="1020" w:val="left"/>
        </w:tabs>
        <w:numPr>
          <w:ilvl w:val="0"/>
          <w:numId w:val="3"/>
        </w:numPr>
        <w:rPr>
          <w:rFonts w:ascii="Times New Roman" w:cs="Times New Roman" w:eastAsia="Times New Roman" w:hAnsi="Times New Roman"/>
          <w:sz w:val="15"/>
          <w:szCs w:val="15"/>
          <w:color w:val="auto"/>
        </w:rPr>
      </w:pPr>
      <w:r>
        <w:rPr>
          <w:rFonts w:ascii="MS PGothic" w:cs="MS PGothic" w:eastAsia="MS PGothic" w:hAnsi="MS PGothic"/>
          <w:sz w:val="15"/>
          <w:szCs w:val="15"/>
          <w:color w:val="auto"/>
        </w:rPr>
        <w:t>our expectatons regarding the funding of our share repurchase program;</w:t>
      </w:r>
    </w:p>
    <w:p>
      <w:pPr>
        <w:spacing w:after="0" w:line="115" w:lineRule="exact"/>
        <w:rPr>
          <w:rFonts w:ascii="Times New Roman" w:cs="Times New Roman" w:eastAsia="Times New Roman" w:hAnsi="Times New Roman"/>
          <w:sz w:val="15"/>
          <w:szCs w:val="15"/>
          <w:color w:val="auto"/>
        </w:rPr>
      </w:pPr>
    </w:p>
    <w:p>
      <w:pPr>
        <w:ind w:left="1020" w:hanging="518"/>
        <w:spacing w:after="0"/>
        <w:tabs>
          <w:tab w:leader="none" w:pos="1020" w:val="left"/>
        </w:tabs>
        <w:numPr>
          <w:ilvl w:val="0"/>
          <w:numId w:val="3"/>
        </w:numPr>
        <w:rPr>
          <w:rFonts w:ascii="Times New Roman" w:cs="Times New Roman" w:eastAsia="Times New Roman" w:hAnsi="Times New Roman"/>
          <w:sz w:val="15"/>
          <w:szCs w:val="15"/>
          <w:color w:val="auto"/>
        </w:rPr>
      </w:pPr>
      <w:r>
        <w:rPr>
          <w:rFonts w:ascii="MS PGothic" w:cs="MS PGothic" w:eastAsia="MS PGothic" w:hAnsi="MS PGothic"/>
          <w:sz w:val="15"/>
          <w:szCs w:val="15"/>
          <w:color w:val="auto"/>
        </w:rPr>
        <w:t>our revolving credit facility;</w:t>
      </w:r>
    </w:p>
    <w:p>
      <w:pPr>
        <w:spacing w:after="0" w:line="115" w:lineRule="exact"/>
        <w:rPr>
          <w:rFonts w:ascii="Times New Roman" w:cs="Times New Roman" w:eastAsia="Times New Roman" w:hAnsi="Times New Roman"/>
          <w:sz w:val="15"/>
          <w:szCs w:val="15"/>
          <w:color w:val="auto"/>
        </w:rPr>
      </w:pPr>
    </w:p>
    <w:p>
      <w:pPr>
        <w:ind w:left="1020" w:hanging="518"/>
        <w:spacing w:after="0"/>
        <w:tabs>
          <w:tab w:leader="none" w:pos="1020" w:val="left"/>
        </w:tabs>
        <w:numPr>
          <w:ilvl w:val="0"/>
          <w:numId w:val="3"/>
        </w:numPr>
        <w:rPr>
          <w:rFonts w:ascii="Times New Roman" w:cs="Times New Roman" w:eastAsia="Times New Roman" w:hAnsi="Times New Roman"/>
          <w:sz w:val="15"/>
          <w:szCs w:val="15"/>
          <w:color w:val="auto"/>
        </w:rPr>
      </w:pPr>
      <w:r>
        <w:rPr>
          <w:rFonts w:ascii="MS PGothic" w:cs="MS PGothic" w:eastAsia="MS PGothic" w:hAnsi="MS PGothic"/>
          <w:sz w:val="15"/>
          <w:szCs w:val="15"/>
          <w:color w:val="auto"/>
        </w:rPr>
        <w:t>our ability to adequately protect our intellectual property;</w:t>
      </w:r>
    </w:p>
    <w:p>
      <w:pPr>
        <w:spacing w:after="0" w:line="115" w:lineRule="exact"/>
        <w:rPr>
          <w:rFonts w:ascii="Times New Roman" w:cs="Times New Roman" w:eastAsia="Times New Roman" w:hAnsi="Times New Roman"/>
          <w:sz w:val="15"/>
          <w:szCs w:val="15"/>
          <w:color w:val="auto"/>
        </w:rPr>
      </w:pPr>
    </w:p>
    <w:p>
      <w:pPr>
        <w:ind w:left="1020" w:hanging="518"/>
        <w:spacing w:after="0"/>
        <w:tabs>
          <w:tab w:leader="none" w:pos="1020" w:val="left"/>
        </w:tabs>
        <w:numPr>
          <w:ilvl w:val="0"/>
          <w:numId w:val="3"/>
        </w:numPr>
        <w:rPr>
          <w:rFonts w:ascii="Times New Roman" w:cs="Times New Roman" w:eastAsia="Times New Roman" w:hAnsi="Times New Roman"/>
          <w:sz w:val="15"/>
          <w:szCs w:val="15"/>
          <w:color w:val="auto"/>
        </w:rPr>
      </w:pPr>
      <w:r>
        <w:rPr>
          <w:rFonts w:ascii="MS PGothic" w:cs="MS PGothic" w:eastAsia="MS PGothic" w:hAnsi="MS PGothic"/>
          <w:sz w:val="15"/>
          <w:szCs w:val="15"/>
          <w:color w:val="auto"/>
        </w:rPr>
        <w:t>our ability to hire and retain necessary qualifed employees to expand our operatons;</w:t>
      </w:r>
    </w:p>
    <w:p>
      <w:pPr>
        <w:spacing w:after="0" w:line="115" w:lineRule="exact"/>
        <w:rPr>
          <w:rFonts w:ascii="Times New Roman" w:cs="Times New Roman" w:eastAsia="Times New Roman" w:hAnsi="Times New Roman"/>
          <w:sz w:val="15"/>
          <w:szCs w:val="15"/>
          <w:color w:val="auto"/>
        </w:rPr>
      </w:pPr>
    </w:p>
    <w:p>
      <w:pPr>
        <w:ind w:left="1020" w:hanging="518"/>
        <w:spacing w:after="0"/>
        <w:tabs>
          <w:tab w:leader="none" w:pos="1020" w:val="left"/>
        </w:tabs>
        <w:numPr>
          <w:ilvl w:val="0"/>
          <w:numId w:val="3"/>
        </w:numPr>
        <w:rPr>
          <w:rFonts w:ascii="Times New Roman" w:cs="Times New Roman" w:eastAsia="Times New Roman" w:hAnsi="Times New Roman"/>
          <w:sz w:val="15"/>
          <w:szCs w:val="15"/>
          <w:color w:val="auto"/>
        </w:rPr>
      </w:pPr>
      <w:r>
        <w:rPr>
          <w:rFonts w:ascii="MS PGothic" w:cs="MS PGothic" w:eastAsia="MS PGothic" w:hAnsi="MS PGothic"/>
          <w:sz w:val="15"/>
          <w:szCs w:val="15"/>
          <w:color w:val="auto"/>
        </w:rPr>
        <w:t>our eforts to contnue to enhance our diversity, equity, inclusion, and belonging initatves;</w:t>
      </w:r>
    </w:p>
    <w:p>
      <w:pPr>
        <w:spacing w:after="0" w:line="115" w:lineRule="exact"/>
        <w:rPr>
          <w:rFonts w:ascii="Times New Roman" w:cs="Times New Roman" w:eastAsia="Times New Roman" w:hAnsi="Times New Roman"/>
          <w:sz w:val="15"/>
          <w:szCs w:val="15"/>
          <w:color w:val="auto"/>
        </w:rPr>
      </w:pPr>
    </w:p>
    <w:p>
      <w:pPr>
        <w:ind w:left="1020" w:right="20" w:hanging="518"/>
        <w:spacing w:after="0" w:line="311" w:lineRule="auto"/>
        <w:tabs>
          <w:tab w:leader="none" w:pos="1020" w:val="left"/>
        </w:tabs>
        <w:numPr>
          <w:ilvl w:val="0"/>
          <w:numId w:val="3"/>
        </w:numPr>
        <w:rPr>
          <w:rFonts w:ascii="Times New Roman" w:cs="Times New Roman" w:eastAsia="Times New Roman" w:hAnsi="Times New Roman"/>
          <w:sz w:val="15"/>
          <w:szCs w:val="15"/>
          <w:color w:val="auto"/>
        </w:rPr>
      </w:pPr>
      <w:r>
        <w:rPr>
          <w:rFonts w:ascii="MS PGothic" w:cs="MS PGothic" w:eastAsia="MS PGothic" w:hAnsi="MS PGothic"/>
          <w:sz w:val="15"/>
          <w:szCs w:val="15"/>
          <w:color w:val="auto"/>
        </w:rPr>
        <w:t>the material weakness in our internal control over fnancial reportng that we have identfed, and our ability to remediate such weakness and enhance our internal control environment;</w:t>
      </w:r>
    </w:p>
    <w:p>
      <w:pPr>
        <w:spacing w:after="0" w:line="53" w:lineRule="exact"/>
        <w:rPr>
          <w:rFonts w:ascii="Times New Roman" w:cs="Times New Roman" w:eastAsia="Times New Roman" w:hAnsi="Times New Roman"/>
          <w:sz w:val="15"/>
          <w:szCs w:val="15"/>
          <w:color w:val="auto"/>
        </w:rPr>
      </w:pPr>
    </w:p>
    <w:p>
      <w:pPr>
        <w:ind w:left="1020" w:hanging="518"/>
        <w:spacing w:after="0"/>
        <w:tabs>
          <w:tab w:leader="none" w:pos="1020" w:val="left"/>
        </w:tabs>
        <w:numPr>
          <w:ilvl w:val="0"/>
          <w:numId w:val="3"/>
        </w:numPr>
        <w:rPr>
          <w:rFonts w:ascii="Times New Roman" w:cs="Times New Roman" w:eastAsia="Times New Roman" w:hAnsi="Times New Roman"/>
          <w:sz w:val="15"/>
          <w:szCs w:val="15"/>
          <w:color w:val="auto"/>
        </w:rPr>
      </w:pPr>
      <w:r>
        <w:rPr>
          <w:rFonts w:ascii="MS PGothic" w:cs="MS PGothic" w:eastAsia="MS PGothic" w:hAnsi="MS PGothic"/>
          <w:sz w:val="15"/>
          <w:szCs w:val="15"/>
          <w:color w:val="auto"/>
        </w:rPr>
        <w:t>our ability to maintain an efectve system of internal controls necessary to accurately report our fnancial results and prevent fraud;</w:t>
      </w:r>
    </w:p>
    <w:p>
      <w:pPr>
        <w:spacing w:after="0" w:line="115" w:lineRule="exact"/>
        <w:rPr>
          <w:rFonts w:ascii="Times New Roman" w:cs="Times New Roman" w:eastAsia="Times New Roman" w:hAnsi="Times New Roman"/>
          <w:sz w:val="15"/>
          <w:szCs w:val="15"/>
          <w:color w:val="auto"/>
        </w:rPr>
      </w:pPr>
    </w:p>
    <w:p>
      <w:pPr>
        <w:ind w:left="1020" w:hanging="518"/>
        <w:spacing w:after="0"/>
        <w:tabs>
          <w:tab w:leader="none" w:pos="1020" w:val="left"/>
        </w:tabs>
        <w:numPr>
          <w:ilvl w:val="0"/>
          <w:numId w:val="3"/>
        </w:numPr>
        <w:rPr>
          <w:rFonts w:ascii="Times New Roman" w:cs="Times New Roman" w:eastAsia="Times New Roman" w:hAnsi="Times New Roman"/>
          <w:sz w:val="15"/>
          <w:szCs w:val="15"/>
          <w:color w:val="auto"/>
        </w:rPr>
      </w:pPr>
      <w:r>
        <w:rPr>
          <w:rFonts w:ascii="MS PGothic" w:cs="MS PGothic" w:eastAsia="MS PGothic" w:hAnsi="MS PGothic"/>
          <w:sz w:val="15"/>
          <w:szCs w:val="15"/>
          <w:color w:val="auto"/>
        </w:rPr>
        <w:t>the impact of accountng pronouncements;</w:t>
      </w:r>
    </w:p>
    <w:p>
      <w:pPr>
        <w:spacing w:after="0" w:line="115" w:lineRule="exact"/>
        <w:rPr>
          <w:rFonts w:ascii="Times New Roman" w:cs="Times New Roman" w:eastAsia="Times New Roman" w:hAnsi="Times New Roman"/>
          <w:sz w:val="15"/>
          <w:szCs w:val="15"/>
          <w:color w:val="auto"/>
        </w:rPr>
      </w:pPr>
    </w:p>
    <w:p>
      <w:pPr>
        <w:ind w:left="1020" w:hanging="518"/>
        <w:spacing w:after="0" w:line="311" w:lineRule="auto"/>
        <w:tabs>
          <w:tab w:leader="none" w:pos="1020" w:val="left"/>
        </w:tabs>
        <w:numPr>
          <w:ilvl w:val="0"/>
          <w:numId w:val="3"/>
        </w:numPr>
        <w:rPr>
          <w:rFonts w:ascii="Times New Roman" w:cs="Times New Roman" w:eastAsia="Times New Roman" w:hAnsi="Times New Roman"/>
          <w:sz w:val="15"/>
          <w:szCs w:val="15"/>
          <w:color w:val="auto"/>
        </w:rPr>
      </w:pPr>
      <w:r>
        <w:rPr>
          <w:rFonts w:ascii="MS PGothic" w:cs="MS PGothic" w:eastAsia="MS PGothic" w:hAnsi="MS PGothic"/>
          <w:sz w:val="15"/>
          <w:szCs w:val="15"/>
          <w:color w:val="auto"/>
        </w:rPr>
        <w:t>our ability to stay abreast of, and efectvely comply with, new or modifed laws and regulatons that currently apply or become applicable to our business and our beliefs regarding our compliance therewith;</w:t>
      </w:r>
    </w:p>
    <w:p>
      <w:pPr>
        <w:spacing w:after="0" w:line="53" w:lineRule="exact"/>
        <w:rPr>
          <w:rFonts w:ascii="Times New Roman" w:cs="Times New Roman" w:eastAsia="Times New Roman" w:hAnsi="Times New Roman"/>
          <w:sz w:val="15"/>
          <w:szCs w:val="15"/>
          <w:color w:val="auto"/>
        </w:rPr>
      </w:pPr>
    </w:p>
    <w:p>
      <w:pPr>
        <w:ind w:left="1020" w:hanging="518"/>
        <w:spacing w:after="0"/>
        <w:tabs>
          <w:tab w:leader="none" w:pos="1020" w:val="left"/>
        </w:tabs>
        <w:numPr>
          <w:ilvl w:val="0"/>
          <w:numId w:val="3"/>
        </w:numPr>
        <w:rPr>
          <w:rFonts w:ascii="Times New Roman" w:cs="Times New Roman" w:eastAsia="Times New Roman" w:hAnsi="Times New Roman"/>
          <w:sz w:val="15"/>
          <w:szCs w:val="15"/>
          <w:color w:val="auto"/>
        </w:rPr>
      </w:pPr>
      <w:r>
        <w:rPr>
          <w:rFonts w:ascii="MS PGothic" w:cs="MS PGothic" w:eastAsia="MS PGothic" w:hAnsi="MS PGothic"/>
          <w:sz w:val="15"/>
          <w:szCs w:val="15"/>
          <w:color w:val="auto"/>
        </w:rPr>
        <w:t>the impact of litgaton; and</w:t>
      </w:r>
    </w:p>
    <w:p>
      <w:pPr>
        <w:spacing w:after="0" w:line="115" w:lineRule="exact"/>
        <w:rPr>
          <w:rFonts w:ascii="Times New Roman" w:cs="Times New Roman" w:eastAsia="Times New Roman" w:hAnsi="Times New Roman"/>
          <w:sz w:val="15"/>
          <w:szCs w:val="15"/>
          <w:color w:val="auto"/>
        </w:rPr>
      </w:pPr>
    </w:p>
    <w:p>
      <w:pPr>
        <w:ind w:left="1020" w:hanging="518"/>
        <w:spacing w:after="0"/>
        <w:tabs>
          <w:tab w:leader="none" w:pos="1020" w:val="left"/>
        </w:tabs>
        <w:numPr>
          <w:ilvl w:val="0"/>
          <w:numId w:val="3"/>
        </w:numPr>
        <w:rPr>
          <w:rFonts w:ascii="Times New Roman" w:cs="Times New Roman" w:eastAsia="Times New Roman" w:hAnsi="Times New Roman"/>
          <w:sz w:val="15"/>
          <w:szCs w:val="15"/>
          <w:color w:val="auto"/>
        </w:rPr>
      </w:pPr>
      <w:r>
        <w:rPr>
          <w:rFonts w:ascii="MS PGothic" w:cs="MS PGothic" w:eastAsia="MS PGothic" w:hAnsi="MS PGothic"/>
          <w:sz w:val="15"/>
          <w:szCs w:val="15"/>
          <w:color w:val="auto"/>
        </w:rPr>
        <w:t>the future trading prices of our Class A common stock.</w:t>
      </w:r>
    </w:p>
    <w:p>
      <w:pPr>
        <w:spacing w:after="0" w:line="104" w:lineRule="exact"/>
        <w:rPr>
          <w:sz w:val="20"/>
          <w:szCs w:val="20"/>
          <w:color w:val="auto"/>
        </w:rPr>
      </w:pPr>
    </w:p>
    <w:p>
      <w:pPr>
        <w:jc w:val="both"/>
        <w:ind w:firstLine="511"/>
        <w:spacing w:after="0" w:line="302" w:lineRule="auto"/>
        <w:rPr>
          <w:sz w:val="20"/>
          <w:szCs w:val="20"/>
          <w:color w:val="auto"/>
        </w:rPr>
      </w:pPr>
      <w:r>
        <w:rPr>
          <w:rFonts w:ascii="MS PGothic" w:cs="MS PGothic" w:eastAsia="MS PGothic" w:hAnsi="MS PGothic"/>
          <w:sz w:val="15"/>
          <w:szCs w:val="15"/>
          <w:color w:val="auto"/>
        </w:rPr>
        <w:t>You should not rely upon forward‑looking statements as predictons of future events. We have based the forward‑looking statements contained in this Annual Report primarily on our current expectatons and projectons about future events and trends that we believe may afect our business, fnancial conditon, operatng results, and growth prospects. The outcome of the events described in these forward‑looking statements is subject to risks, uncertaintes, and other factors described in the secton ttled “Risk Factors” and elsewhere in this Annual Report. Moreover, we operate in a very compettve and rapidly changing environment. New risks and uncertaintes emerge from tme to tme, and it is not possible for us to predict all risks and uncertaintes that could have an impact on the forward‑looking statements contained in this Annual Report. Further, our forward‑looking statements do not refect the potental impact of any future acquisitons, mergers, dispositons, or joint ventures in which we may be involved, or investments we may make. We cannot assure you that the results, events, and circumstances refected in the forward‑looking statements will be achieved or occur, and actual results, events, or circumstances could difer materially from those described in the forward‑looking statements.</w:t>
      </w:r>
    </w:p>
    <w:p>
      <w:pPr>
        <w:spacing w:after="0" w:line="55" w:lineRule="exact"/>
        <w:rPr>
          <w:sz w:val="20"/>
          <w:szCs w:val="20"/>
          <w:color w:val="auto"/>
        </w:rPr>
      </w:pPr>
    </w:p>
    <w:p>
      <w:pPr>
        <w:jc w:val="both"/>
        <w:ind w:right="20" w:firstLine="511"/>
        <w:spacing w:after="0" w:line="320" w:lineRule="auto"/>
        <w:rPr>
          <w:sz w:val="20"/>
          <w:szCs w:val="20"/>
          <w:color w:val="auto"/>
        </w:rPr>
      </w:pPr>
      <w:r>
        <w:rPr>
          <w:rFonts w:ascii="MS PGothic" w:cs="MS PGothic" w:eastAsia="MS PGothic" w:hAnsi="MS PGothic"/>
          <w:sz w:val="15"/>
          <w:szCs w:val="15"/>
          <w:color w:val="auto"/>
        </w:rPr>
        <w:t>The forward‑looking statements made in this Annual Report relate only to events as of the date of this Annual Report. We undertake no obligaton to update any forward‑looking statement made in this Annual Report to refect events or circumstances afer the date of this Annual Report or to refect new informaton or the occurrence of unantcipated events, except as required by law.</w:t>
      </w:r>
    </w:p>
    <w:p>
      <w:pPr>
        <w:spacing w:after="0" w:line="228" w:lineRule="exact"/>
        <w:rPr>
          <w:sz w:val="20"/>
          <w:szCs w:val="20"/>
          <w:color w:val="auto"/>
        </w:rPr>
      </w:pPr>
    </w:p>
    <w:p>
      <w:pPr>
        <w:spacing w:after="0"/>
        <w:rPr>
          <w:sz w:val="20"/>
          <w:szCs w:val="20"/>
          <w:color w:val="auto"/>
        </w:rPr>
      </w:pPr>
      <w:r>
        <w:rPr>
          <w:rFonts w:ascii="Calibri" w:cs="Calibri" w:eastAsia="Calibri" w:hAnsi="Calibri"/>
          <w:sz w:val="15"/>
          <w:szCs w:val="15"/>
          <w:b w:val="1"/>
          <w:bCs w:val="1"/>
          <w:color w:val="auto"/>
        </w:rPr>
        <w:t>NOTE REGARDING TRADEMARKS</w:t>
      </w:r>
    </w:p>
    <w:p>
      <w:pPr>
        <w:spacing w:after="0" w:line="93" w:lineRule="exact"/>
        <w:rPr>
          <w:sz w:val="20"/>
          <w:szCs w:val="20"/>
          <w:color w:val="auto"/>
        </w:rPr>
      </w:pPr>
    </w:p>
    <w:p>
      <w:pPr>
        <w:jc w:val="both"/>
        <w:ind w:firstLine="511"/>
        <w:spacing w:after="0" w:line="347" w:lineRule="auto"/>
        <w:rPr>
          <w:sz w:val="20"/>
          <w:szCs w:val="20"/>
          <w:color w:val="auto"/>
        </w:rPr>
      </w:pPr>
      <w:r>
        <w:rPr>
          <w:rFonts w:ascii="MS PGothic" w:cs="MS PGothic" w:eastAsia="MS PGothic" w:hAnsi="MS PGothic"/>
          <w:sz w:val="15"/>
          <w:szCs w:val="15"/>
          <w:color w:val="auto"/>
        </w:rPr>
        <w:t>CarGurus® is a registered trademark of CarGurus, Inc. and CarOfer® is a registered trademark of CarOfer, LLC. All other product names, trademarks, and registered trademarks are property of their respectve owners. We have omited the ® and ™ designatons, as applicable, for the trademarks used in this Annual Report.</w:t>
      </w:r>
    </w:p>
    <w:p>
      <w:pPr>
        <w:spacing w:after="0" w:line="119" w:lineRule="exact"/>
        <w:rPr>
          <w:sz w:val="20"/>
          <w:szCs w:val="20"/>
          <w:color w:val="auto"/>
        </w:rPr>
      </w:pPr>
    </w:p>
    <w:p>
      <w:pPr>
        <w:jc w:val="center"/>
        <w:spacing w:after="0"/>
        <w:rPr>
          <w:sz w:val="20"/>
          <w:szCs w:val="20"/>
          <w:color w:val="auto"/>
        </w:rPr>
      </w:pPr>
      <w:r>
        <w:rPr>
          <w:rFonts w:ascii="MS PGothic" w:cs="MS PGothic" w:eastAsia="MS PGothic" w:hAnsi="MS PGothic"/>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429895</wp:posOffset>
            </wp:positionV>
            <wp:extent cx="7178040" cy="400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053" w:right="319" w:bottom="1440" w:gutter="0" w:footer="0" w:header="0"/>
        </w:sectPr>
      </w:pPr>
    </w:p>
    <w:bookmarkStart w:id="4" w:name="page5"/>
    <w:bookmarkEnd w:id="4"/>
    <w:p>
      <w:pPr>
        <w:jc w:val="center"/>
        <w:spacing w:after="0"/>
        <w:rPr>
          <w:sz w:val="20"/>
          <w:szCs w:val="20"/>
          <w:color w:val="auto"/>
        </w:rPr>
      </w:pPr>
      <w:r>
        <w:rPr>
          <w:rFonts w:ascii="Calibri" w:cs="Calibri" w:eastAsia="Calibri" w:hAnsi="Calibri"/>
          <w:sz w:val="15"/>
          <w:szCs w:val="15"/>
          <w:b w:val="1"/>
          <w:bCs w:val="1"/>
          <w:color w:val="auto"/>
        </w:rPr>
        <w:t>PART I</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b w:val="1"/>
          <w:bCs w:val="1"/>
          <w:color w:val="auto"/>
        </w:rPr>
        <w:t>Item 1. Business.</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b w:val="1"/>
          <w:bCs w:val="1"/>
          <w:color w:val="auto"/>
        </w:rPr>
        <w:t>Overview</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CarGurus, Inc. is a multnatonal, online automotve platorm for buying and selling vehicles that is building upon its industry-leading listngs marketplace with both digital retail solutons and the CarOfer online wholesale platorm. The CarGurus platorm gives consumers the confdence to purchase and/or sell a vehicle either online or in person, and it gives dealerships the power to accurately price, efectvely market, instantly acquire, and quickly sell vehicles, all with a natonwide reach. We use proprietary technology, search algorithms, and data analytcs to bring trust, transparency, and compettve pricing to the automotve shopping experience. In additon to the United States, or the U.S., we operate online marketplaces under the CarGurus brand in Canada and the United Kingdom, or the U.K. In the U.S. and the U.K., we also operate the Autolist and PistonHeads online marketplaces, respectvely, as independent brands.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 xml:space="preserve">In 2006 Langley Steinert founded CarGurus on the premise of bringing trust and transparency to the automotve marketplace. Our online marketplace platorm provides ease of access to prices of vehicles and dealer ratngs, both of which are imperatve to a consumer’s vehicle purchase. By providing car-shoppers with the tools and insights necessary for their car-shopping journey, we have garnered a large and engaged user base with whom our dealers can transact. We have a high-intent, ready-to-purchase consumer audience of 31.2 million average monthly visitors in the U.S., which has atracted 24,318 paying dealers and over 30,000 dealers including non-paying dealers to list inventory on our U.S. online marketplace as of December 31, 2023. Over tme, we have seen an evoluton of dealer and consumer needs and preferences as we enter a more digitally enabled world. To best meet our customers’ needs, we evolved our Listngs business to an end-to-end transacton-enabled platorm by introducing products and solutons that allow consumers to not only embark on a convenient self-selectve purchasing journey with a seamless online-to-in-store transiton but also the choice to efciently sell their car 100% online from the comfort of their home or at a local dealership. Dealers now have the ability to reach customers outside of their immediate geographic footprint and source inventory natonwide from both consumers and other dealers. This expanded suite of oferings can help increase our dealer customers’ return on investment, or ROI, adding even more scale to our marketplace network. While we have evolved to an end-to-end transacton-enabled platorm where consumers can shop, fnance, buy, and sell, and dealers can source, market, and sell vehicles, our ultmate goal remains the same: to empower our customers by giving them all the tools and informaton they need to buy or sell any car, anywhere, at the right price, and in the right way for them. At CarGurus, </w:t>
      </w:r>
      <w:r>
        <w:rPr>
          <w:rFonts w:ascii="Calibri" w:cs="Calibri" w:eastAsia="Calibri" w:hAnsi="Calibri"/>
          <w:sz w:val="15"/>
          <w:szCs w:val="15"/>
          <w:i w:val="1"/>
          <w:iCs w:val="1"/>
          <w:color w:val="auto"/>
        </w:rPr>
        <w:t>we give</w:t>
      </w:r>
      <w:r>
        <w:rPr>
          <w:rFonts w:ascii="Calibri" w:cs="Calibri" w:eastAsia="Calibri" w:hAnsi="Calibri"/>
          <w:sz w:val="15"/>
          <w:szCs w:val="15"/>
          <w:color w:val="auto"/>
        </w:rPr>
        <w:t xml:space="preserve"> </w:t>
      </w:r>
      <w:r>
        <w:rPr>
          <w:rFonts w:ascii="Calibri" w:cs="Calibri" w:eastAsia="Calibri" w:hAnsi="Calibri"/>
          <w:sz w:val="15"/>
          <w:szCs w:val="15"/>
          <w:i w:val="1"/>
          <w:iCs w:val="1"/>
          <w:color w:val="auto"/>
        </w:rPr>
        <w:t>people the power to reach their destnaton</w:t>
      </w:r>
      <w:r>
        <w:rPr>
          <w:rFonts w:ascii="Calibri" w:cs="Calibri" w:eastAsia="Calibri" w:hAnsi="Calibri"/>
          <w:sz w:val="15"/>
          <w:szCs w:val="15"/>
          <w:color w:val="auto"/>
        </w:rPr>
        <w:t>.</w:t>
      </w:r>
    </w:p>
    <w:p>
      <w:pPr>
        <w:spacing w:after="0" w:line="187"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During the year ended December 31, 2023, we managed our business and reported earnings through two reportable segments: U.S. Marketplace and Digital Wholesale. The U.S. Marketplace segment derives revenue from marketplace services for customers within the U.S. The Digital Wholesale segment primarily derives revenue from our Dealer-to-Dealer and Instant Max Cash Ofer, or IMCO, services and products sold on our CarOfer platorm. Prior to the frst quarter of 2022 we had two reportable segments – U.S. and Internatonal. Efectve as of the frst quarter of 2022 we revised our segment reportng from two reportable segments to one reportable segment. Efectve as of the fourth quarter of 2022 we revised our segment reportng again from one reportable segment to our two current reportable segments. See Note 14 to our consolidated fnancial statements included elsewhere in this Annual Report for further segment reportng and geographical informaton.</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b w:val="1"/>
          <w:bCs w:val="1"/>
          <w:color w:val="auto"/>
        </w:rPr>
        <w:t>Consumers' CarGurus Journey</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b w:val="1"/>
          <w:bCs w:val="1"/>
          <w:color w:val="auto"/>
        </w:rPr>
        <w:t>Shop</w:t>
      </w:r>
      <w:r>
        <w:rPr>
          <w:rFonts w:ascii="Calibri" w:cs="Calibri" w:eastAsia="Calibri" w:hAnsi="Calibri"/>
          <w:sz w:val="15"/>
          <w:szCs w:val="15"/>
          <w:color w:val="auto"/>
        </w:rPr>
        <w:t>: A car purchase is a milestone in a consumer’s life – whether it is the frst set of keys or partng from a memory-flled vehicle. However, shopping for a vehicle can be</w:t>
      </w:r>
      <w:r>
        <w:rPr>
          <w:rFonts w:ascii="Calibri" w:cs="Calibri" w:eastAsia="Calibri" w:hAnsi="Calibri"/>
          <w:sz w:val="15"/>
          <w:szCs w:val="15"/>
          <w:b w:val="1"/>
          <w:bCs w:val="1"/>
          <w:color w:val="auto"/>
        </w:rPr>
        <w:t xml:space="preserve"> </w:t>
      </w:r>
      <w:r>
        <w:rPr>
          <w:rFonts w:ascii="Calibri" w:cs="Calibri" w:eastAsia="Calibri" w:hAnsi="Calibri"/>
          <w:sz w:val="15"/>
          <w:szCs w:val="15"/>
          <w:color w:val="auto"/>
        </w:rPr>
        <w:t>frustratng instead of empowering. Enter CarGurus, where we provide trust and transparency to the process for consumers through our largest dealer network among major online auto marketplaces in the U.S., which provides the largest selecton of inventory and the greatest selecton of prices. Based on our consumer research, 54% of shoppers view price as the most important factor infuencing where to buy a vehicle, and 34% of shoppers view inventory selecton as the most important factor. As the consumer moves to purchase a vehicle, we aggregate vehicle inventory from dealers and apply our proprietary analysis to generate a Deal Ratng as one of the following: Great Deal, Good Deal, Fair Deal, High Priced, or Overpriced. Deal Ratng illustrates how compettve a listng is compared to similar cars recently sold in the same region. We determine Deal Ratng principally on the basis of both our proprietary Instant Market Value, or IMV, algorithm, which determines the market value of a used vehicle in a local market, and Dealer Ratng, a measure of a dealer’s reputaton as</w:t>
      </w:r>
    </w:p>
    <w:p>
      <w:pPr>
        <w:spacing w:after="0" w:line="186" w:lineRule="exact"/>
        <w:rPr>
          <w:sz w:val="20"/>
          <w:szCs w:val="20"/>
          <w:color w:val="auto"/>
        </w:rPr>
      </w:pPr>
    </w:p>
    <w:p>
      <w:pPr>
        <w:jc w:val="center"/>
        <w:spacing w:after="0"/>
        <w:rPr>
          <w:sz w:val="20"/>
          <w:szCs w:val="20"/>
          <w:color w:val="auto"/>
        </w:rPr>
      </w:pPr>
      <w:r>
        <w:rPr>
          <w:rFonts w:ascii="Calibri" w:cs="Calibri" w:eastAsia="Calibri" w:hAnsi="Calibri"/>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408940</wp:posOffset>
            </wp:positionV>
            <wp:extent cx="7178040" cy="400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3" w:right="319" w:bottom="1440" w:gutter="0" w:footer="0" w:header="0"/>
        </w:sectPr>
      </w:pPr>
    </w:p>
    <w:bookmarkStart w:id="5" w:name="page6"/>
    <w:bookmarkEnd w:id="5"/>
    <w:p>
      <w:pPr>
        <w:jc w:val="both"/>
        <w:spacing w:after="0" w:line="241" w:lineRule="auto"/>
        <w:rPr>
          <w:sz w:val="20"/>
          <w:szCs w:val="20"/>
          <w:color w:val="auto"/>
        </w:rPr>
      </w:pPr>
      <w:r>
        <w:rPr>
          <w:rFonts w:ascii="Calibri" w:cs="Calibri" w:eastAsia="Calibri" w:hAnsi="Calibri"/>
          <w:sz w:val="15"/>
          <w:szCs w:val="15"/>
          <w:color w:val="auto"/>
        </w:rPr>
        <w:t>determined by reviews of that dealer from our user community. With the largest selecton of inventory in the U.S., our search results are tailored to each customer based on consumer preferences, dozens of vehicle atributes, and the vehicle's Deal Ratng. For new cars, we help our users understand deal quality by providing price analysis and our Dealer Ratng. We also provide our users with informaton that historically has not been widely available, such as Price History, Time on Site, and Vehicle History.</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b w:val="1"/>
          <w:bCs w:val="1"/>
          <w:color w:val="auto"/>
        </w:rPr>
        <w:t>Finance &amp; Buy</w:t>
      </w:r>
      <w:r>
        <w:rPr>
          <w:rFonts w:ascii="Calibri" w:cs="Calibri" w:eastAsia="Calibri" w:hAnsi="Calibri"/>
          <w:sz w:val="15"/>
          <w:szCs w:val="15"/>
          <w:color w:val="auto"/>
        </w:rPr>
        <w:t>: Once a consumer has found a listng they intend to pursue, we provide an omni-channel approach to the purchase of a vehicle partally, principally, or entrely</w:t>
      </w:r>
      <w:r>
        <w:rPr>
          <w:rFonts w:ascii="Calibri" w:cs="Calibri" w:eastAsia="Calibri" w:hAnsi="Calibri"/>
          <w:sz w:val="15"/>
          <w:szCs w:val="15"/>
          <w:b w:val="1"/>
          <w:bCs w:val="1"/>
          <w:color w:val="auto"/>
        </w:rPr>
        <w:t xml:space="preserve"> </w:t>
      </w:r>
      <w:r>
        <w:rPr>
          <w:rFonts w:ascii="Calibri" w:cs="Calibri" w:eastAsia="Calibri" w:hAnsi="Calibri"/>
          <w:sz w:val="15"/>
          <w:szCs w:val="15"/>
          <w:color w:val="auto"/>
        </w:rPr>
        <w:t>online. Our digital retail products such as Digital Deal provide the consumer with a self-selected car-buying journey to tailor their experience to their specifc needs. According to our consumer research, nearly 70% of shoppers want to do more of the buying process online. Digital Deal allows these consumers to build a near penny-perfect deal with optons to select either dealer or vehicle-specifc fnance and insurance products, make an appointment, receive a trade-in estmate, place a deposit on their vehicle of choice, and/or take delivery of the vehicle all while experiencing a seamless online-to-in-store experience. Our consumer research also shows that 58% of shoppers are open to partcipatng in the vehicle-buying process entrely online without seeing the vehicle in person. For those consumers, we are pilotng CG Buy Online, an asset-light, end-to-end soluton that empowers consumers to complete transactons entrely online, providing dealers with digital transacton capabilites that can boost online sales and facilitate online purchases to out-of-market customers. We believe that, through our selecton of digitally enabled listngs, we will provide consumers with a larger inventory selecton, compettve prices, convenience, and a sense of trust through their car-shopping journey, leading to highly engaged, more confdent, and satsfed car buyers.</w:t>
      </w:r>
    </w:p>
    <w:p>
      <w:pPr>
        <w:spacing w:after="0" w:line="186"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b w:val="1"/>
          <w:bCs w:val="1"/>
          <w:color w:val="auto"/>
        </w:rPr>
        <w:t xml:space="preserve">Sell: </w:t>
      </w:r>
      <w:r>
        <w:rPr>
          <w:rFonts w:ascii="Calibri" w:cs="Calibri" w:eastAsia="Calibri" w:hAnsi="Calibri"/>
          <w:sz w:val="15"/>
          <w:szCs w:val="15"/>
          <w:color w:val="auto"/>
        </w:rPr>
        <w:t>Through our Sell My Car capability, we ofer IMCO and Top Dealer Ofers, or TDO, which give consumers in partcipatng states the choice to either sell their car entrely</w:t>
      </w:r>
      <w:r>
        <w:rPr>
          <w:rFonts w:ascii="Calibri" w:cs="Calibri" w:eastAsia="Calibri" w:hAnsi="Calibri"/>
          <w:sz w:val="15"/>
          <w:szCs w:val="15"/>
          <w:b w:val="1"/>
          <w:bCs w:val="1"/>
          <w:color w:val="auto"/>
        </w:rPr>
        <w:t xml:space="preserve"> </w:t>
      </w:r>
      <w:r>
        <w:rPr>
          <w:rFonts w:ascii="Calibri" w:cs="Calibri" w:eastAsia="Calibri" w:hAnsi="Calibri"/>
          <w:sz w:val="15"/>
          <w:szCs w:val="15"/>
          <w:color w:val="auto"/>
        </w:rPr>
        <w:t>online through IMCO or to a recommended local dealership through TDO. Consumers who are trading in or selling vehicles receive the most compettve ofer sourced from local dealers and natonally. Consumers beneft from the volume of partcipatng dealerships across the CarGurus and CarOfer networks, as well as the instant matches provided by demand from the CarOfer Matrix, which enables the consumer to fnd the best deal at any tme. Once the customer has accepted their ofer, they can further customize their intake experience by arranging a pick-up at their home for IMCO ofers, while for TDO they can arrange when they bring the car to the local dealer. With our largest dealer network and our two selling optons, consumers can have confdence that they are truly receiving the best ofer for their vehicle instantly.</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b w:val="1"/>
          <w:bCs w:val="1"/>
          <w:color w:val="auto"/>
        </w:rPr>
        <w:t>Dealers' CarGurus Journey</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b w:val="1"/>
          <w:bCs w:val="1"/>
          <w:color w:val="auto"/>
        </w:rPr>
        <w:t xml:space="preserve">Source: </w:t>
      </w:r>
      <w:r>
        <w:rPr>
          <w:rFonts w:ascii="Calibri" w:cs="Calibri" w:eastAsia="Calibri" w:hAnsi="Calibri"/>
          <w:sz w:val="15"/>
          <w:szCs w:val="15"/>
          <w:color w:val="auto"/>
        </w:rPr>
        <w:t>Through CarOfer, we allow dealers to conveniently and efciently acquire and sell wholesale inventory by utlizing our Dealer-to-Dealer wholesale product and acquiring</w:t>
      </w:r>
      <w:r>
        <w:rPr>
          <w:rFonts w:ascii="Calibri" w:cs="Calibri" w:eastAsia="Calibri" w:hAnsi="Calibri"/>
          <w:sz w:val="15"/>
          <w:szCs w:val="15"/>
          <w:b w:val="1"/>
          <w:bCs w:val="1"/>
          <w:color w:val="auto"/>
        </w:rPr>
        <w:t xml:space="preserve"> </w:t>
      </w:r>
      <w:r>
        <w:rPr>
          <w:rFonts w:ascii="Calibri" w:cs="Calibri" w:eastAsia="Calibri" w:hAnsi="Calibri"/>
          <w:sz w:val="15"/>
          <w:szCs w:val="15"/>
          <w:color w:val="auto"/>
        </w:rPr>
        <w:t>consumer inventory through our Sell My Car (IMCO and TDO) oferings. CarOfer's technology enables dealers to bid, transact, inspect, and transport vehicles seamlessly and efciently without geographic limitatons. Any dealer, including those who are customers of the CarGurus website, can enroll on the CarOfer platorm at no additonal cost. For the purchase and sale of vehicles between dealers, or Dealer-to-Dealer transactons, the CarOfer Matrix allows dealers on the platorm to buy and sell vehicles using limit orders, saving dealers the tme and expense of going to an aucton to acquire vehicles via the traditonal in-person physical aucton model. To ensure that dealers feel confdent that their purchase will meet their expectatons, we ofer detailed mechanical inspectons on the vehicles they purchase. Dealers also have a separate opton on select vehicles to use a 24-Hour capability, which gives dealers 24 hours to review vehicle conditon reports, details, history, and photos before making a purchasing decision. As we look to actvate more dealers on the CarOfer Matrix, we expect dealers will see a corresponding increase of dealer-to-dealer inventory on the platorm, driving improved liquidity, selecton, and business efciencies. Additonally, we enable dealers to acquire consumer inventory via IMCO and TDO, both of which utlize the CarOfer Matrix. Over tme, we expect these oferings will provide dealers with greater access to fresh consumer trade-in inventory and will provide even greater liquidity on the CarOfer platorm. IMCO, which allows dealers to purchase vehicles across geographies, is similar to a Dealer-to-Dealer transacton in that CarOfer handles inspectons, transportaton, ttles, and payments in one bill of sale from the consumer. TDO gives dealers the ability to bid on local consumer trade-ins and win exclusive leads, which brings consumers to the dealership, where dealers can inspect the trade-in vehicles themselves while retaining the customer. Our wholesale platorm provides a soluton for dealers looking to minimize reliance on in-person or online auctons to source their vehicle inventory while ensuring they are paying a fair price.</w:t>
      </w:r>
    </w:p>
    <w:p>
      <w:pPr>
        <w:spacing w:after="0" w:line="371" w:lineRule="exact"/>
        <w:rPr>
          <w:sz w:val="20"/>
          <w:szCs w:val="20"/>
          <w:color w:val="auto"/>
        </w:rPr>
      </w:pPr>
    </w:p>
    <w:p>
      <w:pPr>
        <w:jc w:val="center"/>
        <w:spacing w:after="0"/>
        <w:rPr>
          <w:sz w:val="20"/>
          <w:szCs w:val="20"/>
          <w:color w:val="auto"/>
        </w:rPr>
      </w:pPr>
      <w:r>
        <w:rPr>
          <w:rFonts w:ascii="Calibri" w:cs="Calibri" w:eastAsia="Calibri" w:hAnsi="Calibri"/>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408940</wp:posOffset>
            </wp:positionV>
            <wp:extent cx="7178040" cy="400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4" w:right="319" w:bottom="1440" w:gutter="0" w:footer="0" w:header="0"/>
        </w:sectPr>
      </w:pPr>
    </w:p>
    <w:bookmarkStart w:id="6" w:name="page7"/>
    <w:bookmarkEnd w:id="6"/>
    <w:p>
      <w:pPr>
        <w:jc w:val="both"/>
        <w:ind w:firstLine="511"/>
        <w:spacing w:after="0" w:line="241" w:lineRule="auto"/>
        <w:rPr>
          <w:sz w:val="20"/>
          <w:szCs w:val="20"/>
          <w:color w:val="auto"/>
        </w:rPr>
      </w:pPr>
      <w:r>
        <w:rPr>
          <w:rFonts w:ascii="Calibri" w:cs="Calibri" w:eastAsia="Calibri" w:hAnsi="Calibri"/>
          <w:sz w:val="15"/>
          <w:szCs w:val="15"/>
          <w:b w:val="1"/>
          <w:bCs w:val="1"/>
          <w:color w:val="auto"/>
        </w:rPr>
        <w:t xml:space="preserve">Market: </w:t>
      </w:r>
      <w:r>
        <w:rPr>
          <w:rFonts w:ascii="Calibri" w:cs="Calibri" w:eastAsia="Calibri" w:hAnsi="Calibri"/>
          <w:sz w:val="15"/>
          <w:szCs w:val="15"/>
          <w:color w:val="auto"/>
        </w:rPr>
        <w:t>Dealers can list their inventory on CarGurus’ marketplace for free or with a subscripton to one of our paid Listngs packages. Non-paying dealers receive a limited</w:t>
      </w:r>
      <w:r>
        <w:rPr>
          <w:rFonts w:ascii="Calibri" w:cs="Calibri" w:eastAsia="Calibri" w:hAnsi="Calibri"/>
          <w:sz w:val="15"/>
          <w:szCs w:val="15"/>
          <w:b w:val="1"/>
          <w:bCs w:val="1"/>
          <w:color w:val="auto"/>
        </w:rPr>
        <w:t xml:space="preserve"> </w:t>
      </w:r>
      <w:r>
        <w:rPr>
          <w:rFonts w:ascii="Calibri" w:cs="Calibri" w:eastAsia="Calibri" w:hAnsi="Calibri"/>
          <w:sz w:val="15"/>
          <w:szCs w:val="15"/>
          <w:color w:val="auto"/>
        </w:rPr>
        <w:t>number of anonymized email connectons and access to a subset of tools on our Dealer Dashboard at no cost. A dealer with a paid subscripton receives much more, depending on their package, including connectons with consumers that are not anonymous and are made through a wider variety of methods, such as phone calls, email, managed text and chat, links to the dealer’s website, and map directons to its dealerships. Leads are a subcategory of connectons that we defne as user inquiries via our marketplace to dealers by phone calls, email, or managed text and chat interactons. We defne connectons as interactons between consumers and dealers via our marketplace through phone calls, email, managed text and chat, and clicks to access the dealer’s website and map directons to the dealership. Dealers with our paid Listngs packages are able to display their dealership's name, address, and dealership informaton on their listngs on our websites to gain brand recogniton, which promotes walk-in trafc to the dealership. Paying dealers also have access to tools on the Dealer Dashboard, and dealers with our newest and highest-ter subscripton packages receive Digital Deal as well as other digital retail add-on product oferings, like Geo Expansion, which enables dealers to expand their geographic footprint to reach out-of-market shoppers. This also provides dealers with more volume and higher lead quality – Digital Deal leads are up to 5 tmes more likely to close than traditonal email leads. Through our high-intent consumer audience, innovatve tools, data insights, and a variety of other product oferings, paying dealers on our platorm ultmately earn a consistent and compelling ROI.</w:t>
      </w:r>
    </w:p>
    <w:p>
      <w:pPr>
        <w:spacing w:after="0" w:line="186"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b w:val="1"/>
          <w:bCs w:val="1"/>
          <w:color w:val="auto"/>
        </w:rPr>
        <w:t xml:space="preserve">Sell: </w:t>
      </w:r>
      <w:r>
        <w:rPr>
          <w:rFonts w:ascii="Calibri" w:cs="Calibri" w:eastAsia="Calibri" w:hAnsi="Calibri"/>
          <w:sz w:val="15"/>
          <w:szCs w:val="15"/>
          <w:color w:val="auto"/>
        </w:rPr>
        <w:t>By presentng consumers with data such as our Deal Ratngs, Price History, Time on Site, Vehicle History, and fnancing optons, we believe our consumer audience is</w:t>
      </w:r>
      <w:r>
        <w:rPr>
          <w:rFonts w:ascii="Calibri" w:cs="Calibri" w:eastAsia="Calibri" w:hAnsi="Calibri"/>
          <w:sz w:val="15"/>
          <w:szCs w:val="15"/>
          <w:b w:val="1"/>
          <w:bCs w:val="1"/>
          <w:color w:val="auto"/>
        </w:rPr>
        <w:t xml:space="preserve"> </w:t>
      </w:r>
      <w:r>
        <w:rPr>
          <w:rFonts w:ascii="Calibri" w:cs="Calibri" w:eastAsia="Calibri" w:hAnsi="Calibri"/>
          <w:sz w:val="15"/>
          <w:szCs w:val="15"/>
          <w:color w:val="auto"/>
        </w:rPr>
        <w:t>composed of more informed, ready-to-purchase shoppers. By connectng dealers with such consumers, we believe we provide dealers with access to an efcient customer acquisiton channel with the highest-intent shoppers generatng the highest ROI. Further, as consumer needs evolve to customize aspects of their vehicle purchase, we provide dealers, through a variety of digital oferings, the means to cater to consumers on a personalized level. Consumers can choose to complete their self-selected car-shopping journey with Digital Deal and other digital oferings that we provide through our partnership with dealers, enabling an individualized shopping experience from fnancing optons to placing a deposit. By using Digital Deal with Geo Expansion, dealers get access to a wider audience outside of the physical reach of their dealership. In combinaton with some of our new Digital Retail capabilites, we provide even more value to dealers by facilitatng online sales to out-of-market customers. We are pilotng CG Buy Online, which allows a limited number of dealers to sell vehicles online to out-of-market customers using dealer-friendly third-party delivery capabilites. This lets the dealer delegate logistcs to CarGurus, and we believe the expanded market for these dealers accelerates turn tmes on inventory. We also provide paying dealers with full access to our Dealer Dashboard, including inventory pricing tools informed by real-tme market conditons, which helps them more efectvely price, merchandise, and sell their cars. The ability to compare wholesale pricing with retail pricing ultmately allows dealers to price a car with more accuracy. We believe this transparency will create trust, leading to loyal consumers. These combined oferings allow dealers to efciently drive their business to success from all aspects of sourcing, marketng, and selling. Our success in our partnership with dealers is evidenced by the number of paying dealers – 24,318 paying dealers as of December 31, 2023 – in our marketplace in the U.S.</w:t>
      </w:r>
    </w:p>
    <w:p>
      <w:pPr>
        <w:spacing w:after="0" w:line="187" w:lineRule="exact"/>
        <w:rPr>
          <w:sz w:val="20"/>
          <w:szCs w:val="20"/>
          <w:color w:val="auto"/>
        </w:rPr>
      </w:pPr>
    </w:p>
    <w:p>
      <w:pPr>
        <w:spacing w:after="0"/>
        <w:rPr>
          <w:sz w:val="20"/>
          <w:szCs w:val="20"/>
          <w:color w:val="auto"/>
        </w:rPr>
      </w:pPr>
      <w:r>
        <w:rPr>
          <w:rFonts w:ascii="Calibri" w:cs="Calibri" w:eastAsia="Calibri" w:hAnsi="Calibri"/>
          <w:sz w:val="15"/>
          <w:szCs w:val="15"/>
          <w:b w:val="1"/>
          <w:bCs w:val="1"/>
          <w:color w:val="auto"/>
        </w:rPr>
        <w:t>CarGurus Value Propositon</w:t>
      </w:r>
    </w:p>
    <w:p>
      <w:pPr>
        <w:spacing w:after="0" w:line="185" w:lineRule="exact"/>
        <w:rPr>
          <w:sz w:val="20"/>
          <w:szCs w:val="20"/>
          <w:color w:val="auto"/>
        </w:rPr>
      </w:pPr>
    </w:p>
    <w:p>
      <w:pPr>
        <w:jc w:val="both"/>
        <w:ind w:firstLine="511"/>
        <w:spacing w:after="0" w:line="247" w:lineRule="auto"/>
        <w:rPr>
          <w:sz w:val="20"/>
          <w:szCs w:val="20"/>
          <w:color w:val="auto"/>
        </w:rPr>
      </w:pPr>
      <w:r>
        <w:rPr>
          <w:rFonts w:ascii="Calibri" w:cs="Calibri" w:eastAsia="Calibri" w:hAnsi="Calibri"/>
          <w:sz w:val="15"/>
          <w:szCs w:val="15"/>
          <w:color w:val="auto"/>
        </w:rPr>
        <w:t>With the majority of dealers in the U.S. listng inventory on our platorm and our consumer-friendly deal ratngs, we have built the most visited online automotve marketplace in the U.S. (Source: SimilarWeb, Trafc Report, Q4 2023, U.S.) and we believe that our scale creates powerful network efects that reinforce the compettve strength of our business model. This powerful network has only strengthened since our inital acquisiton of CarOfer in 2021. The combinaton of Digital Retail, Digital Wholesale, and Listngs creates powerful synergies for our dealer customers. Dealers can leverage this one-stop shop to acquire inventory from both consumers and dealers, list the vehicle on our marketplace, and sell it utlizing our digital retail capabilites. Our industry-leading inventory selecton from our U.S. dealers atracts a large and engaged consumer audience – 31.2 million average monthly U.S. unique users in 2023. The robust connectons from our high-intent consumer audience drive greater value and a higher ROI for our paying dealers. Driven by these network efects, we contnue to amass data points, which we use not only to further strengthen our trafc acquisiton eforts and marketplace search algorithms, but also to improve the quality of our user experience and our partnership with dealers to provide innovatve digital data oferings and much more. As we contnue to innovate and progress our oferings to meet both consumer and dealer needs, we strive to uphold and improve the quality of the connectons between consumers and dealers and become the preferred platorm for all steps of the vehicle acquisiton and sale process, ultmately giving dealers and consumers the power to reach their destnaton.</w:t>
      </w:r>
    </w:p>
    <w:p>
      <w:pPr>
        <w:spacing w:after="0" w:line="186" w:lineRule="exact"/>
        <w:rPr>
          <w:sz w:val="20"/>
          <w:szCs w:val="20"/>
          <w:color w:val="auto"/>
        </w:rPr>
      </w:pPr>
    </w:p>
    <w:p>
      <w:pPr>
        <w:jc w:val="center"/>
        <w:spacing w:after="0"/>
        <w:rPr>
          <w:sz w:val="20"/>
          <w:szCs w:val="20"/>
          <w:color w:val="auto"/>
        </w:rPr>
      </w:pPr>
      <w:r>
        <w:rPr>
          <w:rFonts w:ascii="Calibri" w:cs="Calibri" w:eastAsia="Calibri" w:hAnsi="Calibri"/>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408940</wp:posOffset>
            </wp:positionV>
            <wp:extent cx="7178040" cy="400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4" w:right="319" w:bottom="1440" w:gutter="0" w:footer="0" w:header="0"/>
        </w:sectPr>
      </w:pPr>
    </w:p>
    <w:bookmarkStart w:id="7" w:name="page8"/>
    <w:bookmarkEnd w:id="7"/>
    <w:p>
      <w:pPr>
        <w:spacing w:after="0"/>
        <w:rPr>
          <w:sz w:val="20"/>
          <w:szCs w:val="20"/>
          <w:color w:val="auto"/>
        </w:rPr>
      </w:pPr>
      <w:r>
        <w:rPr>
          <w:rFonts w:ascii="Calibri" w:cs="Calibri" w:eastAsia="Calibri" w:hAnsi="Calibri"/>
          <w:sz w:val="15"/>
          <w:szCs w:val="15"/>
          <w:b w:val="1"/>
          <w:bCs w:val="1"/>
          <w:color w:val="auto"/>
        </w:rPr>
        <w:t>Consumers' Challenges</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color w:val="auto"/>
        </w:rPr>
        <w:t>As consumers complete the end-to-end car-shopping journey, the key questons they ask are:</w:t>
      </w:r>
    </w:p>
    <w:p>
      <w:pPr>
        <w:spacing w:after="0" w:line="197" w:lineRule="exact"/>
        <w:rPr>
          <w:sz w:val="20"/>
          <w:szCs w:val="20"/>
          <w:color w:val="auto"/>
        </w:rPr>
      </w:pPr>
    </w:p>
    <w:p>
      <w:pPr>
        <w:ind w:left="1020" w:hanging="518"/>
        <w:spacing w:after="0"/>
        <w:tabs>
          <w:tab w:leader="none" w:pos="1020" w:val="left"/>
        </w:tabs>
        <w:numPr>
          <w:ilvl w:val="0"/>
          <w:numId w:val="4"/>
        </w:numPr>
        <w:rPr>
          <w:rFonts w:ascii="Times New Roman" w:cs="Times New Roman" w:eastAsia="Times New Roman" w:hAnsi="Times New Roman"/>
          <w:sz w:val="15"/>
          <w:szCs w:val="15"/>
          <w:color w:val="auto"/>
        </w:rPr>
      </w:pPr>
      <w:r>
        <w:rPr>
          <w:rFonts w:ascii="Calibri" w:cs="Calibri" w:eastAsia="Calibri" w:hAnsi="Calibri"/>
          <w:sz w:val="15"/>
          <w:szCs w:val="15"/>
          <w:color w:val="auto"/>
        </w:rPr>
        <w:t>Am I getng a fair price for my trade-in?</w:t>
      </w:r>
    </w:p>
    <w:p>
      <w:pPr>
        <w:spacing w:after="0" w:line="196" w:lineRule="exact"/>
        <w:rPr>
          <w:rFonts w:ascii="Times New Roman" w:cs="Times New Roman" w:eastAsia="Times New Roman" w:hAnsi="Times New Roman"/>
          <w:sz w:val="15"/>
          <w:szCs w:val="15"/>
          <w:color w:val="auto"/>
        </w:rPr>
      </w:pPr>
    </w:p>
    <w:p>
      <w:pPr>
        <w:ind w:left="1020" w:hanging="518"/>
        <w:spacing w:after="0"/>
        <w:tabs>
          <w:tab w:leader="none" w:pos="1020" w:val="left"/>
        </w:tabs>
        <w:numPr>
          <w:ilvl w:val="0"/>
          <w:numId w:val="4"/>
        </w:numPr>
        <w:rPr>
          <w:rFonts w:ascii="Times New Roman" w:cs="Times New Roman" w:eastAsia="Times New Roman" w:hAnsi="Times New Roman"/>
          <w:sz w:val="15"/>
          <w:szCs w:val="15"/>
          <w:color w:val="auto"/>
        </w:rPr>
      </w:pPr>
      <w:r>
        <w:rPr>
          <w:rFonts w:ascii="Calibri" w:cs="Calibri" w:eastAsia="Calibri" w:hAnsi="Calibri"/>
          <w:sz w:val="15"/>
          <w:szCs w:val="15"/>
          <w:color w:val="auto"/>
        </w:rPr>
        <w:t>Should I purchase a vehicle with my trade-in?</w:t>
      </w:r>
    </w:p>
    <w:p>
      <w:pPr>
        <w:spacing w:after="0" w:line="196" w:lineRule="exact"/>
        <w:rPr>
          <w:rFonts w:ascii="Times New Roman" w:cs="Times New Roman" w:eastAsia="Times New Roman" w:hAnsi="Times New Roman"/>
          <w:sz w:val="15"/>
          <w:szCs w:val="15"/>
          <w:color w:val="auto"/>
        </w:rPr>
      </w:pPr>
    </w:p>
    <w:p>
      <w:pPr>
        <w:ind w:left="1020" w:hanging="518"/>
        <w:spacing w:after="0"/>
        <w:tabs>
          <w:tab w:leader="none" w:pos="1020" w:val="left"/>
        </w:tabs>
        <w:numPr>
          <w:ilvl w:val="0"/>
          <w:numId w:val="4"/>
        </w:numPr>
        <w:rPr>
          <w:rFonts w:ascii="Times New Roman" w:cs="Times New Roman" w:eastAsia="Times New Roman" w:hAnsi="Times New Roman"/>
          <w:sz w:val="15"/>
          <w:szCs w:val="15"/>
          <w:color w:val="auto"/>
        </w:rPr>
      </w:pPr>
      <w:r>
        <w:rPr>
          <w:rFonts w:ascii="Calibri" w:cs="Calibri" w:eastAsia="Calibri" w:hAnsi="Calibri"/>
          <w:sz w:val="15"/>
          <w:szCs w:val="15"/>
          <w:color w:val="auto"/>
        </w:rPr>
        <w:t>What type of vehicle should I buy?</w:t>
      </w:r>
    </w:p>
    <w:p>
      <w:pPr>
        <w:spacing w:after="0" w:line="196" w:lineRule="exact"/>
        <w:rPr>
          <w:rFonts w:ascii="Times New Roman" w:cs="Times New Roman" w:eastAsia="Times New Roman" w:hAnsi="Times New Roman"/>
          <w:sz w:val="15"/>
          <w:szCs w:val="15"/>
          <w:color w:val="auto"/>
        </w:rPr>
      </w:pPr>
    </w:p>
    <w:p>
      <w:pPr>
        <w:ind w:left="1020" w:hanging="518"/>
        <w:spacing w:after="0"/>
        <w:tabs>
          <w:tab w:leader="none" w:pos="1020" w:val="left"/>
        </w:tabs>
        <w:numPr>
          <w:ilvl w:val="0"/>
          <w:numId w:val="4"/>
        </w:numPr>
        <w:rPr>
          <w:rFonts w:ascii="Times New Roman" w:cs="Times New Roman" w:eastAsia="Times New Roman" w:hAnsi="Times New Roman"/>
          <w:sz w:val="15"/>
          <w:szCs w:val="15"/>
          <w:color w:val="auto"/>
        </w:rPr>
      </w:pPr>
      <w:r>
        <w:rPr>
          <w:rFonts w:ascii="Calibri" w:cs="Calibri" w:eastAsia="Calibri" w:hAnsi="Calibri"/>
          <w:sz w:val="15"/>
          <w:szCs w:val="15"/>
          <w:color w:val="auto"/>
        </w:rPr>
        <w:t>Where can I buy a car like this?</w:t>
      </w:r>
    </w:p>
    <w:p>
      <w:pPr>
        <w:spacing w:after="0" w:line="196" w:lineRule="exact"/>
        <w:rPr>
          <w:rFonts w:ascii="Times New Roman" w:cs="Times New Roman" w:eastAsia="Times New Roman" w:hAnsi="Times New Roman"/>
          <w:sz w:val="15"/>
          <w:szCs w:val="15"/>
          <w:color w:val="auto"/>
        </w:rPr>
      </w:pPr>
    </w:p>
    <w:p>
      <w:pPr>
        <w:ind w:left="1020" w:hanging="518"/>
        <w:spacing w:after="0"/>
        <w:tabs>
          <w:tab w:leader="none" w:pos="1020" w:val="left"/>
        </w:tabs>
        <w:numPr>
          <w:ilvl w:val="0"/>
          <w:numId w:val="4"/>
        </w:numPr>
        <w:rPr>
          <w:rFonts w:ascii="Times New Roman" w:cs="Times New Roman" w:eastAsia="Times New Roman" w:hAnsi="Times New Roman"/>
          <w:sz w:val="15"/>
          <w:szCs w:val="15"/>
          <w:color w:val="auto"/>
        </w:rPr>
      </w:pPr>
      <w:r>
        <w:rPr>
          <w:rFonts w:ascii="Calibri" w:cs="Calibri" w:eastAsia="Calibri" w:hAnsi="Calibri"/>
          <w:sz w:val="15"/>
          <w:szCs w:val="15"/>
          <w:color w:val="auto"/>
        </w:rPr>
        <w:t>What is a fair price for this partcular type of vehicle?</w:t>
      </w:r>
    </w:p>
    <w:p>
      <w:pPr>
        <w:spacing w:after="0" w:line="196" w:lineRule="exact"/>
        <w:rPr>
          <w:rFonts w:ascii="Times New Roman" w:cs="Times New Roman" w:eastAsia="Times New Roman" w:hAnsi="Times New Roman"/>
          <w:sz w:val="15"/>
          <w:szCs w:val="15"/>
          <w:color w:val="auto"/>
        </w:rPr>
      </w:pPr>
    </w:p>
    <w:p>
      <w:pPr>
        <w:ind w:left="1020" w:hanging="518"/>
        <w:spacing w:after="0"/>
        <w:tabs>
          <w:tab w:leader="none" w:pos="1020" w:val="left"/>
        </w:tabs>
        <w:numPr>
          <w:ilvl w:val="0"/>
          <w:numId w:val="4"/>
        </w:numPr>
        <w:rPr>
          <w:rFonts w:ascii="Times New Roman" w:cs="Times New Roman" w:eastAsia="Times New Roman" w:hAnsi="Times New Roman"/>
          <w:sz w:val="15"/>
          <w:szCs w:val="15"/>
          <w:color w:val="auto"/>
        </w:rPr>
      </w:pPr>
      <w:r>
        <w:rPr>
          <w:rFonts w:ascii="Calibri" w:cs="Calibri" w:eastAsia="Calibri" w:hAnsi="Calibri"/>
          <w:sz w:val="15"/>
          <w:szCs w:val="15"/>
          <w:color w:val="auto"/>
        </w:rPr>
        <w:t>Have others had a good experience buying from this dealer?</w:t>
      </w:r>
    </w:p>
    <w:p>
      <w:pPr>
        <w:spacing w:after="0" w:line="196" w:lineRule="exact"/>
        <w:rPr>
          <w:rFonts w:ascii="Times New Roman" w:cs="Times New Roman" w:eastAsia="Times New Roman" w:hAnsi="Times New Roman"/>
          <w:sz w:val="15"/>
          <w:szCs w:val="15"/>
          <w:color w:val="auto"/>
        </w:rPr>
      </w:pPr>
    </w:p>
    <w:p>
      <w:pPr>
        <w:ind w:left="1020" w:hanging="518"/>
        <w:spacing w:after="0"/>
        <w:tabs>
          <w:tab w:leader="none" w:pos="1020" w:val="left"/>
        </w:tabs>
        <w:numPr>
          <w:ilvl w:val="0"/>
          <w:numId w:val="4"/>
        </w:numPr>
        <w:rPr>
          <w:rFonts w:ascii="Times New Roman" w:cs="Times New Roman" w:eastAsia="Times New Roman" w:hAnsi="Times New Roman"/>
          <w:sz w:val="15"/>
          <w:szCs w:val="15"/>
          <w:color w:val="auto"/>
        </w:rPr>
      </w:pPr>
      <w:r>
        <w:rPr>
          <w:rFonts w:ascii="Calibri" w:cs="Calibri" w:eastAsia="Calibri" w:hAnsi="Calibri"/>
          <w:sz w:val="15"/>
          <w:szCs w:val="15"/>
          <w:color w:val="auto"/>
        </w:rPr>
        <w:t>How much of the purchase process can I transact online?</w:t>
      </w:r>
    </w:p>
    <w:p>
      <w:pPr>
        <w:spacing w:after="0" w:line="196" w:lineRule="exact"/>
        <w:rPr>
          <w:rFonts w:ascii="Times New Roman" w:cs="Times New Roman" w:eastAsia="Times New Roman" w:hAnsi="Times New Roman"/>
          <w:sz w:val="15"/>
          <w:szCs w:val="15"/>
          <w:color w:val="auto"/>
        </w:rPr>
      </w:pPr>
    </w:p>
    <w:p>
      <w:pPr>
        <w:ind w:left="1020" w:hanging="518"/>
        <w:spacing w:after="0"/>
        <w:tabs>
          <w:tab w:leader="none" w:pos="1020" w:val="left"/>
        </w:tabs>
        <w:numPr>
          <w:ilvl w:val="0"/>
          <w:numId w:val="4"/>
        </w:numPr>
        <w:rPr>
          <w:rFonts w:ascii="Times New Roman" w:cs="Times New Roman" w:eastAsia="Times New Roman" w:hAnsi="Times New Roman"/>
          <w:sz w:val="15"/>
          <w:szCs w:val="15"/>
          <w:color w:val="auto"/>
        </w:rPr>
      </w:pPr>
      <w:r>
        <w:rPr>
          <w:rFonts w:ascii="Calibri" w:cs="Calibri" w:eastAsia="Calibri" w:hAnsi="Calibri"/>
          <w:sz w:val="15"/>
          <w:szCs w:val="15"/>
          <w:color w:val="auto"/>
        </w:rPr>
        <w:t>Can I obtain fnancing for this car, and at what cost?</w:t>
      </w:r>
    </w:p>
    <w:p>
      <w:pPr>
        <w:spacing w:after="0" w:line="196" w:lineRule="exact"/>
        <w:rPr>
          <w:rFonts w:ascii="Times New Roman" w:cs="Times New Roman" w:eastAsia="Times New Roman" w:hAnsi="Times New Roman"/>
          <w:sz w:val="15"/>
          <w:szCs w:val="15"/>
          <w:color w:val="auto"/>
        </w:rPr>
      </w:pPr>
    </w:p>
    <w:p>
      <w:pPr>
        <w:ind w:left="1020" w:hanging="518"/>
        <w:spacing w:after="0"/>
        <w:tabs>
          <w:tab w:leader="none" w:pos="1020" w:val="left"/>
        </w:tabs>
        <w:numPr>
          <w:ilvl w:val="0"/>
          <w:numId w:val="4"/>
        </w:numPr>
        <w:rPr>
          <w:rFonts w:ascii="Times New Roman" w:cs="Times New Roman" w:eastAsia="Times New Roman" w:hAnsi="Times New Roman"/>
          <w:sz w:val="15"/>
          <w:szCs w:val="15"/>
          <w:color w:val="auto"/>
        </w:rPr>
      </w:pPr>
      <w:r>
        <w:rPr>
          <w:rFonts w:ascii="Calibri" w:cs="Calibri" w:eastAsia="Calibri" w:hAnsi="Calibri"/>
          <w:sz w:val="15"/>
          <w:szCs w:val="15"/>
          <w:color w:val="auto"/>
        </w:rPr>
        <w:t>What if this dealer is not local to my area?</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In answering these questons, consumers historically had limited access to transparent informaton on specifc vehicles, car pricing, and dealer reputaton. Further, consumers who wanted to trade in their vehicle or wanted to complete select elements of their car-shopping journey online typically had very limited optons. Every car-shopping journey is a unique experience, and so for consumers embarking on this journey, there is a difculty in the absence of consistent informaton on pricing for both selling and purchasing vehicles. Selling a vehicle was tme-consuming and exhaustng for consumers as they traveled from dealer to dealer to ensure they were receiving a fair and accurate price for their vehicle. Selectng the right dealer was also challenging for consumers as dealer reputatons were historically based primarily on word of mouth. The lack of clear, transparent informaton made it difcult for consumers to efectvely compare vehicles, fnd the vehicles that best suited their needs, and transact with well-regarded dealers. In additon, following the COVID-19 pandemic, consumers are also increasingly interested in understanding which aspects of their buying journey they can complete online and are looking for ways to customize their journey to incorporate both online and in-person components.</w:t>
      </w:r>
    </w:p>
    <w:p>
      <w:pPr>
        <w:spacing w:after="0" w:line="186" w:lineRule="exact"/>
        <w:rPr>
          <w:sz w:val="20"/>
          <w:szCs w:val="20"/>
          <w:color w:val="auto"/>
        </w:rPr>
      </w:pPr>
    </w:p>
    <w:p>
      <w:pPr>
        <w:spacing w:after="0"/>
        <w:rPr>
          <w:sz w:val="20"/>
          <w:szCs w:val="20"/>
          <w:color w:val="auto"/>
        </w:rPr>
      </w:pPr>
      <w:r>
        <w:rPr>
          <w:rFonts w:ascii="Calibri" w:cs="Calibri" w:eastAsia="Calibri" w:hAnsi="Calibri"/>
          <w:sz w:val="15"/>
          <w:szCs w:val="15"/>
          <w:b w:val="1"/>
          <w:bCs w:val="1"/>
          <w:color w:val="auto"/>
        </w:rPr>
        <w:t>Dealers' Challenges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Dealers have had to face a new set of challenges over the past few years including as a result of the semiconductor chip shortage and other supply chain disruptons impactng auto manufacturers' producton levels. The shortage of both used and new car inventory and rapidly evolving wholesale prices caused dealers to invest in additonal methods to source wholesale vehicles, all while dealers have been adaptng to the shif from physical to digital marketplaces as consumer needs and wants contnue to evolve and competton from online retailers increases. Dealers need to remain compettve in their ofers for consumer trade-ins, as consumers have increasing means to source multple ofers in this highly compettve and digitally enabled market. The economics of dealerships depend largely on vehicle acquisiton costs, sales volume, and customer acquisiton efciency. To achieve a high return on their marketng investments, dealers must fnd in-market consumers. Dealers additonally need to be strategic about selling vehicles before they are “aged inventory.” Traditonal marketng channels that dealers utlize, including television, radio, and newspaper, can target locally but are inefcient in targetng the narrow percentage of high-intent consumers who are ready to purchase and potentally trade in a vehicle both locally and outside a dealership's immediate geographic footprint. In additon, with used car pricing being fuid due to rapidly shifing supply and demand dynamics, dealers need to fnd ways to manage constantly changing inventory and adjust pricing and purchasing strategies to adapt to frequently changing market conditons as evidenced by the past few years.</w:t>
      </w:r>
    </w:p>
    <w:p>
      <w:pPr>
        <w:spacing w:after="0" w:line="186" w:lineRule="exact"/>
        <w:rPr>
          <w:sz w:val="20"/>
          <w:szCs w:val="20"/>
          <w:color w:val="auto"/>
        </w:rPr>
      </w:pPr>
    </w:p>
    <w:p>
      <w:pPr>
        <w:jc w:val="center"/>
        <w:spacing w:after="0"/>
        <w:rPr>
          <w:sz w:val="20"/>
          <w:szCs w:val="20"/>
          <w:color w:val="auto"/>
        </w:rPr>
      </w:pPr>
      <w:r>
        <w:rPr>
          <w:rFonts w:ascii="Calibri" w:cs="Calibri" w:eastAsia="Calibri" w:hAnsi="Calibri"/>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408940</wp:posOffset>
            </wp:positionV>
            <wp:extent cx="7178040" cy="400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3" w:right="319" w:bottom="1440" w:gutter="0" w:footer="0" w:header="0"/>
        </w:sectPr>
      </w:pPr>
    </w:p>
    <w:bookmarkStart w:id="8" w:name="page9"/>
    <w:bookmarkEnd w:id="8"/>
    <w:p>
      <w:pPr>
        <w:spacing w:after="0"/>
        <w:rPr>
          <w:sz w:val="20"/>
          <w:szCs w:val="20"/>
          <w:color w:val="auto"/>
        </w:rPr>
      </w:pPr>
      <w:r>
        <w:rPr>
          <w:rFonts w:ascii="Calibri" w:cs="Calibri" w:eastAsia="Calibri" w:hAnsi="Calibri"/>
          <w:sz w:val="15"/>
          <w:szCs w:val="15"/>
          <w:b w:val="1"/>
          <w:bCs w:val="1"/>
          <w:color w:val="auto"/>
        </w:rPr>
        <w:t>Our Strengths</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color w:val="auto"/>
        </w:rPr>
        <w:t>We believe that our compettve advantages are based on the following key strengths: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i w:val="1"/>
          <w:iCs w:val="1"/>
          <w:color w:val="auto"/>
        </w:rPr>
        <w:t>Trusted Marketplace for Consumers</w:t>
      </w:r>
      <w:r>
        <w:rPr>
          <w:rFonts w:ascii="Calibri" w:cs="Calibri" w:eastAsia="Calibri" w:hAnsi="Calibri"/>
          <w:sz w:val="15"/>
          <w:szCs w:val="15"/>
          <w:b w:val="1"/>
          <w:bCs w:val="1"/>
          <w:i w:val="1"/>
          <w:iCs w:val="1"/>
          <w:color w:val="auto"/>
        </w:rPr>
        <w:t>.</w:t>
      </w:r>
      <w:r>
        <w:rPr>
          <w:rFonts w:ascii="Calibri" w:cs="Calibri" w:eastAsia="Calibri" w:hAnsi="Calibri"/>
          <w:sz w:val="15"/>
          <w:szCs w:val="15"/>
          <w:i w:val="1"/>
          <w:iCs w:val="1"/>
          <w:color w:val="auto"/>
        </w:rPr>
        <w:t xml:space="preserve"> </w:t>
      </w:r>
      <w:r>
        <w:rPr>
          <w:rFonts w:ascii="Calibri" w:cs="Calibri" w:eastAsia="Calibri" w:hAnsi="Calibri"/>
          <w:sz w:val="15"/>
          <w:szCs w:val="15"/>
          <w:color w:val="auto"/>
        </w:rPr>
        <w:t>We provide consumers with transparent informaton, intuitve search results, and other tools that aid them in their car-shopping journey.</w:t>
      </w:r>
      <w:r>
        <w:rPr>
          <w:rFonts w:ascii="Calibri" w:cs="Calibri" w:eastAsia="Calibri" w:hAnsi="Calibri"/>
          <w:sz w:val="15"/>
          <w:szCs w:val="15"/>
          <w:i w:val="1"/>
          <w:iCs w:val="1"/>
          <w:color w:val="auto"/>
        </w:rPr>
        <w:t xml:space="preserve"> </w:t>
      </w:r>
      <w:r>
        <w:rPr>
          <w:rFonts w:ascii="Calibri" w:cs="Calibri" w:eastAsia="Calibri" w:hAnsi="Calibri"/>
          <w:sz w:val="15"/>
          <w:szCs w:val="15"/>
          <w:color w:val="auto"/>
        </w:rPr>
        <w:t>Furthermore, consumers can have confdence in fnding a fair value in the vehicles they search for in our marketplaces since less than one-third of eligible vehicle listngs on CarGurus.com earn a Great Deal or Good Deal ratng. We also enable bids on vehicle trade-ins and sales from the thousands of dealers in the CarGurus/CarOfer network, assuring consumers that they are receiving the best ofer on their vehicle. We ofer the largest online selecton of new and used car listngs of any major U.S. online automotve marketplace. We aggregate and analyze these listngs using proprietary technology and data along with innovatve data analytcs to create a diferentated automotve search experience for consumers to bring them great deals from top-rated dealers. In 2023 we experienced over 82.3 million average monthly sessions in the U.S. We believe this user trafc, an indicator of consumer satsfacton and engagement, is critcal to our marketplace success and will contnue to strengthen our market positon. We atract our audience from a diverse range of acquisiton channels including direct navigaton, mobile applicatons, email, organic search, paid search advertsing, social media advertsing, on-site advertsing, audience targetng, and brand advertsing campaigns. In additon, we focus our eforts on atractng users that we believe are near a car-purchasing decision, resultng in a higher-quality audience to which our dealers can market.</w:t>
      </w:r>
    </w:p>
    <w:p>
      <w:pPr>
        <w:spacing w:after="0" w:line="186"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i w:val="1"/>
          <w:iCs w:val="1"/>
          <w:color w:val="auto"/>
        </w:rPr>
        <w:t xml:space="preserve">Proprietary Search Algorithms and Data-Driven Approach. </w:t>
      </w:r>
      <w:r>
        <w:rPr>
          <w:rFonts w:ascii="Calibri" w:cs="Calibri" w:eastAsia="Calibri" w:hAnsi="Calibri"/>
          <w:sz w:val="15"/>
          <w:szCs w:val="15"/>
          <w:color w:val="auto"/>
        </w:rPr>
        <w:t>We have built an extensive repository of data on cars, prices, dealers, and the interactons between consumers and</w:t>
      </w:r>
      <w:r>
        <w:rPr>
          <w:rFonts w:ascii="Calibri" w:cs="Calibri" w:eastAsia="Calibri" w:hAnsi="Calibri"/>
          <w:sz w:val="15"/>
          <w:szCs w:val="15"/>
          <w:i w:val="1"/>
          <w:iCs w:val="1"/>
          <w:color w:val="auto"/>
        </w:rPr>
        <w:t xml:space="preserve"> </w:t>
      </w:r>
      <w:r>
        <w:rPr>
          <w:rFonts w:ascii="Calibri" w:cs="Calibri" w:eastAsia="Calibri" w:hAnsi="Calibri"/>
          <w:sz w:val="15"/>
          <w:szCs w:val="15"/>
          <w:color w:val="auto"/>
        </w:rPr>
        <w:t>dealers that is the result of many years of data aggregaton and regression modeling. The primary product of this analysis is our determinaton of a used car’s IMV, which, together with Dealer Ratng, drives our Deal Ratng. We calculate IMV by applying more than 20 ranking signals and more than 100 normalizaton rules to tens of millions of data points, including the make, model, trim, year, features, conditon, history, geographic locaton, and mileage of the car. Our proprietary search algorithms and data analytcs also includes the CarOfer Matrix, providing unique insights to dealers regarding their purchases in the wholesale space as well as up-to-date pricing informaton for the consumers they are servicing. We apply the knowledge gained from analyzing the substantal volume of connectons between consumers and dealers on our platorm to build new features for our consumers, IMV technology features on the Dealer Dashboard, and new data-driven initatves for our dealers, including our Dealer Data Insights. As we contnue to develop our suite of products, we aim to use data to help dealers determine which vehicles they should buy, whether that vehicle is available from retail or wholesale channels, and at what price they should list that vehicle to maximize proftability, turn tmes, or both. For example, Next Best Deal Ratng is an Insights tool that provides dealers with the blueprint for the least amount of price reducton needed to achieve the next best deal ratng on that vehicle’s listng. Dealers can specify price reducton thresholds on their specifc inventory and receive an automated weekly report to inform price changes that will optmize dealer volume and margin. As a result of our history as a data-focused business, we are growing our investment in artfcial intelligence, or AI. Rapid advancements in consumer-facing AI have transformed the way that consumers search for and gather informaton, and recently we introduced functonality based on generatve AI to improve the user experience on our website. For consumers, our ChatGPT plug-in generates vehicle descripton pages based on a consumer’s specifc criteria, and the pilot of our “Find My Car” functonality in the U.K. and Canada allows shoppers to search for vehicles using conversatonal language matching their preferences to relevant listngs. These enhancements enable consumers and dealers to be more informed from the start of their car-shopping journey to the end.</w:t>
      </w:r>
    </w:p>
    <w:p>
      <w:pPr>
        <w:spacing w:after="0" w:line="187" w:lineRule="exact"/>
        <w:rPr>
          <w:sz w:val="20"/>
          <w:szCs w:val="20"/>
          <w:color w:val="auto"/>
        </w:rPr>
      </w:pPr>
    </w:p>
    <w:p>
      <w:pPr>
        <w:jc w:val="center"/>
        <w:spacing w:after="0"/>
        <w:rPr>
          <w:sz w:val="20"/>
          <w:szCs w:val="20"/>
          <w:color w:val="auto"/>
        </w:rPr>
      </w:pPr>
      <w:r>
        <w:rPr>
          <w:rFonts w:ascii="Calibri" w:cs="Calibri" w:eastAsia="Calibri" w:hAnsi="Calibri"/>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408940</wp:posOffset>
            </wp:positionV>
            <wp:extent cx="7178040" cy="400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3" w:right="319" w:bottom="1440" w:gutter="0" w:footer="0" w:header="0"/>
        </w:sectPr>
      </w:pPr>
    </w:p>
    <w:bookmarkStart w:id="9" w:name="page10"/>
    <w:bookmarkEnd w:id="9"/>
    <w:p>
      <w:pPr>
        <w:jc w:val="both"/>
        <w:ind w:firstLine="511"/>
        <w:spacing w:after="0" w:line="287" w:lineRule="auto"/>
        <w:rPr>
          <w:sz w:val="20"/>
          <w:szCs w:val="20"/>
          <w:color w:val="auto"/>
        </w:rPr>
      </w:pPr>
      <w:r>
        <w:rPr>
          <w:rFonts w:ascii="Calibri" w:cs="Calibri" w:eastAsia="Calibri" w:hAnsi="Calibri"/>
          <w:sz w:val="15"/>
          <w:szCs w:val="15"/>
          <w:i w:val="1"/>
          <w:iCs w:val="1"/>
          <w:color w:val="auto"/>
        </w:rPr>
        <w:t xml:space="preserve">Strong Value Propositon to Dealers. </w:t>
      </w:r>
      <w:r>
        <w:rPr>
          <w:rFonts w:ascii="MS PGothic" w:cs="MS PGothic" w:eastAsia="MS PGothic" w:hAnsi="MS PGothic"/>
          <w:sz w:val="15"/>
          <w:szCs w:val="15"/>
          <w:color w:val="auto"/>
        </w:rPr>
        <w:t>We believe that our marketplace ofers an efcient customer acquisiton channel for dealers, helping them achieve atractve returns on their</w:t>
      </w:r>
      <w:r>
        <w:rPr>
          <w:rFonts w:ascii="Calibri" w:cs="Calibri" w:eastAsia="Calibri" w:hAnsi="Calibri"/>
          <w:sz w:val="15"/>
          <w:szCs w:val="15"/>
          <w:i w:val="1"/>
          <w:iCs w:val="1"/>
          <w:color w:val="auto"/>
        </w:rPr>
        <w:t xml:space="preserve"> </w:t>
      </w:r>
      <w:r>
        <w:rPr>
          <w:rFonts w:ascii="MS PGothic" w:cs="MS PGothic" w:eastAsia="MS PGothic" w:hAnsi="MS PGothic"/>
          <w:sz w:val="15"/>
          <w:szCs w:val="15"/>
          <w:color w:val="auto"/>
        </w:rPr>
        <w:t>marketng spend with us. With the inital acquisiton of CarOfer in 2021, we increased efciencies for dealers to source vehicles from both consumers and dealers with the 24/7 online CarOfer Matrix. We provide our dealer base with connectons to prospectve car buyers, most of which have historically been for used cars, and to prospectve car sellers. The primary objectve of our trafc acquisiton and site improvements is to generate high quality consumer leads to our dealers. These leads include phone calls, email, and managed text and chat interactons for dealers, which we believe yield the highest value engagement for dealers. Dealers are able to leverage our large consumer audience, our digital retail oferings, and consumer trade-in services to receive more quality leads to their dealership, providing the highest return on their investment. We provide all dealers with tools that are informed by real-tme market conditons that help them acquire inventory, merchandise, and sell their cars, and our paying dealers get access to additonal valuable informaton from our Pricing and Market Analysis tools. Additonally, with our digital retail capabilites we help level the online ofering playing feld for our dealer partners who are unable to provide these solutons to consumers on their own and/or wish to utlize our large consumer audience to sell additonal inventory with CarGurus' digital retail oferings. Our strong value propositon to the dealer community is evidenced by our 12% growth in quarterly average revenue per subscribing dealer, or QARSD, in the U.S. in the fourth quarter of 2023 compared to the fourth quarter of 2022.</w:t>
      </w:r>
    </w:p>
    <w:p>
      <w:pPr>
        <w:spacing w:after="0" w:line="157" w:lineRule="exact"/>
        <w:rPr>
          <w:sz w:val="20"/>
          <w:szCs w:val="20"/>
          <w:color w:val="auto"/>
        </w:rPr>
      </w:pPr>
    </w:p>
    <w:p>
      <w:pPr>
        <w:jc w:val="both"/>
        <w:ind w:firstLine="511"/>
        <w:spacing w:after="0" w:line="284" w:lineRule="auto"/>
        <w:rPr>
          <w:sz w:val="20"/>
          <w:szCs w:val="20"/>
          <w:color w:val="auto"/>
        </w:rPr>
      </w:pPr>
      <w:r>
        <w:rPr>
          <w:rFonts w:ascii="Calibri" w:cs="Calibri" w:eastAsia="Calibri" w:hAnsi="Calibri"/>
          <w:sz w:val="15"/>
          <w:szCs w:val="15"/>
          <w:i w:val="1"/>
          <w:iCs w:val="1"/>
          <w:color w:val="auto"/>
        </w:rPr>
        <w:t xml:space="preserve">Atractve Financial Model. </w:t>
      </w:r>
      <w:r>
        <w:rPr>
          <w:rFonts w:ascii="MS PGothic" w:cs="MS PGothic" w:eastAsia="MS PGothic" w:hAnsi="MS PGothic"/>
          <w:sz w:val="15"/>
          <w:szCs w:val="15"/>
          <w:color w:val="auto"/>
        </w:rPr>
        <w:t>We generated revenue of $914.2 million in 2023 compared to $1,655.0 million in 2022. Although our revenue decreased year-over-year, we have</w:t>
      </w:r>
      <w:r>
        <w:rPr>
          <w:rFonts w:ascii="Calibri" w:cs="Calibri" w:eastAsia="Calibri" w:hAnsi="Calibri"/>
          <w:sz w:val="15"/>
          <w:szCs w:val="15"/>
          <w:i w:val="1"/>
          <w:iCs w:val="1"/>
          <w:color w:val="auto"/>
        </w:rPr>
        <w:t xml:space="preserve"> </w:t>
      </w:r>
      <w:r>
        <w:rPr>
          <w:rFonts w:ascii="MS PGothic" w:cs="MS PGothic" w:eastAsia="MS PGothic" w:hAnsi="MS PGothic"/>
          <w:sz w:val="15"/>
          <w:szCs w:val="15"/>
          <w:color w:val="auto"/>
        </w:rPr>
        <w:t>historically had a strong track record of revenue growth, proftability, cash fow generaton, and capital efciency. A signifcant porton of our revenue is recurring due to the subscripton nature of our products, including from our Listngs packages, our Real-tme Performance Marketng, or RPM, and our digital advertsing suite. At the same tme, our revenue is highly diversifed due to the subscripton nature of our Listngs business, transactonal nature of our digital wholesale business, and our diverse dealer base. We also have been able to grow and invest in our future growth as a result of our highly proftable foundatonal Listngs business. This has also historically driven our strong cash fow generaton. Furthermore, our 2022 and 2024 share repurchase programs underscore our commitment to using our cash fow to enhance stockholder value. The proftability of the Listngs business, the liquidity of our balance sheet, and our cash fow generaton have helped drive growth and innovaton as we build out our vision of creatng an end-to-end transacton-enabled automotve platorm. We ended 2023 with $291.4 million of cash on hand, as well as $390.4 million available under our 2022 Revolver, as defned below.</w:t>
      </w:r>
    </w:p>
    <w:p>
      <w:pPr>
        <w:spacing w:after="0" w:line="158" w:lineRule="exact"/>
        <w:rPr>
          <w:sz w:val="20"/>
          <w:szCs w:val="20"/>
          <w:color w:val="auto"/>
        </w:rPr>
      </w:pPr>
    </w:p>
    <w:p>
      <w:pPr>
        <w:jc w:val="both"/>
        <w:ind w:firstLine="511"/>
        <w:spacing w:after="0" w:line="277" w:lineRule="auto"/>
        <w:rPr>
          <w:sz w:val="20"/>
          <w:szCs w:val="20"/>
          <w:color w:val="auto"/>
        </w:rPr>
      </w:pPr>
      <w:r>
        <w:rPr>
          <w:rFonts w:ascii="Calibri" w:cs="Calibri" w:eastAsia="Calibri" w:hAnsi="Calibri"/>
          <w:sz w:val="15"/>
          <w:szCs w:val="15"/>
          <w:i w:val="1"/>
          <w:iCs w:val="1"/>
          <w:color w:val="auto"/>
        </w:rPr>
        <w:t xml:space="preserve">Experienced Management Team with Culture of Innovaton. </w:t>
      </w:r>
      <w:r>
        <w:rPr>
          <w:rFonts w:ascii="MS PGothic" w:cs="MS PGothic" w:eastAsia="MS PGothic" w:hAnsi="MS PGothic"/>
          <w:sz w:val="15"/>
          <w:szCs w:val="15"/>
          <w:color w:val="auto"/>
        </w:rPr>
        <w:t>Our founder, Executve Chair and Chair of our Board of Directors, Langley Steinert, co-founded and was previously</w:t>
      </w:r>
      <w:r>
        <w:rPr>
          <w:rFonts w:ascii="Calibri" w:cs="Calibri" w:eastAsia="Calibri" w:hAnsi="Calibri"/>
          <w:sz w:val="15"/>
          <w:szCs w:val="15"/>
          <w:i w:val="1"/>
          <w:iCs w:val="1"/>
          <w:color w:val="auto"/>
        </w:rPr>
        <w:t xml:space="preserve"> </w:t>
      </w:r>
      <w:r>
        <w:rPr>
          <w:rFonts w:ascii="MS PGothic" w:cs="MS PGothic" w:eastAsia="MS PGothic" w:hAnsi="MS PGothic"/>
          <w:sz w:val="15"/>
          <w:szCs w:val="15"/>
          <w:color w:val="auto"/>
        </w:rPr>
        <w:t>chairman of TripAdvisor, an online marketplace for travel-related content based on the mission of using technology and a data-driven approach to provide transparency for consumers’ travel planning. Led by Mr. Steinert and a management team with extensive experience guiding technology companies in evolving industries – including Jason Trevisan, our Chief Executve Ofcer, and Sam Zales, our President and Chief Operatng Ofcer – we bring the same commitment to fostering a culture of innovaton and delivering data-driven transparency to the automotve market.</w:t>
      </w:r>
    </w:p>
    <w:p>
      <w:pPr>
        <w:spacing w:after="0" w:line="162" w:lineRule="exact"/>
        <w:rPr>
          <w:sz w:val="20"/>
          <w:szCs w:val="20"/>
          <w:color w:val="auto"/>
        </w:rPr>
      </w:pPr>
    </w:p>
    <w:p>
      <w:pPr>
        <w:spacing w:after="0"/>
        <w:rPr>
          <w:sz w:val="20"/>
          <w:szCs w:val="20"/>
          <w:color w:val="auto"/>
        </w:rPr>
      </w:pPr>
      <w:r>
        <w:rPr>
          <w:rFonts w:ascii="Calibri" w:cs="Calibri" w:eastAsia="Calibri" w:hAnsi="Calibri"/>
          <w:sz w:val="15"/>
          <w:szCs w:val="15"/>
          <w:b w:val="1"/>
          <w:bCs w:val="1"/>
          <w:color w:val="auto"/>
        </w:rPr>
        <w:t>Our Products and Services</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b w:val="1"/>
          <w:bCs w:val="1"/>
          <w:i w:val="1"/>
          <w:iCs w:val="1"/>
          <w:color w:val="auto"/>
        </w:rPr>
        <w:t>U.S. Marketplace and Other</w:t>
      </w:r>
    </w:p>
    <w:p>
      <w:pPr>
        <w:spacing w:after="0" w:line="185" w:lineRule="exact"/>
        <w:rPr>
          <w:sz w:val="20"/>
          <w:szCs w:val="20"/>
          <w:color w:val="auto"/>
        </w:rPr>
      </w:pPr>
    </w:p>
    <w:p>
      <w:pPr>
        <w:jc w:val="both"/>
        <w:ind w:right="20" w:firstLine="511"/>
        <w:spacing w:after="0" w:line="347" w:lineRule="auto"/>
        <w:rPr>
          <w:sz w:val="20"/>
          <w:szCs w:val="20"/>
          <w:color w:val="auto"/>
        </w:rPr>
      </w:pPr>
      <w:r>
        <w:rPr>
          <w:rFonts w:ascii="MS PGothic" w:cs="MS PGothic" w:eastAsia="MS PGothic" w:hAnsi="MS PGothic"/>
          <w:sz w:val="15"/>
          <w:szCs w:val="15"/>
          <w:color w:val="auto"/>
        </w:rPr>
        <w:t>Our product oferings described below are available for the U.S. CarGurus marketplace; their availability on our other marketplaces varies. We also ofer paid listngs subscriptons for dealers and dealer advertsing products for the PistonHeads website as well as paid listngs subscriptons for dealers for the Autolist website.</w:t>
      </w:r>
    </w:p>
    <w:p>
      <w:pPr>
        <w:spacing w:after="0" w:line="119" w:lineRule="exact"/>
        <w:rPr>
          <w:sz w:val="20"/>
          <w:szCs w:val="20"/>
          <w:color w:val="auto"/>
        </w:rPr>
      </w:pPr>
    </w:p>
    <w:p>
      <w:pPr>
        <w:spacing w:after="0"/>
        <w:rPr>
          <w:sz w:val="20"/>
          <w:szCs w:val="20"/>
          <w:color w:val="auto"/>
        </w:rPr>
      </w:pPr>
      <w:r>
        <w:rPr>
          <w:rFonts w:ascii="MS PGothic" w:cs="MS PGothic" w:eastAsia="MS PGothic" w:hAnsi="MS PGothic"/>
          <w:sz w:val="15"/>
          <w:szCs w:val="15"/>
          <w:u w:val="single" w:color="auto"/>
          <w:color w:val="auto"/>
        </w:rPr>
        <w:t>Consumer Experience</w:t>
      </w:r>
    </w:p>
    <w:p>
      <w:pPr>
        <w:spacing w:after="0" w:line="218" w:lineRule="exact"/>
        <w:rPr>
          <w:sz w:val="20"/>
          <w:szCs w:val="20"/>
          <w:color w:val="auto"/>
        </w:rPr>
      </w:pPr>
    </w:p>
    <w:p>
      <w:pPr>
        <w:jc w:val="both"/>
        <w:ind w:firstLine="511"/>
        <w:spacing w:after="0" w:line="320" w:lineRule="auto"/>
        <w:rPr>
          <w:sz w:val="20"/>
          <w:szCs w:val="20"/>
          <w:color w:val="auto"/>
        </w:rPr>
      </w:pPr>
      <w:r>
        <w:rPr>
          <w:rFonts w:ascii="MS PGothic" w:cs="MS PGothic" w:eastAsia="MS PGothic" w:hAnsi="MS PGothic"/>
          <w:sz w:val="15"/>
          <w:szCs w:val="15"/>
          <w:color w:val="auto"/>
        </w:rPr>
        <w:t>We provide consumers with an online automotve marketplace where they can search for new and used car listngs from our dealers and sell their cars to dealers and other consumers. A user accesses our marketplace through our websites or by using our mobile applicatons. Most users specify whether they are searching for a used, certfed pre‑owned, or new car and then provide their desired vehicle make and model and their postal code.</w:t>
      </w:r>
    </w:p>
    <w:p>
      <w:pPr>
        <w:spacing w:after="0" w:line="136" w:lineRule="exact"/>
        <w:rPr>
          <w:sz w:val="20"/>
          <w:szCs w:val="20"/>
          <w:color w:val="auto"/>
        </w:rPr>
      </w:pPr>
    </w:p>
    <w:p>
      <w:pPr>
        <w:jc w:val="center"/>
        <w:spacing w:after="0"/>
        <w:rPr>
          <w:sz w:val="20"/>
          <w:szCs w:val="20"/>
          <w:color w:val="auto"/>
        </w:rPr>
      </w:pPr>
      <w:r>
        <w:rPr>
          <w:rFonts w:ascii="MS PGothic" w:cs="MS PGothic" w:eastAsia="MS PGothic" w:hAnsi="MS PGothic"/>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429895</wp:posOffset>
            </wp:positionV>
            <wp:extent cx="7178040" cy="400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4" w:right="319" w:bottom="1440" w:gutter="0" w:footer="0" w:header="0"/>
        </w:sectPr>
      </w:pPr>
    </w:p>
    <w:bookmarkStart w:id="10" w:name="page11"/>
    <w:bookmarkEnd w:id="10"/>
    <w:p>
      <w:pPr>
        <w:spacing w:after="0"/>
        <w:rPr>
          <w:sz w:val="20"/>
          <w:szCs w:val="20"/>
          <w:color w:val="auto"/>
        </w:rPr>
      </w:pPr>
      <w:r>
        <w:rPr>
          <w:rFonts w:ascii="Calibri" w:cs="Calibri" w:eastAsia="Calibri" w:hAnsi="Calibri"/>
          <w:sz w:val="15"/>
          <w:szCs w:val="15"/>
          <w:i w:val="1"/>
          <w:iCs w:val="1"/>
          <w:color w:val="auto"/>
        </w:rPr>
        <w:t>Used and Certfed Pre-Owned Cars</w:t>
      </w:r>
    </w:p>
    <w:p>
      <w:pPr>
        <w:spacing w:after="0" w:line="185" w:lineRule="exact"/>
        <w:rPr>
          <w:sz w:val="20"/>
          <w:szCs w:val="20"/>
          <w:color w:val="auto"/>
        </w:rPr>
      </w:pPr>
    </w:p>
    <w:p>
      <w:pPr>
        <w:jc w:val="both"/>
        <w:ind w:firstLine="511"/>
        <w:spacing w:after="0" w:line="312" w:lineRule="auto"/>
        <w:rPr>
          <w:sz w:val="20"/>
          <w:szCs w:val="20"/>
          <w:color w:val="auto"/>
        </w:rPr>
      </w:pPr>
      <w:r>
        <w:rPr>
          <w:rFonts w:ascii="MS PGothic" w:cs="MS PGothic" w:eastAsia="MS PGothic" w:hAnsi="MS PGothic"/>
          <w:sz w:val="15"/>
          <w:szCs w:val="15"/>
          <w:color w:val="auto"/>
        </w:rPr>
        <w:t>Using our proprietary search algorithms, we immediately display the results of the consumer's search, with results that are tailored to each customer based on consumer preferences, dozens of vehicle atributes, and the vehicle's Deal Ratng, on a search results page, or SRP. Eligible used car listngs in our marketplace are assigned one of fve Deal Ratngs: Great Deal, Good Deal, Fair Deal, High Priced, or Overpriced. A Deal Ratng illustrates how compettve a listng is compared to similar cars sold in the same region in recent history. A listng’s Deal Ratng is based primarily upon the IMV of the vehicle and the Dealer Ratng of the dealer.</w:t>
      </w:r>
    </w:p>
    <w:p>
      <w:pPr>
        <w:spacing w:after="0" w:line="140" w:lineRule="exact"/>
        <w:rPr>
          <w:sz w:val="20"/>
          <w:szCs w:val="20"/>
          <w:color w:val="auto"/>
        </w:rPr>
      </w:pPr>
    </w:p>
    <w:p>
      <w:pPr>
        <w:jc w:val="both"/>
        <w:ind w:firstLine="511"/>
        <w:spacing w:after="0" w:line="316" w:lineRule="auto"/>
        <w:rPr>
          <w:sz w:val="20"/>
          <w:szCs w:val="20"/>
          <w:color w:val="auto"/>
        </w:rPr>
      </w:pPr>
      <w:r>
        <w:rPr>
          <w:rFonts w:ascii="Calibri" w:cs="Calibri" w:eastAsia="Calibri" w:hAnsi="Calibri"/>
          <w:sz w:val="14"/>
          <w:szCs w:val="14"/>
          <w:i w:val="1"/>
          <w:iCs w:val="1"/>
          <w:color w:val="auto"/>
        </w:rPr>
        <w:t xml:space="preserve">Instant Market Value. </w:t>
      </w:r>
      <w:r>
        <w:rPr>
          <w:rFonts w:ascii="MS PGothic" w:cs="MS PGothic" w:eastAsia="MS PGothic" w:hAnsi="MS PGothic"/>
          <w:sz w:val="14"/>
          <w:szCs w:val="14"/>
          <w:color w:val="auto"/>
        </w:rPr>
        <w:t>IMV is a proprietary algorithm that assesses the market value of a used vehicle in a local market and is a key input for determining a vehicle’s Deal Ratng.</w:t>
      </w:r>
      <w:r>
        <w:rPr>
          <w:rFonts w:ascii="Calibri" w:cs="Calibri" w:eastAsia="Calibri" w:hAnsi="Calibri"/>
          <w:sz w:val="14"/>
          <w:szCs w:val="14"/>
          <w:i w:val="1"/>
          <w:iCs w:val="1"/>
          <w:color w:val="auto"/>
        </w:rPr>
        <w:t xml:space="preserve"> </w:t>
      </w:r>
      <w:r>
        <w:rPr>
          <w:rFonts w:ascii="MS PGothic" w:cs="MS PGothic" w:eastAsia="MS PGothic" w:hAnsi="MS PGothic"/>
          <w:sz w:val="14"/>
          <w:szCs w:val="14"/>
          <w:color w:val="auto"/>
        </w:rPr>
        <w:t>The IMV algorithm is the product of many years of regression modeling utlizing tens of millions of used car data points. IMV takes into account a number of factors, including comparable currently listed and previously sold used cars in the local market and vehicle details including make, model, trim, year, features, conditon, history, geographic locaton, and mileage. The IMV algorithm uses more than 20 ranking signals and more than 100 normalizaton rules that distll unstructured data from hundreds of sources across thousands of dealers.</w:t>
      </w:r>
    </w:p>
    <w:p>
      <w:pPr>
        <w:spacing w:after="0" w:line="142" w:lineRule="exact"/>
        <w:rPr>
          <w:sz w:val="20"/>
          <w:szCs w:val="20"/>
          <w:color w:val="auto"/>
        </w:rPr>
      </w:pPr>
    </w:p>
    <w:p>
      <w:pPr>
        <w:jc w:val="both"/>
        <w:ind w:firstLine="511"/>
        <w:spacing w:after="0" w:line="265" w:lineRule="auto"/>
        <w:rPr>
          <w:sz w:val="20"/>
          <w:szCs w:val="20"/>
          <w:color w:val="auto"/>
        </w:rPr>
      </w:pPr>
      <w:r>
        <w:rPr>
          <w:rFonts w:ascii="Calibri" w:cs="Calibri" w:eastAsia="Calibri" w:hAnsi="Calibri"/>
          <w:sz w:val="15"/>
          <w:szCs w:val="15"/>
          <w:i w:val="1"/>
          <w:iCs w:val="1"/>
          <w:color w:val="auto"/>
        </w:rPr>
        <w:t xml:space="preserve">Dealer Ratngs. </w:t>
      </w:r>
      <w:r>
        <w:rPr>
          <w:rFonts w:ascii="MS PGothic" w:cs="MS PGothic" w:eastAsia="MS PGothic" w:hAnsi="MS PGothic"/>
          <w:sz w:val="15"/>
          <w:szCs w:val="15"/>
          <w:color w:val="auto"/>
        </w:rPr>
        <w:t>Dealer Ratngs are derived from user‑generated content from our users’ experiences with dealers with which they have connected. To promote high‑quality</w:t>
      </w:r>
      <w:r>
        <w:rPr>
          <w:rFonts w:ascii="Calibri" w:cs="Calibri" w:eastAsia="Calibri" w:hAnsi="Calibri"/>
          <w:sz w:val="15"/>
          <w:szCs w:val="15"/>
          <w:i w:val="1"/>
          <w:iCs w:val="1"/>
          <w:color w:val="auto"/>
        </w:rPr>
        <w:t xml:space="preserve"> </w:t>
      </w:r>
      <w:r>
        <w:rPr>
          <w:rFonts w:ascii="MS PGothic" w:cs="MS PGothic" w:eastAsia="MS PGothic" w:hAnsi="MS PGothic"/>
          <w:sz w:val="15"/>
          <w:szCs w:val="15"/>
          <w:color w:val="auto"/>
        </w:rPr>
        <w:t>reviews, we require that a user has interacted with the dealer via our marketplace to submit a review. We believe this requirement, together with additonal qualifcaton standards, results in a more valuable Dealer Ratng. Dealer Ratng is an important component of a listng’s Deal Ratng and, as a result, can impact the organic search positon of a listng.</w:t>
      </w:r>
    </w:p>
    <w:p>
      <w:pPr>
        <w:spacing w:after="0" w:line="166" w:lineRule="exact"/>
        <w:rPr>
          <w:sz w:val="20"/>
          <w:szCs w:val="20"/>
          <w:color w:val="auto"/>
        </w:rPr>
      </w:pPr>
    </w:p>
    <w:p>
      <w:pPr>
        <w:jc w:val="both"/>
        <w:ind w:firstLine="511"/>
        <w:spacing w:after="0" w:line="280" w:lineRule="auto"/>
        <w:rPr>
          <w:sz w:val="20"/>
          <w:szCs w:val="20"/>
          <w:color w:val="auto"/>
        </w:rPr>
      </w:pPr>
      <w:r>
        <w:rPr>
          <w:rFonts w:ascii="Calibri" w:cs="Calibri" w:eastAsia="Calibri" w:hAnsi="Calibri"/>
          <w:sz w:val="15"/>
          <w:szCs w:val="15"/>
          <w:i w:val="1"/>
          <w:iCs w:val="1"/>
          <w:color w:val="auto"/>
        </w:rPr>
        <w:t>Search Results Page</w:t>
      </w:r>
      <w:r>
        <w:rPr>
          <w:rFonts w:ascii="MS PGothic" w:cs="MS PGothic" w:eastAsia="MS PGothic" w:hAnsi="MS PGothic"/>
          <w:sz w:val="15"/>
          <w:szCs w:val="15"/>
          <w:color w:val="auto"/>
        </w:rPr>
        <w:t>. In additon to each car’s Deal Ratng, our SRP provides users with other useful informaton, including the diference between the listng price and the IMV</w:t>
      </w:r>
      <w:r>
        <w:rPr>
          <w:rFonts w:ascii="Calibri" w:cs="Calibri" w:eastAsia="Calibri" w:hAnsi="Calibri"/>
          <w:sz w:val="15"/>
          <w:szCs w:val="15"/>
          <w:i w:val="1"/>
          <w:iCs w:val="1"/>
          <w:color w:val="auto"/>
        </w:rPr>
        <w:t xml:space="preserve"> </w:t>
      </w:r>
      <w:r>
        <w:rPr>
          <w:rFonts w:ascii="MS PGothic" w:cs="MS PGothic" w:eastAsia="MS PGothic" w:hAnsi="MS PGothic"/>
          <w:sz w:val="15"/>
          <w:szCs w:val="15"/>
          <w:color w:val="auto"/>
        </w:rPr>
        <w:t>that we have determined for the car, mileage, Dealer Ratng, and dealer locaton for paying dealers. We provide in‑depth search flters, including price, year, mileage, trim, color, optons, conditon, body style, gas mileage, seatng capacity, vehicle ownership history, usage history, seller type, and days on market, among others, which we believe deliver the most comprehensive search capability among major U.S. online automotve marketplaces. We also provide our users with additonal features to aid their search, including similar vehicle recommendatons, side‑by‑side vehicle comparisons, expert reviews, and user rankings. Our platorm also gives users the ability to save searches and receive alerts that keep them informed of relevant developments in the market, including newly available inventory and price changes to cars they are monitoring.</w:t>
      </w:r>
    </w:p>
    <w:p>
      <w:pPr>
        <w:spacing w:after="0" w:line="161" w:lineRule="exact"/>
        <w:rPr>
          <w:sz w:val="20"/>
          <w:szCs w:val="20"/>
          <w:color w:val="auto"/>
        </w:rPr>
      </w:pPr>
    </w:p>
    <w:p>
      <w:pPr>
        <w:jc w:val="both"/>
        <w:ind w:firstLine="511"/>
        <w:spacing w:after="0" w:line="265" w:lineRule="auto"/>
        <w:rPr>
          <w:sz w:val="20"/>
          <w:szCs w:val="20"/>
          <w:color w:val="auto"/>
        </w:rPr>
      </w:pPr>
      <w:r>
        <w:rPr>
          <w:rFonts w:ascii="Calibri" w:cs="Calibri" w:eastAsia="Calibri" w:hAnsi="Calibri"/>
          <w:sz w:val="15"/>
          <w:szCs w:val="15"/>
          <w:i w:val="1"/>
          <w:iCs w:val="1"/>
          <w:color w:val="auto"/>
        </w:rPr>
        <w:t>Vehicle Detail Page</w:t>
      </w:r>
      <w:r>
        <w:rPr>
          <w:rFonts w:ascii="MS PGothic" w:cs="MS PGothic" w:eastAsia="MS PGothic" w:hAnsi="MS PGothic"/>
          <w:sz w:val="15"/>
          <w:szCs w:val="15"/>
          <w:color w:val="auto"/>
        </w:rPr>
        <w:t>. If a user clicks on one of the listngs on the SRP, the user is taken to that listng’s VDP. VDPs are designed to provide numerous photos and a comprehensive</w:t>
      </w:r>
      <w:r>
        <w:rPr>
          <w:rFonts w:ascii="Calibri" w:cs="Calibri" w:eastAsia="Calibri" w:hAnsi="Calibri"/>
          <w:sz w:val="15"/>
          <w:szCs w:val="15"/>
          <w:i w:val="1"/>
          <w:iCs w:val="1"/>
          <w:color w:val="auto"/>
        </w:rPr>
        <w:t xml:space="preserve"> </w:t>
      </w:r>
      <w:r>
        <w:rPr>
          <w:rFonts w:ascii="MS PGothic" w:cs="MS PGothic" w:eastAsia="MS PGothic" w:hAnsi="MS PGothic"/>
          <w:sz w:val="15"/>
          <w:szCs w:val="15"/>
          <w:color w:val="auto"/>
        </w:rPr>
        <w:t>descripton of the vehicle, dealer name, address, and dealership informaton for paying dealers, detailed dealer reviews, methods to contact the dealer, payment calculators, and helpful informaton about the vehicle, including:</w:t>
      </w:r>
    </w:p>
    <w:p>
      <w:pPr>
        <w:spacing w:after="0" w:line="178" w:lineRule="exact"/>
        <w:rPr>
          <w:sz w:val="20"/>
          <w:szCs w:val="20"/>
          <w:color w:val="auto"/>
        </w:rPr>
      </w:pPr>
    </w:p>
    <w:p>
      <w:pPr>
        <w:ind w:left="1020" w:right="20" w:hanging="518"/>
        <w:spacing w:after="0" w:line="241" w:lineRule="auto"/>
        <w:tabs>
          <w:tab w:leader="none" w:pos="1020" w:val="left"/>
        </w:tabs>
        <w:numPr>
          <w:ilvl w:val="0"/>
          <w:numId w:val="5"/>
        </w:numPr>
        <w:rPr>
          <w:rFonts w:ascii="Times New Roman" w:cs="Times New Roman" w:eastAsia="Times New Roman" w:hAnsi="Times New Roman"/>
          <w:sz w:val="15"/>
          <w:szCs w:val="15"/>
          <w:color w:val="auto"/>
        </w:rPr>
      </w:pPr>
      <w:r>
        <w:rPr>
          <w:rFonts w:ascii="Calibri" w:cs="Calibri" w:eastAsia="Calibri" w:hAnsi="Calibri"/>
          <w:sz w:val="15"/>
          <w:szCs w:val="15"/>
          <w:i w:val="1"/>
          <w:iCs w:val="1"/>
          <w:color w:val="auto"/>
        </w:rPr>
        <w:t xml:space="preserve">Price History. </w:t>
      </w:r>
      <w:r>
        <w:rPr>
          <w:rFonts w:ascii="MS PGothic" w:cs="MS PGothic" w:eastAsia="MS PGothic" w:hAnsi="MS PGothic"/>
          <w:sz w:val="15"/>
          <w:szCs w:val="15"/>
          <w:color w:val="auto"/>
        </w:rPr>
        <w:t>Changes to a vehicle’s price on our platorm. We also ofer price change alerts to consumers on searches they have saved, which allow them to respond</w:t>
      </w:r>
      <w:r>
        <w:rPr>
          <w:rFonts w:ascii="Calibri" w:cs="Calibri" w:eastAsia="Calibri" w:hAnsi="Calibri"/>
          <w:sz w:val="15"/>
          <w:szCs w:val="15"/>
          <w:i w:val="1"/>
          <w:iCs w:val="1"/>
          <w:color w:val="auto"/>
        </w:rPr>
        <w:t xml:space="preserve"> </w:t>
      </w:r>
      <w:r>
        <w:rPr>
          <w:rFonts w:ascii="MS PGothic" w:cs="MS PGothic" w:eastAsia="MS PGothic" w:hAnsi="MS PGothic"/>
          <w:sz w:val="15"/>
          <w:szCs w:val="15"/>
          <w:color w:val="auto"/>
        </w:rPr>
        <w:t>quickly to changes in the market.</w:t>
      </w:r>
    </w:p>
    <w:p>
      <w:pPr>
        <w:spacing w:after="0" w:line="196" w:lineRule="exact"/>
        <w:rPr>
          <w:rFonts w:ascii="Times New Roman" w:cs="Times New Roman" w:eastAsia="Times New Roman" w:hAnsi="Times New Roman"/>
          <w:sz w:val="15"/>
          <w:szCs w:val="15"/>
          <w:color w:val="auto"/>
        </w:rPr>
      </w:pPr>
    </w:p>
    <w:p>
      <w:pPr>
        <w:ind w:left="1020" w:right="20" w:hanging="518"/>
        <w:spacing w:after="0" w:line="241" w:lineRule="auto"/>
        <w:tabs>
          <w:tab w:leader="none" w:pos="1020" w:val="left"/>
        </w:tabs>
        <w:numPr>
          <w:ilvl w:val="0"/>
          <w:numId w:val="5"/>
        </w:numPr>
        <w:rPr>
          <w:rFonts w:ascii="Times New Roman" w:cs="Times New Roman" w:eastAsia="Times New Roman" w:hAnsi="Times New Roman"/>
          <w:sz w:val="15"/>
          <w:szCs w:val="15"/>
          <w:color w:val="auto"/>
        </w:rPr>
      </w:pPr>
      <w:r>
        <w:rPr>
          <w:rFonts w:ascii="Calibri" w:cs="Calibri" w:eastAsia="Calibri" w:hAnsi="Calibri"/>
          <w:sz w:val="15"/>
          <w:szCs w:val="15"/>
          <w:i w:val="1"/>
          <w:iCs w:val="1"/>
          <w:color w:val="auto"/>
        </w:rPr>
        <w:t xml:space="preserve">Time on Site. </w:t>
      </w:r>
      <w:r>
        <w:rPr>
          <w:rFonts w:ascii="MS PGothic" w:cs="MS PGothic" w:eastAsia="MS PGothic" w:hAnsi="MS PGothic"/>
          <w:sz w:val="15"/>
          <w:szCs w:val="15"/>
          <w:color w:val="auto"/>
        </w:rPr>
        <w:t>Length of tme a vehicle has been on our platorm and how many users have saved the vehicle to their list of favorite listngs, indicators of the likely</w:t>
      </w:r>
      <w:r>
        <w:rPr>
          <w:rFonts w:ascii="Calibri" w:cs="Calibri" w:eastAsia="Calibri" w:hAnsi="Calibri"/>
          <w:sz w:val="15"/>
          <w:szCs w:val="15"/>
          <w:i w:val="1"/>
          <w:iCs w:val="1"/>
          <w:color w:val="auto"/>
        </w:rPr>
        <w:t xml:space="preserve"> </w:t>
      </w:r>
      <w:r>
        <w:rPr>
          <w:rFonts w:ascii="MS PGothic" w:cs="MS PGothic" w:eastAsia="MS PGothic" w:hAnsi="MS PGothic"/>
          <w:sz w:val="15"/>
          <w:szCs w:val="15"/>
          <w:color w:val="auto"/>
        </w:rPr>
        <w:t>demand for the vehicle.</w:t>
      </w:r>
    </w:p>
    <w:p>
      <w:pPr>
        <w:spacing w:after="0" w:line="196" w:lineRule="exact"/>
        <w:rPr>
          <w:rFonts w:ascii="Times New Roman" w:cs="Times New Roman" w:eastAsia="Times New Roman" w:hAnsi="Times New Roman"/>
          <w:sz w:val="15"/>
          <w:szCs w:val="15"/>
          <w:color w:val="auto"/>
        </w:rPr>
      </w:pPr>
    </w:p>
    <w:p>
      <w:pPr>
        <w:ind w:left="1020" w:hanging="518"/>
        <w:spacing w:after="0" w:line="241" w:lineRule="auto"/>
        <w:tabs>
          <w:tab w:leader="none" w:pos="1020" w:val="left"/>
        </w:tabs>
        <w:numPr>
          <w:ilvl w:val="0"/>
          <w:numId w:val="5"/>
        </w:numPr>
        <w:rPr>
          <w:rFonts w:ascii="Times New Roman" w:cs="Times New Roman" w:eastAsia="Times New Roman" w:hAnsi="Times New Roman"/>
          <w:sz w:val="15"/>
          <w:szCs w:val="15"/>
          <w:color w:val="auto"/>
        </w:rPr>
      </w:pPr>
      <w:r>
        <w:rPr>
          <w:rFonts w:ascii="Calibri" w:cs="Calibri" w:eastAsia="Calibri" w:hAnsi="Calibri"/>
          <w:sz w:val="15"/>
          <w:szCs w:val="15"/>
          <w:i w:val="1"/>
          <w:iCs w:val="1"/>
          <w:color w:val="auto"/>
        </w:rPr>
        <w:t xml:space="preserve">Vehicle History. </w:t>
      </w:r>
      <w:r>
        <w:rPr>
          <w:rFonts w:ascii="MS PGothic" w:cs="MS PGothic" w:eastAsia="MS PGothic" w:hAnsi="MS PGothic"/>
          <w:sz w:val="15"/>
          <w:szCs w:val="15"/>
          <w:color w:val="auto"/>
        </w:rPr>
        <w:t>Title check, accident check, number of owners, and feet status of the vehicle, giving consumers data that helps them beter understand the vehicle’s</w:t>
      </w:r>
      <w:r>
        <w:rPr>
          <w:rFonts w:ascii="Calibri" w:cs="Calibri" w:eastAsia="Calibri" w:hAnsi="Calibri"/>
          <w:sz w:val="15"/>
          <w:szCs w:val="15"/>
          <w:i w:val="1"/>
          <w:iCs w:val="1"/>
          <w:color w:val="auto"/>
        </w:rPr>
        <w:t xml:space="preserve"> </w:t>
      </w:r>
      <w:r>
        <w:rPr>
          <w:rFonts w:ascii="MS PGothic" w:cs="MS PGothic" w:eastAsia="MS PGothic" w:hAnsi="MS PGothic"/>
          <w:sz w:val="15"/>
          <w:szCs w:val="15"/>
          <w:color w:val="auto"/>
        </w:rPr>
        <w:t>conditon.</w:t>
      </w:r>
    </w:p>
    <w:p>
      <w:pPr>
        <w:spacing w:after="0" w:line="196" w:lineRule="exact"/>
        <w:rPr>
          <w:rFonts w:ascii="Times New Roman" w:cs="Times New Roman" w:eastAsia="Times New Roman" w:hAnsi="Times New Roman"/>
          <w:sz w:val="15"/>
          <w:szCs w:val="15"/>
          <w:color w:val="auto"/>
        </w:rPr>
      </w:pPr>
    </w:p>
    <w:p>
      <w:pPr>
        <w:ind w:left="1020" w:hanging="518"/>
        <w:spacing w:after="0" w:line="241" w:lineRule="auto"/>
        <w:tabs>
          <w:tab w:leader="none" w:pos="1020" w:val="left"/>
        </w:tabs>
        <w:numPr>
          <w:ilvl w:val="0"/>
          <w:numId w:val="5"/>
        </w:numPr>
        <w:rPr>
          <w:rFonts w:ascii="Times New Roman" w:cs="Times New Roman" w:eastAsia="Times New Roman" w:hAnsi="Times New Roman"/>
          <w:sz w:val="15"/>
          <w:szCs w:val="15"/>
          <w:color w:val="auto"/>
        </w:rPr>
      </w:pPr>
      <w:r>
        <w:rPr>
          <w:rFonts w:ascii="Calibri" w:cs="Calibri" w:eastAsia="Calibri" w:hAnsi="Calibri"/>
          <w:sz w:val="15"/>
          <w:szCs w:val="15"/>
          <w:i w:val="1"/>
          <w:iCs w:val="1"/>
          <w:color w:val="auto"/>
        </w:rPr>
        <w:t xml:space="preserve">Digital Enablement. </w:t>
      </w:r>
      <w:r>
        <w:rPr>
          <w:rFonts w:ascii="MS PGothic" w:cs="MS PGothic" w:eastAsia="MS PGothic" w:hAnsi="MS PGothic"/>
          <w:sz w:val="15"/>
          <w:szCs w:val="15"/>
          <w:color w:val="auto"/>
        </w:rPr>
        <w:t>For dealers on Digital Deal, we allow shoppers to build a personalized vehicle- and dealership-specifc deal on the VDP, including trade-in, credit</w:t>
      </w:r>
      <w:r>
        <w:rPr>
          <w:rFonts w:ascii="Calibri" w:cs="Calibri" w:eastAsia="Calibri" w:hAnsi="Calibri"/>
          <w:sz w:val="15"/>
          <w:szCs w:val="15"/>
          <w:i w:val="1"/>
          <w:iCs w:val="1"/>
          <w:color w:val="auto"/>
        </w:rPr>
        <w:t xml:space="preserve"> </w:t>
      </w:r>
      <w:r>
        <w:rPr>
          <w:rFonts w:ascii="MS PGothic" w:cs="MS PGothic" w:eastAsia="MS PGothic" w:hAnsi="MS PGothic"/>
          <w:sz w:val="15"/>
          <w:szCs w:val="15"/>
          <w:color w:val="auto"/>
        </w:rPr>
        <w:t>check and applicaton, and appointment or delivery scheduling.</w:t>
      </w:r>
    </w:p>
    <w:p>
      <w:pPr>
        <w:spacing w:after="0" w:line="185" w:lineRule="exact"/>
        <w:rPr>
          <w:sz w:val="20"/>
          <w:szCs w:val="20"/>
          <w:color w:val="auto"/>
        </w:rPr>
      </w:pPr>
    </w:p>
    <w:p>
      <w:pPr>
        <w:jc w:val="center"/>
        <w:spacing w:after="0"/>
        <w:rPr>
          <w:sz w:val="20"/>
          <w:szCs w:val="20"/>
          <w:color w:val="auto"/>
        </w:rPr>
      </w:pPr>
      <w:r>
        <w:rPr>
          <w:rFonts w:ascii="MS PGothic" w:cs="MS PGothic" w:eastAsia="MS PGothic" w:hAnsi="MS PGothic"/>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429895</wp:posOffset>
            </wp:positionV>
            <wp:extent cx="7178040" cy="400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3" w:right="319" w:bottom="1440" w:gutter="0" w:footer="0" w:header="0"/>
        </w:sectPr>
      </w:pPr>
    </w:p>
    <w:bookmarkStart w:id="11" w:name="page12"/>
    <w:bookmarkEnd w:id="11"/>
    <w:p>
      <w:pPr>
        <w:spacing w:after="0"/>
        <w:rPr>
          <w:sz w:val="20"/>
          <w:szCs w:val="20"/>
          <w:color w:val="auto"/>
        </w:rPr>
      </w:pPr>
      <w:r>
        <w:rPr>
          <w:rFonts w:ascii="Calibri" w:cs="Calibri" w:eastAsia="Calibri" w:hAnsi="Calibri"/>
          <w:sz w:val="15"/>
          <w:szCs w:val="15"/>
          <w:i w:val="1"/>
          <w:iCs w:val="1"/>
          <w:color w:val="auto"/>
        </w:rPr>
        <w:t>New Cars</w:t>
      </w:r>
    </w:p>
    <w:p>
      <w:pPr>
        <w:spacing w:after="0" w:line="185" w:lineRule="exact"/>
        <w:rPr>
          <w:sz w:val="20"/>
          <w:szCs w:val="20"/>
          <w:color w:val="auto"/>
        </w:rPr>
      </w:pPr>
    </w:p>
    <w:p>
      <w:pPr>
        <w:jc w:val="both"/>
        <w:ind w:firstLine="511"/>
        <w:spacing w:after="0" w:line="312" w:lineRule="auto"/>
        <w:rPr>
          <w:sz w:val="20"/>
          <w:szCs w:val="20"/>
          <w:color w:val="auto"/>
        </w:rPr>
      </w:pPr>
      <w:r>
        <w:rPr>
          <w:rFonts w:ascii="MS PGothic" w:cs="MS PGothic" w:eastAsia="MS PGothic" w:hAnsi="MS PGothic"/>
          <w:sz w:val="15"/>
          <w:szCs w:val="15"/>
          <w:color w:val="auto"/>
        </w:rPr>
        <w:t>Search results for new car listngs are sorted by price of inventory matching the user’s search, with the lowest priced listngs sorted frst. Our new car VDPs include our Dealer Ratng and many of the other features of our used car listngs, such as Price History and Time on Site. Deal Ratng is not applicable to new car listngs because it utlizes data not relevant to new cars. Instead, we analyze data on manufacturers’ suggested retail prices and recent sales of similar new vehicles, accountng for trade-ins, incentves, and other factors that can afect the price of a new car, to provide users with comparatve price informaton.</w:t>
      </w:r>
    </w:p>
    <w:p>
      <w:pPr>
        <w:spacing w:after="0" w:line="140" w:lineRule="exact"/>
        <w:rPr>
          <w:sz w:val="20"/>
          <w:szCs w:val="20"/>
          <w:color w:val="auto"/>
        </w:rPr>
      </w:pPr>
    </w:p>
    <w:p>
      <w:pPr>
        <w:spacing w:after="0"/>
        <w:rPr>
          <w:sz w:val="20"/>
          <w:szCs w:val="20"/>
          <w:color w:val="auto"/>
        </w:rPr>
      </w:pPr>
      <w:r>
        <w:rPr>
          <w:rFonts w:ascii="Calibri" w:cs="Calibri" w:eastAsia="Calibri" w:hAnsi="Calibri"/>
          <w:sz w:val="15"/>
          <w:szCs w:val="15"/>
          <w:i w:val="1"/>
          <w:iCs w:val="1"/>
          <w:color w:val="auto"/>
        </w:rPr>
        <w:t>Sell My Car</w:t>
      </w:r>
    </w:p>
    <w:p>
      <w:pPr>
        <w:spacing w:after="0" w:line="185" w:lineRule="exact"/>
        <w:rPr>
          <w:sz w:val="20"/>
          <w:szCs w:val="20"/>
          <w:color w:val="auto"/>
        </w:rPr>
      </w:pPr>
    </w:p>
    <w:p>
      <w:pPr>
        <w:jc w:val="both"/>
        <w:ind w:firstLine="511"/>
        <w:spacing w:after="0" w:line="307" w:lineRule="auto"/>
        <w:rPr>
          <w:sz w:val="20"/>
          <w:szCs w:val="20"/>
          <w:color w:val="auto"/>
        </w:rPr>
      </w:pPr>
      <w:r>
        <w:rPr>
          <w:rFonts w:ascii="MS PGothic" w:cs="MS PGothic" w:eastAsia="MS PGothic" w:hAnsi="MS PGothic"/>
          <w:sz w:val="15"/>
          <w:szCs w:val="15"/>
          <w:color w:val="auto"/>
        </w:rPr>
        <w:t>We also allow our consumers to list their cars in both our peer-to-peer and consumer-to-dealer marketplaces in the U.S. Sell My Car enables individual car owners to easily merchandise their vehicles, determine an appropriate selling price with our proprietary price guidance, and manage their listngs and communicatons with prospectve buyers from our audience. We collect a fee when a consumer lists a vehicle on Sell My Car and chooses our peer-to-peer opton. In 2023 we introduced the next iteraton of Sell My Car, referred to as Sell My Car - TDO, which gives consumers the ability to sell their car to a recommended local dealership. Paying dealers are able to subscribe to TDO, which gives them direct access to CarGurus shoppers actvely looking to sell their vehicles. See “Digital Wholesale” below for a descripton of our consumer-to-dealer ofering, IMCO.</w:t>
      </w:r>
    </w:p>
    <w:p>
      <w:pPr>
        <w:spacing w:after="0" w:line="145" w:lineRule="exact"/>
        <w:rPr>
          <w:sz w:val="20"/>
          <w:szCs w:val="20"/>
          <w:color w:val="auto"/>
        </w:rPr>
      </w:pPr>
    </w:p>
    <w:p>
      <w:pPr>
        <w:spacing w:after="0"/>
        <w:rPr>
          <w:sz w:val="20"/>
          <w:szCs w:val="20"/>
          <w:color w:val="auto"/>
        </w:rPr>
      </w:pPr>
      <w:r>
        <w:rPr>
          <w:rFonts w:ascii="Calibri" w:cs="Calibri" w:eastAsia="Calibri" w:hAnsi="Calibri"/>
          <w:sz w:val="15"/>
          <w:szCs w:val="15"/>
          <w:i w:val="1"/>
          <w:iCs w:val="1"/>
          <w:color w:val="auto"/>
        </w:rPr>
        <w:t>Autolist</w:t>
      </w:r>
    </w:p>
    <w:p>
      <w:pPr>
        <w:spacing w:after="0" w:line="185" w:lineRule="exact"/>
        <w:rPr>
          <w:sz w:val="20"/>
          <w:szCs w:val="20"/>
          <w:color w:val="auto"/>
        </w:rPr>
      </w:pPr>
    </w:p>
    <w:p>
      <w:pPr>
        <w:jc w:val="both"/>
        <w:ind w:firstLine="511"/>
        <w:spacing w:after="0" w:line="312" w:lineRule="auto"/>
        <w:rPr>
          <w:sz w:val="20"/>
          <w:szCs w:val="20"/>
          <w:color w:val="auto"/>
        </w:rPr>
      </w:pPr>
      <w:r>
        <w:rPr>
          <w:rFonts w:ascii="MS PGothic" w:cs="MS PGothic" w:eastAsia="MS PGothic" w:hAnsi="MS PGothic"/>
          <w:sz w:val="15"/>
          <w:szCs w:val="15"/>
          <w:color w:val="auto"/>
        </w:rPr>
        <w:t>Autolist provides consumers an online automotve marketplace through mobile applicatons on iOS and Android phones as well as a website. The platorm includes inventory from top automotve dealers across the U.S. and gives consumers quick access to manage their search on the go with real-tme alerts of newly available inventory and changes that occur on vehicles and saved searches they have confgured. An independent editorial staf produces content to keep consumers informed on the latest vehicles and trends in the automotve market.</w:t>
      </w:r>
    </w:p>
    <w:p>
      <w:pPr>
        <w:spacing w:after="0" w:line="140" w:lineRule="exact"/>
        <w:rPr>
          <w:sz w:val="20"/>
          <w:szCs w:val="20"/>
          <w:color w:val="auto"/>
        </w:rPr>
      </w:pPr>
    </w:p>
    <w:p>
      <w:pPr>
        <w:spacing w:after="0"/>
        <w:rPr>
          <w:sz w:val="20"/>
          <w:szCs w:val="20"/>
          <w:color w:val="auto"/>
        </w:rPr>
      </w:pPr>
      <w:r>
        <w:rPr>
          <w:rFonts w:ascii="Calibri" w:cs="Calibri" w:eastAsia="Calibri" w:hAnsi="Calibri"/>
          <w:sz w:val="15"/>
          <w:szCs w:val="15"/>
          <w:i w:val="1"/>
          <w:iCs w:val="1"/>
          <w:color w:val="auto"/>
        </w:rPr>
        <w:t>PistonHeads</w:t>
      </w:r>
    </w:p>
    <w:p>
      <w:pPr>
        <w:spacing w:after="0" w:line="185" w:lineRule="exact"/>
        <w:rPr>
          <w:sz w:val="20"/>
          <w:szCs w:val="20"/>
          <w:color w:val="auto"/>
        </w:rPr>
      </w:pPr>
    </w:p>
    <w:p>
      <w:pPr>
        <w:jc w:val="both"/>
        <w:ind w:firstLine="511"/>
        <w:spacing w:after="0" w:line="320" w:lineRule="auto"/>
        <w:rPr>
          <w:sz w:val="20"/>
          <w:szCs w:val="20"/>
          <w:color w:val="auto"/>
        </w:rPr>
      </w:pPr>
      <w:r>
        <w:rPr>
          <w:rFonts w:ascii="MS PGothic" w:cs="MS PGothic" w:eastAsia="MS PGothic" w:hAnsi="MS PGothic"/>
          <w:sz w:val="15"/>
          <w:szCs w:val="15"/>
          <w:color w:val="auto"/>
        </w:rPr>
        <w:t>PistonHeads is a U.K. automotve marketplace, aucton platorm, and editorial site geared towards automotve enthusiasts. The platorm allows consumers to search across a broad range of dealer and private seller listngs and stay informed about automotve news through editorial artcles and expert reviews. Paying U.K. dealers who list on the CarGurus platorm automatcally have their inventory added to the PistonHeads site for greater consumer reach.</w:t>
      </w:r>
    </w:p>
    <w:p>
      <w:pPr>
        <w:spacing w:after="0" w:line="136" w:lineRule="exact"/>
        <w:rPr>
          <w:sz w:val="20"/>
          <w:szCs w:val="20"/>
          <w:color w:val="auto"/>
        </w:rPr>
      </w:pPr>
    </w:p>
    <w:p>
      <w:pPr>
        <w:spacing w:after="0"/>
        <w:rPr>
          <w:sz w:val="20"/>
          <w:szCs w:val="20"/>
          <w:color w:val="auto"/>
        </w:rPr>
      </w:pPr>
      <w:r>
        <w:rPr>
          <w:rFonts w:ascii="MS PGothic" w:cs="MS PGothic" w:eastAsia="MS PGothic" w:hAnsi="MS PGothic"/>
          <w:sz w:val="15"/>
          <w:szCs w:val="15"/>
          <w:u w:val="single" w:color="auto"/>
          <w:color w:val="auto"/>
        </w:rPr>
        <w:t>Dealer Oferings</w:t>
      </w:r>
    </w:p>
    <w:p>
      <w:pPr>
        <w:spacing w:after="0" w:line="218" w:lineRule="exact"/>
        <w:rPr>
          <w:sz w:val="20"/>
          <w:szCs w:val="20"/>
          <w:color w:val="auto"/>
        </w:rPr>
      </w:pPr>
    </w:p>
    <w:p>
      <w:pPr>
        <w:spacing w:after="0"/>
        <w:rPr>
          <w:sz w:val="20"/>
          <w:szCs w:val="20"/>
          <w:color w:val="auto"/>
        </w:rPr>
      </w:pPr>
      <w:r>
        <w:rPr>
          <w:rFonts w:ascii="Calibri" w:cs="Calibri" w:eastAsia="Calibri" w:hAnsi="Calibri"/>
          <w:sz w:val="15"/>
          <w:szCs w:val="15"/>
          <w:i w:val="1"/>
          <w:iCs w:val="1"/>
          <w:color w:val="auto"/>
        </w:rPr>
        <w:t>Listngs</w:t>
      </w:r>
    </w:p>
    <w:p>
      <w:pPr>
        <w:spacing w:after="0" w:line="185" w:lineRule="exact"/>
        <w:rPr>
          <w:sz w:val="20"/>
          <w:szCs w:val="20"/>
          <w:color w:val="auto"/>
        </w:rPr>
      </w:pPr>
    </w:p>
    <w:p>
      <w:pPr>
        <w:jc w:val="both"/>
        <w:ind w:firstLine="511"/>
        <w:spacing w:after="0" w:line="307" w:lineRule="auto"/>
        <w:rPr>
          <w:sz w:val="20"/>
          <w:szCs w:val="20"/>
          <w:color w:val="auto"/>
        </w:rPr>
      </w:pPr>
      <w:r>
        <w:rPr>
          <w:rFonts w:ascii="MS PGothic" w:cs="MS PGothic" w:eastAsia="MS PGothic" w:hAnsi="MS PGothic"/>
          <w:sz w:val="15"/>
          <w:szCs w:val="15"/>
          <w:color w:val="auto"/>
        </w:rPr>
        <w:t>Our marketplace connects dealers to a large audience of informed and engaged consumers. We ofer multple types of marketplace Listngs subscriptons to dealers for the CarGurus marketplace in the U.S. (availability varies on our other marketplaces): Restricted Listngs, which is free, and various levels of Listngs packages, each of which requires a paid subscripton. We ofer our Listngs product suite through a tered set of packages. Listngs are priced on a monthly, quarterly, semiannual, or annual subscripton basis based on the dealer’s inventory size, region, and our assessment of the ROI we expect to deliver. For improved performance, dealers can purchase higher Listngs suite levels and add-ons available at an existng Listngs suite level. Dealers may be renewed at higher rates commensurate with growth and updated performance expectatons.</w:t>
      </w:r>
    </w:p>
    <w:p>
      <w:pPr>
        <w:spacing w:after="0" w:line="157" w:lineRule="exact"/>
        <w:rPr>
          <w:sz w:val="20"/>
          <w:szCs w:val="20"/>
          <w:color w:val="auto"/>
        </w:rPr>
      </w:pPr>
    </w:p>
    <w:p>
      <w:pPr>
        <w:jc w:val="both"/>
        <w:ind w:left="1020" w:hanging="518"/>
        <w:spacing w:after="0" w:line="272" w:lineRule="auto"/>
        <w:tabs>
          <w:tab w:leader="none" w:pos="1020" w:val="left"/>
        </w:tabs>
        <w:numPr>
          <w:ilvl w:val="0"/>
          <w:numId w:val="6"/>
        </w:numPr>
        <w:rPr>
          <w:rFonts w:ascii="Times New Roman" w:cs="Times New Roman" w:eastAsia="Times New Roman" w:hAnsi="Times New Roman"/>
          <w:sz w:val="15"/>
          <w:szCs w:val="15"/>
          <w:color w:val="auto"/>
        </w:rPr>
      </w:pPr>
      <w:r>
        <w:rPr>
          <w:rFonts w:ascii="Calibri" w:cs="Calibri" w:eastAsia="Calibri" w:hAnsi="Calibri"/>
          <w:sz w:val="15"/>
          <w:szCs w:val="15"/>
          <w:i w:val="1"/>
          <w:iCs w:val="1"/>
          <w:color w:val="auto"/>
        </w:rPr>
        <w:t xml:space="preserve">Restricted Listngs. </w:t>
      </w:r>
      <w:r>
        <w:rPr>
          <w:rFonts w:ascii="MS PGothic" w:cs="MS PGothic" w:eastAsia="MS PGothic" w:hAnsi="MS PGothic"/>
          <w:sz w:val="15"/>
          <w:szCs w:val="15"/>
          <w:color w:val="auto"/>
        </w:rPr>
        <w:t>We allow non‑paying dealers to list their inventory in our marketplace as Restricted Listngs. Restricted Listngs do not display the name, address,</w:t>
      </w:r>
      <w:r>
        <w:rPr>
          <w:rFonts w:ascii="Calibri" w:cs="Calibri" w:eastAsia="Calibri" w:hAnsi="Calibri"/>
          <w:sz w:val="15"/>
          <w:szCs w:val="15"/>
          <w:i w:val="1"/>
          <w:iCs w:val="1"/>
          <w:color w:val="auto"/>
        </w:rPr>
        <w:t xml:space="preserve"> </w:t>
      </w:r>
      <w:r>
        <w:rPr>
          <w:rFonts w:ascii="MS PGothic" w:cs="MS PGothic" w:eastAsia="MS PGothic" w:hAnsi="MS PGothic"/>
          <w:sz w:val="15"/>
          <w:szCs w:val="15"/>
          <w:color w:val="auto"/>
        </w:rPr>
        <w:t>website URL, or phone number of the relevant dealer and are subject to other limitatons. Consumers can contact these dealers only through an anonymous, CarGurus‑branded email address so the dealer does not receive any of the consumer’s personal contact informaton from our platorm. Dealers in our Restricted Listngs ter are limited in the number of consumer connectons they can receive in a month, with caps on lead volume based on the dealers’ inventory size.</w:t>
      </w:r>
    </w:p>
    <w:p>
      <w:pPr>
        <w:spacing w:after="0" w:line="165" w:lineRule="exact"/>
        <w:rPr>
          <w:sz w:val="20"/>
          <w:szCs w:val="20"/>
          <w:color w:val="auto"/>
        </w:rPr>
      </w:pPr>
    </w:p>
    <w:p>
      <w:pPr>
        <w:jc w:val="center"/>
        <w:spacing w:after="0"/>
        <w:rPr>
          <w:sz w:val="20"/>
          <w:szCs w:val="20"/>
          <w:color w:val="auto"/>
        </w:rPr>
      </w:pPr>
      <w:r>
        <w:rPr>
          <w:rFonts w:ascii="MS PGothic" w:cs="MS PGothic" w:eastAsia="MS PGothic" w:hAnsi="MS PGothic"/>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429895</wp:posOffset>
            </wp:positionV>
            <wp:extent cx="7178040" cy="400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3" w:right="319" w:bottom="1440" w:gutter="0" w:footer="0" w:header="0"/>
        </w:sectPr>
      </w:pPr>
    </w:p>
    <w:bookmarkStart w:id="12" w:name="page13"/>
    <w:bookmarkEnd w:id="12"/>
    <w:p>
      <w:pPr>
        <w:jc w:val="both"/>
        <w:ind w:left="1020" w:hanging="518"/>
        <w:spacing w:after="0" w:line="315" w:lineRule="auto"/>
        <w:tabs>
          <w:tab w:leader="none" w:pos="1020" w:val="left"/>
        </w:tabs>
        <w:numPr>
          <w:ilvl w:val="0"/>
          <w:numId w:val="7"/>
        </w:numPr>
        <w:rPr>
          <w:rFonts w:ascii="Times New Roman" w:cs="Times New Roman" w:eastAsia="Times New Roman" w:hAnsi="Times New Roman"/>
          <w:sz w:val="14"/>
          <w:szCs w:val="14"/>
          <w:color w:val="auto"/>
        </w:rPr>
      </w:pPr>
      <w:r>
        <w:rPr>
          <w:rFonts w:ascii="Calibri" w:cs="Calibri" w:eastAsia="Calibri" w:hAnsi="Calibri"/>
          <w:sz w:val="14"/>
          <w:szCs w:val="14"/>
          <w:i w:val="1"/>
          <w:iCs w:val="1"/>
          <w:color w:val="auto"/>
        </w:rPr>
        <w:t xml:space="preserve">Paid Listngs Subscriptons. </w:t>
      </w:r>
      <w:r>
        <w:rPr>
          <w:rFonts w:ascii="MS PGothic" w:cs="MS PGothic" w:eastAsia="MS PGothic" w:hAnsi="MS PGothic"/>
          <w:sz w:val="14"/>
          <w:szCs w:val="14"/>
          <w:color w:val="auto"/>
        </w:rPr>
        <w:t>Paying dealers are able to subscribe to one of three Listngs package levels: Enhanced, Featured, or Featured Priority. We no longer ofer our</w:t>
      </w:r>
      <w:r>
        <w:rPr>
          <w:rFonts w:ascii="Calibri" w:cs="Calibri" w:eastAsia="Calibri" w:hAnsi="Calibri"/>
          <w:sz w:val="14"/>
          <w:szCs w:val="14"/>
          <w:i w:val="1"/>
          <w:iCs w:val="1"/>
          <w:color w:val="auto"/>
        </w:rPr>
        <w:t xml:space="preserve"> </w:t>
      </w:r>
      <w:r>
        <w:rPr>
          <w:rFonts w:ascii="MS PGothic" w:cs="MS PGothic" w:eastAsia="MS PGothic" w:hAnsi="MS PGothic"/>
          <w:sz w:val="14"/>
          <w:szCs w:val="14"/>
          <w:color w:val="auto"/>
        </w:rPr>
        <w:t>Standard Listngs package to new paying dealers; however, dealers that have historically subscribed to our Standard Listng package are allowed to contnue subscribing to the package. These paid Listngs packages are designed to provide dealers with a higher volume and quality of connectons and leads from consumers than our Restricted Listngs opton. Dealers that subscribe to a paid Listngs package gain the opportunity to connect with consumers directly through email, phone, and – excluding Standard Listngs subscriptons – managed text and chat, an ofering by which consumers communicate via real-tme text message or chat with our agents who act on behalf of dealers. Listngs for all paying dealers on our websites include a link to their website, dealership branding and informaton such as name, address, and hours of operaton, and map directons to their dealership, helping consumers easily contact or visit the dealer, which we believe results in increased local brand awareness and walk‑in trafc. A dealer that subscribes to our Featured or Featured Priority Listngs package receives the same benefts of the Standard and Enhanced Listngs packages, as well as opportunites for promoton of their Great Deal, Good Deal, and Fair Deal used inventory as well as their new inventory in a clearly labeled secton at the top of the SRP as well as on the VDP of dealers in the Restricted Listngs package. Featured Priority listngs are specifcally promoted in the frst positon of the SRP. This premium placement for Featured and Featured Priority listngs generates increased connecton volume relatve to Standard or Enhanced Listngs packages. Dealers in the Featured or Featured Priority Listng packages also receive premium branding in the ad slots on their own VDPs.</w:t>
      </w:r>
    </w:p>
    <w:p>
      <w:pPr>
        <w:spacing w:after="0" w:line="148" w:lineRule="exact"/>
        <w:rPr>
          <w:sz w:val="20"/>
          <w:szCs w:val="20"/>
          <w:color w:val="auto"/>
        </w:rPr>
      </w:pPr>
    </w:p>
    <w:p>
      <w:pPr>
        <w:spacing w:after="0"/>
        <w:rPr>
          <w:sz w:val="20"/>
          <w:szCs w:val="20"/>
          <w:color w:val="auto"/>
        </w:rPr>
      </w:pPr>
      <w:r>
        <w:rPr>
          <w:rFonts w:ascii="Calibri" w:cs="Calibri" w:eastAsia="Calibri" w:hAnsi="Calibri"/>
          <w:sz w:val="15"/>
          <w:szCs w:val="15"/>
          <w:i w:val="1"/>
          <w:iCs w:val="1"/>
          <w:color w:val="auto"/>
        </w:rPr>
        <w:t>Dealer Dashboard and Merchandising Tools</w:t>
      </w:r>
    </w:p>
    <w:p>
      <w:pPr>
        <w:spacing w:after="0" w:line="185" w:lineRule="exact"/>
        <w:rPr>
          <w:sz w:val="20"/>
          <w:szCs w:val="20"/>
          <w:color w:val="auto"/>
        </w:rPr>
      </w:pPr>
    </w:p>
    <w:p>
      <w:pPr>
        <w:ind w:left="500"/>
        <w:spacing w:after="0"/>
        <w:rPr>
          <w:sz w:val="20"/>
          <w:szCs w:val="20"/>
          <w:color w:val="auto"/>
        </w:rPr>
      </w:pPr>
      <w:r>
        <w:rPr>
          <w:rFonts w:ascii="MS PGothic" w:cs="MS PGothic" w:eastAsia="MS PGothic" w:hAnsi="MS PGothic"/>
          <w:sz w:val="15"/>
          <w:szCs w:val="15"/>
          <w:color w:val="auto"/>
        </w:rPr>
        <w:t>All dealers with inventory on CarGurus may access the following Dealer Dashboard features and merchandising tools:</w:t>
      </w:r>
    </w:p>
    <w:p>
      <w:pPr>
        <w:spacing w:after="0" w:line="230" w:lineRule="exact"/>
        <w:rPr>
          <w:sz w:val="20"/>
          <w:szCs w:val="20"/>
          <w:color w:val="auto"/>
        </w:rPr>
      </w:pPr>
    </w:p>
    <w:p>
      <w:pPr>
        <w:jc w:val="both"/>
        <w:ind w:left="1020" w:hanging="518"/>
        <w:spacing w:after="0" w:line="265" w:lineRule="auto"/>
        <w:tabs>
          <w:tab w:leader="none" w:pos="1020" w:val="left"/>
        </w:tabs>
        <w:numPr>
          <w:ilvl w:val="0"/>
          <w:numId w:val="8"/>
        </w:numPr>
        <w:rPr>
          <w:rFonts w:ascii="Times New Roman" w:cs="Times New Roman" w:eastAsia="Times New Roman" w:hAnsi="Times New Roman"/>
          <w:sz w:val="15"/>
          <w:szCs w:val="15"/>
          <w:color w:val="auto"/>
        </w:rPr>
      </w:pPr>
      <w:r>
        <w:rPr>
          <w:rFonts w:ascii="Calibri" w:cs="Calibri" w:eastAsia="Calibri" w:hAnsi="Calibri"/>
          <w:sz w:val="15"/>
          <w:szCs w:val="15"/>
          <w:i w:val="1"/>
          <w:iCs w:val="1"/>
          <w:color w:val="auto"/>
        </w:rPr>
        <w:t xml:space="preserve">Performance Summary. </w:t>
      </w:r>
      <w:r>
        <w:rPr>
          <w:rFonts w:ascii="MS PGothic" w:cs="MS PGothic" w:eastAsia="MS PGothic" w:hAnsi="MS PGothic"/>
          <w:sz w:val="15"/>
          <w:szCs w:val="15"/>
          <w:color w:val="auto"/>
        </w:rPr>
        <w:t>Provides dealers with real‑tme and historical data concerning the connectons and consumer exposure they have received in our marketplace</w:t>
      </w:r>
      <w:r>
        <w:rPr>
          <w:rFonts w:ascii="Calibri" w:cs="Calibri" w:eastAsia="Calibri" w:hAnsi="Calibri"/>
          <w:sz w:val="15"/>
          <w:szCs w:val="15"/>
          <w:i w:val="1"/>
          <w:iCs w:val="1"/>
          <w:color w:val="auto"/>
        </w:rPr>
        <w:t xml:space="preserve"> </w:t>
      </w:r>
      <w:r>
        <w:rPr>
          <w:rFonts w:ascii="MS PGothic" w:cs="MS PGothic" w:eastAsia="MS PGothic" w:hAnsi="MS PGothic"/>
          <w:sz w:val="15"/>
          <w:szCs w:val="15"/>
          <w:color w:val="auto"/>
        </w:rPr>
        <w:t>and through our digital marketng products. This enables dealers to analyze connectons and SRP and VDP views at a granular level to inform the dealer’s sales and merchandising eforts.</w:t>
      </w:r>
    </w:p>
    <w:p>
      <w:pPr>
        <w:spacing w:after="0" w:line="177" w:lineRule="exact"/>
        <w:rPr>
          <w:rFonts w:ascii="Times New Roman" w:cs="Times New Roman" w:eastAsia="Times New Roman" w:hAnsi="Times New Roman"/>
          <w:sz w:val="15"/>
          <w:szCs w:val="15"/>
          <w:color w:val="auto"/>
        </w:rPr>
      </w:pPr>
    </w:p>
    <w:p>
      <w:pPr>
        <w:jc w:val="both"/>
        <w:ind w:left="1020" w:hanging="518"/>
        <w:spacing w:after="0" w:line="265" w:lineRule="auto"/>
        <w:tabs>
          <w:tab w:leader="none" w:pos="1020" w:val="left"/>
        </w:tabs>
        <w:numPr>
          <w:ilvl w:val="0"/>
          <w:numId w:val="8"/>
        </w:numPr>
        <w:rPr>
          <w:rFonts w:ascii="Times New Roman" w:cs="Times New Roman" w:eastAsia="Times New Roman" w:hAnsi="Times New Roman"/>
          <w:sz w:val="15"/>
          <w:szCs w:val="15"/>
          <w:color w:val="auto"/>
        </w:rPr>
      </w:pPr>
      <w:r>
        <w:rPr>
          <w:rFonts w:ascii="Calibri" w:cs="Calibri" w:eastAsia="Calibri" w:hAnsi="Calibri"/>
          <w:sz w:val="15"/>
          <w:szCs w:val="15"/>
          <w:i w:val="1"/>
          <w:iCs w:val="1"/>
          <w:color w:val="auto"/>
        </w:rPr>
        <w:t xml:space="preserve">Dealer Data Insights. </w:t>
      </w:r>
      <w:r>
        <w:rPr>
          <w:rFonts w:ascii="MS PGothic" w:cs="MS PGothic" w:eastAsia="MS PGothic" w:hAnsi="MS PGothic"/>
          <w:sz w:val="15"/>
          <w:szCs w:val="15"/>
          <w:color w:val="auto"/>
        </w:rPr>
        <w:t>Provides pricing analysis of the dealer’s inventory, including beter access to automated data that fts into a dealer’s workfow, as well as a summary</w:t>
      </w:r>
      <w:r>
        <w:rPr>
          <w:rFonts w:ascii="Calibri" w:cs="Calibri" w:eastAsia="Calibri" w:hAnsi="Calibri"/>
          <w:sz w:val="15"/>
          <w:szCs w:val="15"/>
          <w:i w:val="1"/>
          <w:iCs w:val="1"/>
          <w:color w:val="auto"/>
        </w:rPr>
        <w:t xml:space="preserve"> </w:t>
      </w:r>
      <w:r>
        <w:rPr>
          <w:rFonts w:ascii="MS PGothic" w:cs="MS PGothic" w:eastAsia="MS PGothic" w:hAnsi="MS PGothic"/>
          <w:sz w:val="15"/>
          <w:szCs w:val="15"/>
          <w:color w:val="auto"/>
        </w:rPr>
        <w:t>of a vehicle’s missing informaton such as price, photos, or trim. These insights and informaton help dealers beter merchandise their vehicles, allowing dealers to react more quickly to the market and turn units faster.</w:t>
      </w:r>
    </w:p>
    <w:p>
      <w:pPr>
        <w:spacing w:after="0" w:line="177" w:lineRule="exact"/>
        <w:rPr>
          <w:rFonts w:ascii="Times New Roman" w:cs="Times New Roman" w:eastAsia="Times New Roman" w:hAnsi="Times New Roman"/>
          <w:sz w:val="15"/>
          <w:szCs w:val="15"/>
          <w:color w:val="auto"/>
        </w:rPr>
      </w:pPr>
    </w:p>
    <w:p>
      <w:pPr>
        <w:ind w:left="1020" w:hanging="518"/>
        <w:spacing w:after="0" w:line="241" w:lineRule="auto"/>
        <w:tabs>
          <w:tab w:leader="none" w:pos="1020" w:val="left"/>
        </w:tabs>
        <w:numPr>
          <w:ilvl w:val="0"/>
          <w:numId w:val="8"/>
        </w:numPr>
        <w:rPr>
          <w:rFonts w:ascii="Times New Roman" w:cs="Times New Roman" w:eastAsia="Times New Roman" w:hAnsi="Times New Roman"/>
          <w:sz w:val="15"/>
          <w:szCs w:val="15"/>
          <w:color w:val="auto"/>
        </w:rPr>
      </w:pPr>
      <w:r>
        <w:rPr>
          <w:rFonts w:ascii="Calibri" w:cs="Calibri" w:eastAsia="Calibri" w:hAnsi="Calibri"/>
          <w:sz w:val="15"/>
          <w:szCs w:val="15"/>
          <w:i w:val="1"/>
          <w:iCs w:val="1"/>
          <w:color w:val="auto"/>
        </w:rPr>
        <w:t xml:space="preserve">User Review Management. </w:t>
      </w:r>
      <w:r>
        <w:rPr>
          <w:rFonts w:ascii="MS PGothic" w:cs="MS PGothic" w:eastAsia="MS PGothic" w:hAnsi="MS PGothic"/>
          <w:sz w:val="15"/>
          <w:szCs w:val="15"/>
          <w:color w:val="auto"/>
        </w:rPr>
        <w:t>Allows dealers to track and manage – but not edit or manipulate – their dealer reviews from our users. Dealers can respond to users, report</w:t>
      </w:r>
      <w:r>
        <w:rPr>
          <w:rFonts w:ascii="Calibri" w:cs="Calibri" w:eastAsia="Calibri" w:hAnsi="Calibri"/>
          <w:sz w:val="15"/>
          <w:szCs w:val="15"/>
          <w:i w:val="1"/>
          <w:iCs w:val="1"/>
          <w:color w:val="auto"/>
        </w:rPr>
        <w:t xml:space="preserve"> </w:t>
      </w:r>
      <w:r>
        <w:rPr>
          <w:rFonts w:ascii="MS PGothic" w:cs="MS PGothic" w:eastAsia="MS PGothic" w:hAnsi="MS PGothic"/>
          <w:sz w:val="15"/>
          <w:szCs w:val="15"/>
          <w:color w:val="auto"/>
        </w:rPr>
        <w:t>potentally fraudulent reviews, and publish positve reviews to social media platorms for broader exposure.</w:t>
      </w:r>
    </w:p>
    <w:p>
      <w:pPr>
        <w:spacing w:after="0" w:line="185" w:lineRule="exact"/>
        <w:rPr>
          <w:sz w:val="20"/>
          <w:szCs w:val="20"/>
          <w:color w:val="auto"/>
        </w:rPr>
      </w:pPr>
    </w:p>
    <w:p>
      <w:pPr>
        <w:ind w:left="500"/>
        <w:spacing w:after="0"/>
        <w:rPr>
          <w:sz w:val="20"/>
          <w:szCs w:val="20"/>
          <w:color w:val="auto"/>
        </w:rPr>
      </w:pPr>
      <w:r>
        <w:rPr>
          <w:rFonts w:ascii="MS PGothic" w:cs="MS PGothic" w:eastAsia="MS PGothic" w:hAnsi="MS PGothic"/>
          <w:sz w:val="15"/>
          <w:szCs w:val="15"/>
          <w:color w:val="auto"/>
        </w:rPr>
        <w:t>Dealers subscribing to a paid Listngs package also have access to the following additonal features and tools:</w:t>
      </w:r>
    </w:p>
    <w:p>
      <w:pPr>
        <w:spacing w:after="0" w:line="230" w:lineRule="exact"/>
        <w:rPr>
          <w:sz w:val="20"/>
          <w:szCs w:val="20"/>
          <w:color w:val="auto"/>
        </w:rPr>
      </w:pPr>
    </w:p>
    <w:p>
      <w:pPr>
        <w:ind w:left="1020" w:hanging="518"/>
        <w:spacing w:after="0" w:line="241" w:lineRule="auto"/>
        <w:tabs>
          <w:tab w:leader="none" w:pos="1020" w:val="left"/>
        </w:tabs>
        <w:numPr>
          <w:ilvl w:val="0"/>
          <w:numId w:val="9"/>
        </w:numPr>
        <w:rPr>
          <w:rFonts w:ascii="Times New Roman" w:cs="Times New Roman" w:eastAsia="Times New Roman" w:hAnsi="Times New Roman"/>
          <w:sz w:val="15"/>
          <w:szCs w:val="15"/>
          <w:color w:val="auto"/>
        </w:rPr>
      </w:pPr>
      <w:r>
        <w:rPr>
          <w:rFonts w:ascii="Calibri" w:cs="Calibri" w:eastAsia="Calibri" w:hAnsi="Calibri"/>
          <w:sz w:val="15"/>
          <w:szCs w:val="15"/>
          <w:i w:val="1"/>
          <w:iCs w:val="1"/>
          <w:color w:val="auto"/>
        </w:rPr>
        <w:t xml:space="preserve">Pricing Tool. </w:t>
      </w:r>
      <w:r>
        <w:rPr>
          <w:rFonts w:ascii="MS PGothic" w:cs="MS PGothic" w:eastAsia="MS PGothic" w:hAnsi="MS PGothic"/>
          <w:sz w:val="15"/>
          <w:szCs w:val="15"/>
          <w:color w:val="auto"/>
        </w:rPr>
        <w:t>Helps dealers evaluate the impact of pricing changes for each used vehicle in their inventory and the resultng impact on the car’s Deal Ratng, empowering</w:t>
      </w:r>
      <w:r>
        <w:rPr>
          <w:rFonts w:ascii="Calibri" w:cs="Calibri" w:eastAsia="Calibri" w:hAnsi="Calibri"/>
          <w:sz w:val="15"/>
          <w:szCs w:val="15"/>
          <w:i w:val="1"/>
          <w:iCs w:val="1"/>
          <w:color w:val="auto"/>
        </w:rPr>
        <w:t xml:space="preserve"> </w:t>
      </w:r>
      <w:r>
        <w:rPr>
          <w:rFonts w:ascii="MS PGothic" w:cs="MS PGothic" w:eastAsia="MS PGothic" w:hAnsi="MS PGothic"/>
          <w:sz w:val="15"/>
          <w:szCs w:val="15"/>
          <w:color w:val="auto"/>
        </w:rPr>
        <w:t>dealers to make informed pricing decisions based on market data in their local area.</w:t>
      </w:r>
    </w:p>
    <w:p>
      <w:pPr>
        <w:spacing w:after="0" w:line="196" w:lineRule="exact"/>
        <w:rPr>
          <w:rFonts w:ascii="Times New Roman" w:cs="Times New Roman" w:eastAsia="Times New Roman" w:hAnsi="Times New Roman"/>
          <w:sz w:val="15"/>
          <w:szCs w:val="15"/>
          <w:color w:val="auto"/>
        </w:rPr>
      </w:pPr>
    </w:p>
    <w:p>
      <w:pPr>
        <w:ind w:left="1020" w:hanging="518"/>
        <w:spacing w:after="0" w:line="241" w:lineRule="auto"/>
        <w:tabs>
          <w:tab w:leader="none" w:pos="1020" w:val="left"/>
        </w:tabs>
        <w:numPr>
          <w:ilvl w:val="0"/>
          <w:numId w:val="9"/>
        </w:numPr>
        <w:rPr>
          <w:rFonts w:ascii="Times New Roman" w:cs="Times New Roman" w:eastAsia="Times New Roman" w:hAnsi="Times New Roman"/>
          <w:sz w:val="15"/>
          <w:szCs w:val="15"/>
          <w:color w:val="auto"/>
        </w:rPr>
      </w:pPr>
      <w:r>
        <w:rPr>
          <w:rFonts w:ascii="Calibri" w:cs="Calibri" w:eastAsia="Calibri" w:hAnsi="Calibri"/>
          <w:sz w:val="15"/>
          <w:szCs w:val="15"/>
          <w:i w:val="1"/>
          <w:iCs w:val="1"/>
          <w:color w:val="auto"/>
        </w:rPr>
        <w:t xml:space="preserve">Market Analysis. </w:t>
      </w:r>
      <w:r>
        <w:rPr>
          <w:rFonts w:ascii="MS PGothic" w:cs="MS PGothic" w:eastAsia="MS PGothic" w:hAnsi="MS PGothic"/>
          <w:sz w:val="15"/>
          <w:szCs w:val="15"/>
          <w:color w:val="auto"/>
        </w:rPr>
        <w:t>Informs dealers of local market trends in used cars, such as the most searched makes and models in their local market. This informaton helps dealers</w:t>
      </w:r>
      <w:r>
        <w:rPr>
          <w:rFonts w:ascii="Calibri" w:cs="Calibri" w:eastAsia="Calibri" w:hAnsi="Calibri"/>
          <w:sz w:val="15"/>
          <w:szCs w:val="15"/>
          <w:i w:val="1"/>
          <w:iCs w:val="1"/>
          <w:color w:val="auto"/>
        </w:rPr>
        <w:t xml:space="preserve"> </w:t>
      </w:r>
      <w:r>
        <w:rPr>
          <w:rFonts w:ascii="MS PGothic" w:cs="MS PGothic" w:eastAsia="MS PGothic" w:hAnsi="MS PGothic"/>
          <w:sz w:val="15"/>
          <w:szCs w:val="15"/>
          <w:color w:val="auto"/>
        </w:rPr>
        <w:t>align with local consumer preferences and inform strategies for increasing inventory turnover and efcient vehicle acquisiton.</w:t>
      </w:r>
    </w:p>
    <w:p>
      <w:pPr>
        <w:spacing w:after="0" w:line="196" w:lineRule="exact"/>
        <w:rPr>
          <w:rFonts w:ascii="Times New Roman" w:cs="Times New Roman" w:eastAsia="Times New Roman" w:hAnsi="Times New Roman"/>
          <w:sz w:val="15"/>
          <w:szCs w:val="15"/>
          <w:color w:val="auto"/>
        </w:rPr>
      </w:pPr>
    </w:p>
    <w:p>
      <w:pPr>
        <w:jc w:val="both"/>
        <w:ind w:left="1020" w:hanging="518"/>
        <w:spacing w:after="0" w:line="265" w:lineRule="auto"/>
        <w:tabs>
          <w:tab w:leader="none" w:pos="1020" w:val="left"/>
        </w:tabs>
        <w:numPr>
          <w:ilvl w:val="0"/>
          <w:numId w:val="9"/>
        </w:numPr>
        <w:rPr>
          <w:rFonts w:ascii="Times New Roman" w:cs="Times New Roman" w:eastAsia="Times New Roman" w:hAnsi="Times New Roman"/>
          <w:sz w:val="15"/>
          <w:szCs w:val="15"/>
          <w:color w:val="auto"/>
        </w:rPr>
      </w:pPr>
      <w:r>
        <w:rPr>
          <w:rFonts w:ascii="Calibri" w:cs="Calibri" w:eastAsia="Calibri" w:hAnsi="Calibri"/>
          <w:sz w:val="15"/>
          <w:szCs w:val="15"/>
          <w:i w:val="1"/>
          <w:iCs w:val="1"/>
          <w:color w:val="auto"/>
        </w:rPr>
        <w:t>IMV Scan</w:t>
      </w:r>
      <w:r>
        <w:rPr>
          <w:rFonts w:ascii="MS PGothic" w:cs="MS PGothic" w:eastAsia="MS PGothic" w:hAnsi="MS PGothic"/>
          <w:sz w:val="15"/>
          <w:szCs w:val="15"/>
          <w:color w:val="auto"/>
        </w:rPr>
        <w:t>. Allows dealers to scan a vehicle identfcaton number, or VIN, using their smartphone, and receive informaton on the IMV of the vehicle in order to support</w:t>
      </w:r>
      <w:r>
        <w:rPr>
          <w:rFonts w:ascii="Calibri" w:cs="Calibri" w:eastAsia="Calibri" w:hAnsi="Calibri"/>
          <w:sz w:val="15"/>
          <w:szCs w:val="15"/>
          <w:i w:val="1"/>
          <w:iCs w:val="1"/>
          <w:color w:val="auto"/>
        </w:rPr>
        <w:t xml:space="preserve"> </w:t>
      </w:r>
      <w:r>
        <w:rPr>
          <w:rFonts w:ascii="MS PGothic" w:cs="MS PGothic" w:eastAsia="MS PGothic" w:hAnsi="MS PGothic"/>
          <w:sz w:val="15"/>
          <w:szCs w:val="15"/>
          <w:color w:val="auto"/>
        </w:rPr>
        <w:t>dealers in deciding what to pay for a vehicle at a wholesale auto aucton. IMV Scan is built into the CarGurus mobile app and is currently available to U.S. dealers that are subscribing to our Enhanced, Featured, or Featured Priority Listngs packages.</w:t>
      </w:r>
    </w:p>
    <w:p>
      <w:pPr>
        <w:spacing w:after="0" w:line="177" w:lineRule="exact"/>
        <w:rPr>
          <w:rFonts w:ascii="Times New Roman" w:cs="Times New Roman" w:eastAsia="Times New Roman" w:hAnsi="Times New Roman"/>
          <w:sz w:val="15"/>
          <w:szCs w:val="15"/>
          <w:color w:val="auto"/>
        </w:rPr>
      </w:pPr>
    </w:p>
    <w:p>
      <w:pPr>
        <w:ind w:left="1020" w:right="20" w:hanging="518"/>
        <w:spacing w:after="0" w:line="241" w:lineRule="auto"/>
        <w:tabs>
          <w:tab w:leader="none" w:pos="1020" w:val="left"/>
        </w:tabs>
        <w:numPr>
          <w:ilvl w:val="0"/>
          <w:numId w:val="9"/>
        </w:numPr>
        <w:rPr>
          <w:rFonts w:ascii="Times New Roman" w:cs="Times New Roman" w:eastAsia="Times New Roman" w:hAnsi="Times New Roman"/>
          <w:sz w:val="15"/>
          <w:szCs w:val="15"/>
          <w:color w:val="auto"/>
        </w:rPr>
      </w:pPr>
      <w:r>
        <w:rPr>
          <w:rFonts w:ascii="Calibri" w:cs="Calibri" w:eastAsia="Calibri" w:hAnsi="Calibri"/>
          <w:sz w:val="15"/>
          <w:szCs w:val="15"/>
          <w:i w:val="1"/>
          <w:iCs w:val="1"/>
          <w:color w:val="auto"/>
        </w:rPr>
        <w:t>Dealer Mobile App</w:t>
      </w:r>
      <w:r>
        <w:rPr>
          <w:rFonts w:ascii="MS PGothic" w:cs="MS PGothic" w:eastAsia="MS PGothic" w:hAnsi="MS PGothic"/>
          <w:sz w:val="15"/>
          <w:szCs w:val="15"/>
          <w:color w:val="auto"/>
        </w:rPr>
        <w:t>. Allows dealers to access core Dealer Dashboard functonality via an iOS and Android mobile app. Includes reportng on leads, access to several tools,</w:t>
      </w:r>
      <w:r>
        <w:rPr>
          <w:rFonts w:ascii="Calibri" w:cs="Calibri" w:eastAsia="Calibri" w:hAnsi="Calibri"/>
          <w:sz w:val="15"/>
          <w:szCs w:val="15"/>
          <w:i w:val="1"/>
          <w:iCs w:val="1"/>
          <w:color w:val="auto"/>
        </w:rPr>
        <w:t xml:space="preserve"> </w:t>
      </w:r>
      <w:r>
        <w:rPr>
          <w:rFonts w:ascii="MS PGothic" w:cs="MS PGothic" w:eastAsia="MS PGothic" w:hAnsi="MS PGothic"/>
          <w:sz w:val="15"/>
          <w:szCs w:val="15"/>
          <w:color w:val="auto"/>
        </w:rPr>
        <w:t>and mobile app notfcatons that can be customized by the dealer.</w:t>
      </w:r>
    </w:p>
    <w:p>
      <w:pPr>
        <w:spacing w:after="0" w:line="185" w:lineRule="exact"/>
        <w:rPr>
          <w:sz w:val="20"/>
          <w:szCs w:val="20"/>
          <w:color w:val="auto"/>
        </w:rPr>
      </w:pPr>
    </w:p>
    <w:p>
      <w:pPr>
        <w:jc w:val="center"/>
        <w:spacing w:after="0"/>
        <w:rPr>
          <w:sz w:val="20"/>
          <w:szCs w:val="20"/>
          <w:color w:val="auto"/>
        </w:rPr>
      </w:pPr>
      <w:r>
        <w:rPr>
          <w:rFonts w:ascii="MS PGothic" w:cs="MS PGothic" w:eastAsia="MS PGothic" w:hAnsi="MS PGothic"/>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429895</wp:posOffset>
            </wp:positionV>
            <wp:extent cx="7178040" cy="400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45" w:right="319" w:bottom="1440" w:gutter="0" w:footer="0" w:header="0"/>
        </w:sectPr>
      </w:pPr>
    </w:p>
    <w:bookmarkStart w:id="13" w:name="page14"/>
    <w:bookmarkEnd w:id="13"/>
    <w:p>
      <w:pPr>
        <w:jc w:val="both"/>
        <w:ind w:left="1020" w:hanging="518"/>
        <w:spacing w:after="0" w:line="241" w:lineRule="auto"/>
        <w:tabs>
          <w:tab w:leader="none" w:pos="1020" w:val="left"/>
        </w:tabs>
        <w:numPr>
          <w:ilvl w:val="0"/>
          <w:numId w:val="10"/>
        </w:numPr>
        <w:rPr>
          <w:rFonts w:ascii="Times New Roman" w:cs="Times New Roman" w:eastAsia="Times New Roman" w:hAnsi="Times New Roman"/>
          <w:sz w:val="15"/>
          <w:szCs w:val="15"/>
          <w:color w:val="auto"/>
        </w:rPr>
      </w:pPr>
      <w:r>
        <w:rPr>
          <w:rFonts w:ascii="Calibri" w:cs="Calibri" w:eastAsia="Calibri" w:hAnsi="Calibri"/>
          <w:sz w:val="15"/>
          <w:szCs w:val="15"/>
          <w:i w:val="1"/>
          <w:iCs w:val="1"/>
          <w:color w:val="auto"/>
        </w:rPr>
        <w:t xml:space="preserve">LeadAI. </w:t>
      </w:r>
      <w:r>
        <w:rPr>
          <w:rFonts w:ascii="Calibri" w:cs="Calibri" w:eastAsia="Calibri" w:hAnsi="Calibri"/>
          <w:sz w:val="15"/>
          <w:szCs w:val="15"/>
          <w:color w:val="auto"/>
        </w:rPr>
        <w:t>Helps dealers to identfy the highest intent users who have submited leads on their inventory. LeadAI evaluates onsite user behavior to identfy, score, and label</w:t>
      </w:r>
      <w:r>
        <w:rPr>
          <w:rFonts w:ascii="Calibri" w:cs="Calibri" w:eastAsia="Calibri" w:hAnsi="Calibri"/>
          <w:sz w:val="15"/>
          <w:szCs w:val="15"/>
          <w:i w:val="1"/>
          <w:iCs w:val="1"/>
          <w:color w:val="auto"/>
        </w:rPr>
        <w:t xml:space="preserve"> </w:t>
      </w:r>
      <w:r>
        <w:rPr>
          <w:rFonts w:ascii="Calibri" w:cs="Calibri" w:eastAsia="Calibri" w:hAnsi="Calibri"/>
          <w:sz w:val="15"/>
          <w:szCs w:val="15"/>
          <w:color w:val="auto"/>
        </w:rPr>
        <w:t>"Hot" and "Warm" leads within the Dealer Dashboard Leads Report. This feature is available to all dealers subscribing to our Enhanced, Featured, and Featured Priority Listngs packages.</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i w:val="1"/>
          <w:iCs w:val="1"/>
          <w:color w:val="auto"/>
        </w:rPr>
        <w:t>Digital Marketng Products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We ofer dealers subscribing to one of our Enhanced, Featured, and Featured Priority Listngs packages access to additonal advertsing products marketed primarily under our RPM and our digital advertsing suite. With RPM, dealers can reach our large and engaged audience on other websites on the internet and/or on high-convertng social media platorms. RPM helps dealers build brand awareness and acquire customers to their website and dealership. Advertsements can be targeted by the user’s geography, search history, CarGurus website actvity, and a number of other targetng factors. This product suite allows dealers to increase their visibility with in-market consumers and drive qualifed trafc to their websites. RPM is sold as a subscripton and priced as a percentage of Listngs while accountng for factors such as dealership characteristcs and performance expectatons.</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i w:val="1"/>
          <w:iCs w:val="1"/>
          <w:color w:val="auto"/>
        </w:rPr>
        <w:t>Sell My Car - TDO</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In 2023 we introduced the next iteraton of Sell My Car, referred to as Sell My Car - TDO. With this product, dealers can now make tailored trade-in ofers on CarGurus consumer vehicles, generatng valuable trade-in leads for their business. CarGurus dealers have control over their bidding and direct access to consumers actvely looking to sell their vehicles. All leads are delivered directly to the dealer and include detailed consumer contact informaton and other insights to help the dealer close the deal.</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i w:val="1"/>
          <w:iCs w:val="1"/>
          <w:color w:val="auto"/>
        </w:rPr>
        <w:t>Digital Retail</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In recent years, both consumer demand and dealer receptveness to digital retail has increased, as consumers have become more comfortable transactng some or all of their car buying processes online. We are focused on addressing the needs of both consumers and dealers in this growing segment of automotve digital retail.</w:t>
      </w:r>
    </w:p>
    <w:p>
      <w:pPr>
        <w:spacing w:after="0" w:line="184" w:lineRule="exact"/>
        <w:rPr>
          <w:sz w:val="20"/>
          <w:szCs w:val="20"/>
          <w:color w:val="auto"/>
        </w:rPr>
      </w:pPr>
    </w:p>
    <w:p>
      <w:pPr>
        <w:ind w:left="740"/>
        <w:spacing w:after="0"/>
        <w:rPr>
          <w:sz w:val="20"/>
          <w:szCs w:val="20"/>
          <w:color w:val="auto"/>
        </w:rPr>
      </w:pPr>
      <w:r>
        <w:rPr>
          <w:rFonts w:ascii="Calibri" w:cs="Calibri" w:eastAsia="Calibri" w:hAnsi="Calibri"/>
          <w:sz w:val="15"/>
          <w:szCs w:val="15"/>
          <w:i w:val="1"/>
          <w:iCs w:val="1"/>
          <w:color w:val="auto"/>
        </w:rPr>
        <w:t>Finance in Advance</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Through our partnerships with automotve lending companies, we allow eligible consumers on our U.S. marketplace to pre-qualify for fnancing on cars from dealerships that ofer fnancing from these partners. We primarily generate revenue from these partnerships based on the number of funded loans from consumers who pre-qualify with our lending partners through our site. We believe this program both provides more transparency to car shoppers about actual payments to be ofered at the dealership specifc to partcipatng lenders and delivers highly qualifed car shopper leads to partcipatng dealers.</w:t>
      </w:r>
    </w:p>
    <w:p>
      <w:pPr>
        <w:spacing w:after="0" w:line="185" w:lineRule="exact"/>
        <w:rPr>
          <w:sz w:val="20"/>
          <w:szCs w:val="20"/>
          <w:color w:val="auto"/>
        </w:rPr>
      </w:pPr>
    </w:p>
    <w:p>
      <w:pPr>
        <w:ind w:left="740"/>
        <w:spacing w:after="0"/>
        <w:rPr>
          <w:sz w:val="20"/>
          <w:szCs w:val="20"/>
          <w:color w:val="auto"/>
        </w:rPr>
      </w:pPr>
      <w:r>
        <w:rPr>
          <w:rFonts w:ascii="Calibri" w:cs="Calibri" w:eastAsia="Calibri" w:hAnsi="Calibri"/>
          <w:sz w:val="15"/>
          <w:szCs w:val="15"/>
          <w:i w:val="1"/>
          <w:iCs w:val="1"/>
          <w:color w:val="auto"/>
        </w:rPr>
        <w:t>Digital Deal</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We contnue to ofer consumers the ability to transact additonal elements of their car buying experience through our websites as they seek to complete more of this process online. For example, our shoppers can ‘start purchase’ from a VDP on eligible listngs and utlize purchase optons, including estmatng a car’s trade-in value, deciding payment optons, selectng fnance and insurance products, and placing a reservaton deposit. Digital Deal generates revenue by charging fees to dealerships to enroll in this program and from partnerships based on the number of funded loans from consumers.</w:t>
      </w:r>
    </w:p>
    <w:p>
      <w:pPr>
        <w:spacing w:after="0" w:line="185" w:lineRule="exact"/>
        <w:rPr>
          <w:sz w:val="20"/>
          <w:szCs w:val="20"/>
          <w:color w:val="auto"/>
        </w:rPr>
      </w:pPr>
    </w:p>
    <w:p>
      <w:pPr>
        <w:ind w:left="740"/>
        <w:spacing w:after="0"/>
        <w:rPr>
          <w:sz w:val="20"/>
          <w:szCs w:val="20"/>
          <w:color w:val="auto"/>
        </w:rPr>
      </w:pPr>
      <w:r>
        <w:rPr>
          <w:rFonts w:ascii="Calibri" w:cs="Calibri" w:eastAsia="Calibri" w:hAnsi="Calibri"/>
          <w:sz w:val="15"/>
          <w:szCs w:val="15"/>
          <w:i w:val="1"/>
          <w:iCs w:val="1"/>
          <w:color w:val="auto"/>
        </w:rPr>
        <w:t>Geo Expansion</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We ofer the ability for dealerships to expand their VDP geographic footprint to non-local customers via dealer home delivery services. Revenue is generated through fees charged to the dealership to enable listngs beyond the default geographical radius. We believe this program provides additonal vehicle optons to car shoppers open to home delivery services while promotng partcipatng dealers’ delivery capabilites and increasing non-local VDP views. As a prerequisite to enrolling in Geo Expansion, new dealerships are required to sign up for Digital Deal.</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u w:val="single" w:color="auto"/>
          <w:color w:val="auto"/>
        </w:rPr>
        <w:t>Auto Manufacturer and Other Advertser Products</w:t>
      </w:r>
    </w:p>
    <w:p>
      <w:pPr>
        <w:spacing w:after="0" w:line="185" w:lineRule="exact"/>
        <w:rPr>
          <w:sz w:val="20"/>
          <w:szCs w:val="20"/>
          <w:color w:val="auto"/>
        </w:rPr>
      </w:pPr>
    </w:p>
    <w:p>
      <w:pPr>
        <w:jc w:val="center"/>
        <w:spacing w:after="0"/>
        <w:rPr>
          <w:sz w:val="20"/>
          <w:szCs w:val="20"/>
          <w:color w:val="auto"/>
        </w:rPr>
      </w:pPr>
      <w:r>
        <w:rPr>
          <w:rFonts w:ascii="Calibri" w:cs="Calibri" w:eastAsia="Calibri" w:hAnsi="Calibri"/>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408940</wp:posOffset>
            </wp:positionV>
            <wp:extent cx="7178040" cy="400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45" w:right="319" w:bottom="1440" w:gutter="0" w:footer="0" w:header="0"/>
        </w:sectPr>
      </w:pPr>
    </w:p>
    <w:bookmarkStart w:id="14" w:name="page15"/>
    <w:bookmarkEnd w:id="14"/>
    <w:p>
      <w:pPr>
        <w:ind w:firstLine="511"/>
        <w:spacing w:after="0" w:line="347" w:lineRule="auto"/>
        <w:rPr>
          <w:sz w:val="20"/>
          <w:szCs w:val="20"/>
          <w:color w:val="auto"/>
        </w:rPr>
      </w:pPr>
      <w:r>
        <w:rPr>
          <w:rFonts w:ascii="MS PGothic" w:cs="MS PGothic" w:eastAsia="MS PGothic" w:hAnsi="MS PGothic"/>
          <w:sz w:val="15"/>
          <w:szCs w:val="15"/>
          <w:color w:val="auto"/>
        </w:rPr>
        <w:t>Our platorm ofers auto manufacturers and others the ability to purchase advertsing on both our sites and third‑party websites, including social media platorms, to execute targeted marketng strategies:</w:t>
      </w:r>
    </w:p>
    <w:p>
      <w:pPr>
        <w:spacing w:after="0" w:line="130" w:lineRule="exact"/>
        <w:rPr>
          <w:sz w:val="20"/>
          <w:szCs w:val="20"/>
          <w:color w:val="auto"/>
        </w:rPr>
      </w:pPr>
    </w:p>
    <w:p>
      <w:pPr>
        <w:ind w:left="1020" w:hanging="518"/>
        <w:spacing w:after="0" w:line="241" w:lineRule="auto"/>
        <w:tabs>
          <w:tab w:leader="none" w:pos="1020" w:val="left"/>
        </w:tabs>
        <w:numPr>
          <w:ilvl w:val="0"/>
          <w:numId w:val="11"/>
        </w:numPr>
        <w:rPr>
          <w:rFonts w:ascii="Times New Roman" w:cs="Times New Roman" w:eastAsia="Times New Roman" w:hAnsi="Times New Roman"/>
          <w:sz w:val="15"/>
          <w:szCs w:val="15"/>
          <w:color w:val="auto"/>
        </w:rPr>
      </w:pPr>
      <w:r>
        <w:rPr>
          <w:rFonts w:ascii="Calibri" w:cs="Calibri" w:eastAsia="Calibri" w:hAnsi="Calibri"/>
          <w:sz w:val="15"/>
          <w:szCs w:val="15"/>
          <w:i w:val="1"/>
          <w:iCs w:val="1"/>
          <w:color w:val="auto"/>
        </w:rPr>
        <w:t xml:space="preserve">Brand Reinforcement. </w:t>
      </w:r>
      <w:r>
        <w:rPr>
          <w:rFonts w:ascii="MS PGothic" w:cs="MS PGothic" w:eastAsia="MS PGothic" w:hAnsi="MS PGothic"/>
          <w:sz w:val="15"/>
          <w:szCs w:val="15"/>
          <w:color w:val="auto"/>
        </w:rPr>
        <w:t>We allow auto manufacturers to buy advertsing on both our websites and third‑party websites, including social media platorms, to target</w:t>
      </w:r>
      <w:r>
        <w:rPr>
          <w:rFonts w:ascii="Calibri" w:cs="Calibri" w:eastAsia="Calibri" w:hAnsi="Calibri"/>
          <w:sz w:val="15"/>
          <w:szCs w:val="15"/>
          <w:i w:val="1"/>
          <w:iCs w:val="1"/>
          <w:color w:val="auto"/>
        </w:rPr>
        <w:t xml:space="preserve"> </w:t>
      </w:r>
      <w:r>
        <w:rPr>
          <w:rFonts w:ascii="MS PGothic" w:cs="MS PGothic" w:eastAsia="MS PGothic" w:hAnsi="MS PGothic"/>
          <w:sz w:val="15"/>
          <w:szCs w:val="15"/>
          <w:color w:val="auto"/>
        </w:rPr>
        <w:t>consumers based on the make, model, and locaton of the cars that a specifc consumer is searching for in order to increase exposure to interested consumers.</w:t>
      </w:r>
    </w:p>
    <w:p>
      <w:pPr>
        <w:spacing w:after="0" w:line="196" w:lineRule="exact"/>
        <w:rPr>
          <w:rFonts w:ascii="Times New Roman" w:cs="Times New Roman" w:eastAsia="Times New Roman" w:hAnsi="Times New Roman"/>
          <w:sz w:val="15"/>
          <w:szCs w:val="15"/>
          <w:color w:val="auto"/>
        </w:rPr>
      </w:pPr>
    </w:p>
    <w:p>
      <w:pPr>
        <w:ind w:left="1020" w:hanging="518"/>
        <w:spacing w:after="0" w:line="241" w:lineRule="auto"/>
        <w:tabs>
          <w:tab w:leader="none" w:pos="1020" w:val="left"/>
        </w:tabs>
        <w:numPr>
          <w:ilvl w:val="0"/>
          <w:numId w:val="11"/>
        </w:numPr>
        <w:rPr>
          <w:rFonts w:ascii="Times New Roman" w:cs="Times New Roman" w:eastAsia="Times New Roman" w:hAnsi="Times New Roman"/>
          <w:sz w:val="15"/>
          <w:szCs w:val="15"/>
          <w:color w:val="auto"/>
        </w:rPr>
      </w:pPr>
      <w:r>
        <w:rPr>
          <w:rFonts w:ascii="Calibri" w:cs="Calibri" w:eastAsia="Calibri" w:hAnsi="Calibri"/>
          <w:sz w:val="15"/>
          <w:szCs w:val="15"/>
          <w:i w:val="1"/>
          <w:iCs w:val="1"/>
          <w:color w:val="auto"/>
        </w:rPr>
        <w:t xml:space="preserve">Category Sponsorship. </w:t>
      </w:r>
      <w:r>
        <w:rPr>
          <w:rFonts w:ascii="MS PGothic" w:cs="MS PGothic" w:eastAsia="MS PGothic" w:hAnsi="MS PGothic"/>
          <w:sz w:val="15"/>
          <w:szCs w:val="15"/>
          <w:color w:val="auto"/>
        </w:rPr>
        <w:t>To address evolving priorites infuenced by industry dynamics, seasonality, and other factors, we ofer the ability to sponsor exclusively</w:t>
      </w:r>
      <w:r>
        <w:rPr>
          <w:rFonts w:ascii="Calibri" w:cs="Calibri" w:eastAsia="Calibri" w:hAnsi="Calibri"/>
          <w:sz w:val="15"/>
          <w:szCs w:val="15"/>
          <w:i w:val="1"/>
          <w:iCs w:val="1"/>
          <w:color w:val="auto"/>
        </w:rPr>
        <w:t xml:space="preserve"> </w:t>
      </w:r>
      <w:r>
        <w:rPr>
          <w:rFonts w:ascii="MS PGothic" w:cs="MS PGothic" w:eastAsia="MS PGothic" w:hAnsi="MS PGothic"/>
          <w:sz w:val="15"/>
          <w:szCs w:val="15"/>
          <w:color w:val="auto"/>
        </w:rPr>
        <w:t>prominent high-trafc pages on our websites, such as the New Car front page, Used Car front page, and Research Center.</w:t>
      </w:r>
    </w:p>
    <w:p>
      <w:pPr>
        <w:spacing w:after="0" w:line="196" w:lineRule="exact"/>
        <w:rPr>
          <w:rFonts w:ascii="Times New Roman" w:cs="Times New Roman" w:eastAsia="Times New Roman" w:hAnsi="Times New Roman"/>
          <w:sz w:val="15"/>
          <w:szCs w:val="15"/>
          <w:color w:val="auto"/>
        </w:rPr>
      </w:pPr>
    </w:p>
    <w:p>
      <w:pPr>
        <w:ind w:left="1020" w:hanging="518"/>
        <w:spacing w:after="0" w:line="241" w:lineRule="auto"/>
        <w:tabs>
          <w:tab w:leader="none" w:pos="1020" w:val="left"/>
        </w:tabs>
        <w:numPr>
          <w:ilvl w:val="0"/>
          <w:numId w:val="11"/>
        </w:numPr>
        <w:rPr>
          <w:rFonts w:ascii="Times New Roman" w:cs="Times New Roman" w:eastAsia="Times New Roman" w:hAnsi="Times New Roman"/>
          <w:sz w:val="15"/>
          <w:szCs w:val="15"/>
          <w:color w:val="auto"/>
        </w:rPr>
      </w:pPr>
      <w:r>
        <w:rPr>
          <w:rFonts w:ascii="Calibri" w:cs="Calibri" w:eastAsia="Calibri" w:hAnsi="Calibri"/>
          <w:sz w:val="15"/>
          <w:szCs w:val="15"/>
          <w:i w:val="1"/>
          <w:iCs w:val="1"/>
          <w:color w:val="auto"/>
        </w:rPr>
        <w:t xml:space="preserve">Automobile Segment Exclusivity. </w:t>
      </w:r>
      <w:r>
        <w:rPr>
          <w:rFonts w:ascii="MS PGothic" w:cs="MS PGothic" w:eastAsia="MS PGothic" w:hAnsi="MS PGothic"/>
          <w:sz w:val="15"/>
          <w:szCs w:val="15"/>
          <w:color w:val="auto"/>
        </w:rPr>
        <w:t>To support the introducton of new models or the success of existng models, we allow manufacturers to target specifc automobile</w:t>
      </w:r>
      <w:r>
        <w:rPr>
          <w:rFonts w:ascii="Calibri" w:cs="Calibri" w:eastAsia="Calibri" w:hAnsi="Calibri"/>
          <w:sz w:val="15"/>
          <w:szCs w:val="15"/>
          <w:i w:val="1"/>
          <w:iCs w:val="1"/>
          <w:color w:val="auto"/>
        </w:rPr>
        <w:t xml:space="preserve"> </w:t>
      </w:r>
      <w:r>
        <w:rPr>
          <w:rFonts w:ascii="MS PGothic" w:cs="MS PGothic" w:eastAsia="MS PGothic" w:hAnsi="MS PGothic"/>
          <w:sz w:val="15"/>
          <w:szCs w:val="15"/>
          <w:color w:val="auto"/>
        </w:rPr>
        <w:t>segments, such as SUV, sedan, hybrid, luxury, truck, and minivan.</w:t>
      </w:r>
    </w:p>
    <w:p>
      <w:pPr>
        <w:spacing w:after="0" w:line="196" w:lineRule="exact"/>
        <w:rPr>
          <w:rFonts w:ascii="Times New Roman" w:cs="Times New Roman" w:eastAsia="Times New Roman" w:hAnsi="Times New Roman"/>
          <w:sz w:val="15"/>
          <w:szCs w:val="15"/>
          <w:color w:val="auto"/>
        </w:rPr>
      </w:pPr>
    </w:p>
    <w:p>
      <w:pPr>
        <w:ind w:left="1020" w:hanging="518"/>
        <w:spacing w:after="0" w:line="241" w:lineRule="auto"/>
        <w:tabs>
          <w:tab w:leader="none" w:pos="1020" w:val="left"/>
        </w:tabs>
        <w:numPr>
          <w:ilvl w:val="0"/>
          <w:numId w:val="11"/>
        </w:numPr>
        <w:rPr>
          <w:rFonts w:ascii="Times New Roman" w:cs="Times New Roman" w:eastAsia="Times New Roman" w:hAnsi="Times New Roman"/>
          <w:sz w:val="15"/>
          <w:szCs w:val="15"/>
          <w:color w:val="auto"/>
        </w:rPr>
      </w:pPr>
      <w:r>
        <w:rPr>
          <w:rFonts w:ascii="Calibri" w:cs="Calibri" w:eastAsia="Calibri" w:hAnsi="Calibri"/>
          <w:sz w:val="15"/>
          <w:szCs w:val="15"/>
          <w:i w:val="1"/>
          <w:iCs w:val="1"/>
          <w:color w:val="auto"/>
        </w:rPr>
        <w:t xml:space="preserve">Consumer Segment Exposure. </w:t>
      </w:r>
      <w:r>
        <w:rPr>
          <w:rFonts w:ascii="MS PGothic" w:cs="MS PGothic" w:eastAsia="MS PGothic" w:hAnsi="MS PGothic"/>
          <w:sz w:val="15"/>
          <w:szCs w:val="15"/>
          <w:color w:val="auto"/>
        </w:rPr>
        <w:t>Auto manufacturers can target consumers both on CarGurus and third‑party websites, including social media platorms, based on various</w:t>
      </w:r>
      <w:r>
        <w:rPr>
          <w:rFonts w:ascii="Calibri" w:cs="Calibri" w:eastAsia="Calibri" w:hAnsi="Calibri"/>
          <w:sz w:val="15"/>
          <w:szCs w:val="15"/>
          <w:i w:val="1"/>
          <w:iCs w:val="1"/>
          <w:color w:val="auto"/>
        </w:rPr>
        <w:t xml:space="preserve"> </w:t>
      </w:r>
      <w:r>
        <w:rPr>
          <w:rFonts w:ascii="MS PGothic" w:cs="MS PGothic" w:eastAsia="MS PGothic" w:hAnsi="MS PGothic"/>
          <w:sz w:val="15"/>
          <w:szCs w:val="15"/>
          <w:color w:val="auto"/>
        </w:rPr>
        <w:t>parameters, including estmated household income, vehicle specifcatons, such as make or model, and postal codes.</w:t>
      </w:r>
    </w:p>
    <w:p>
      <w:pPr>
        <w:spacing w:after="0" w:line="185" w:lineRule="exact"/>
        <w:rPr>
          <w:sz w:val="20"/>
          <w:szCs w:val="20"/>
          <w:color w:val="auto"/>
        </w:rPr>
      </w:pPr>
    </w:p>
    <w:p>
      <w:pPr>
        <w:spacing w:after="0"/>
        <w:rPr>
          <w:sz w:val="20"/>
          <w:szCs w:val="20"/>
          <w:color w:val="auto"/>
        </w:rPr>
      </w:pPr>
      <w:r>
        <w:rPr>
          <w:rFonts w:ascii="MS PGothic" w:cs="MS PGothic" w:eastAsia="MS PGothic" w:hAnsi="MS PGothic"/>
          <w:sz w:val="15"/>
          <w:szCs w:val="15"/>
          <w:u w:val="single" w:color="auto"/>
          <w:color w:val="auto"/>
        </w:rPr>
        <w:t>Internatonal</w:t>
      </w:r>
    </w:p>
    <w:p>
      <w:pPr>
        <w:spacing w:after="0" w:line="218" w:lineRule="exact"/>
        <w:rPr>
          <w:sz w:val="20"/>
          <w:szCs w:val="20"/>
          <w:color w:val="auto"/>
        </w:rPr>
      </w:pPr>
    </w:p>
    <w:p>
      <w:pPr>
        <w:jc w:val="both"/>
        <w:ind w:firstLine="511"/>
        <w:spacing w:after="0" w:line="320" w:lineRule="auto"/>
        <w:rPr>
          <w:sz w:val="20"/>
          <w:szCs w:val="20"/>
          <w:color w:val="auto"/>
        </w:rPr>
      </w:pPr>
      <w:r>
        <w:rPr>
          <w:rFonts w:ascii="MS PGothic" w:cs="MS PGothic" w:eastAsia="MS PGothic" w:hAnsi="MS PGothic"/>
          <w:sz w:val="15"/>
          <w:szCs w:val="15"/>
          <w:color w:val="auto"/>
        </w:rPr>
        <w:t>We also facilitate engagement between high-intent consumers and automotve dealers in both Canada and the U.K. Like our U.S. oferings, CarGurus provides consumers in Canada and the U.K. with a transparent shopping experience, using our proprietary algorithms to determine market-specifc valuatons for vehicles and ordinatng our organic search results based on Deal Ratngs.</w:t>
      </w:r>
    </w:p>
    <w:p>
      <w:pPr>
        <w:spacing w:after="0" w:line="136" w:lineRule="exact"/>
        <w:rPr>
          <w:sz w:val="20"/>
          <w:szCs w:val="20"/>
          <w:color w:val="auto"/>
        </w:rPr>
      </w:pPr>
    </w:p>
    <w:p>
      <w:pPr>
        <w:jc w:val="both"/>
        <w:ind w:firstLine="511"/>
        <w:spacing w:after="0" w:line="320" w:lineRule="auto"/>
        <w:rPr>
          <w:sz w:val="20"/>
          <w:szCs w:val="20"/>
          <w:color w:val="auto"/>
        </w:rPr>
      </w:pPr>
      <w:r>
        <w:rPr>
          <w:rFonts w:ascii="MS PGothic" w:cs="MS PGothic" w:eastAsia="MS PGothic" w:hAnsi="MS PGothic"/>
          <w:sz w:val="15"/>
          <w:szCs w:val="15"/>
          <w:color w:val="auto"/>
        </w:rPr>
        <w:t>In Canada, CarGurus is a leading automotve marketplace that provides consumers a transparent shopping experience whether they are looking for a new or used car. In the U.K., CarGurus is a leading marketplace for dealers’ listngs of used vehicles, providing consumers with one of the broadest selectons of inventory in the U.K. We also provide automotve shoppers rich expert review content, and ofer privately owned inventory through the PistonHeads website.</w:t>
      </w:r>
    </w:p>
    <w:p>
      <w:pPr>
        <w:spacing w:after="0" w:line="136" w:lineRule="exact"/>
        <w:rPr>
          <w:sz w:val="20"/>
          <w:szCs w:val="20"/>
          <w:color w:val="auto"/>
        </w:rPr>
      </w:pPr>
    </w:p>
    <w:p>
      <w:pPr>
        <w:spacing w:after="0"/>
        <w:rPr>
          <w:sz w:val="20"/>
          <w:szCs w:val="20"/>
          <w:color w:val="auto"/>
        </w:rPr>
      </w:pPr>
      <w:r>
        <w:rPr>
          <w:rFonts w:ascii="Calibri" w:cs="Calibri" w:eastAsia="Calibri" w:hAnsi="Calibri"/>
          <w:sz w:val="15"/>
          <w:szCs w:val="15"/>
          <w:b w:val="1"/>
          <w:bCs w:val="1"/>
          <w:i w:val="1"/>
          <w:iCs w:val="1"/>
          <w:color w:val="auto"/>
        </w:rPr>
        <w:t>Digital Wholesale</w:t>
      </w:r>
    </w:p>
    <w:p>
      <w:pPr>
        <w:spacing w:after="0" w:line="185" w:lineRule="exact"/>
        <w:rPr>
          <w:sz w:val="20"/>
          <w:szCs w:val="20"/>
          <w:color w:val="auto"/>
        </w:rPr>
      </w:pPr>
    </w:p>
    <w:p>
      <w:pPr>
        <w:spacing w:after="0"/>
        <w:rPr>
          <w:sz w:val="20"/>
          <w:szCs w:val="20"/>
          <w:color w:val="auto"/>
        </w:rPr>
      </w:pPr>
      <w:r>
        <w:rPr>
          <w:rFonts w:ascii="MS PGothic" w:cs="MS PGothic" w:eastAsia="MS PGothic" w:hAnsi="MS PGothic"/>
          <w:sz w:val="15"/>
          <w:szCs w:val="15"/>
          <w:u w:val="single" w:color="auto"/>
          <w:color w:val="auto"/>
        </w:rPr>
        <w:t>Dealer-to-Dealer</w:t>
      </w:r>
    </w:p>
    <w:p>
      <w:pPr>
        <w:spacing w:after="0" w:line="218" w:lineRule="exact"/>
        <w:rPr>
          <w:sz w:val="20"/>
          <w:szCs w:val="20"/>
          <w:color w:val="auto"/>
        </w:rPr>
      </w:pPr>
    </w:p>
    <w:p>
      <w:pPr>
        <w:jc w:val="both"/>
        <w:ind w:firstLine="511"/>
        <w:spacing w:after="0" w:line="320" w:lineRule="auto"/>
        <w:rPr>
          <w:sz w:val="20"/>
          <w:szCs w:val="20"/>
          <w:color w:val="auto"/>
        </w:rPr>
      </w:pPr>
      <w:r>
        <w:rPr>
          <w:rFonts w:ascii="MS PGothic" w:cs="MS PGothic" w:eastAsia="MS PGothic" w:hAnsi="MS PGothic"/>
          <w:sz w:val="15"/>
          <w:szCs w:val="15"/>
          <w:color w:val="auto"/>
        </w:rPr>
        <w:t>As the automotve industry contnues to move further online, it has become even more important for dealers not only to sell their vehicles efectvely at retail, but also to acquire the right inventory in the frst place via wholesale transactons. The industry has contnued to see an increase in online transactons that are easier, faster, and reduce the efect of geographic constraints.</w:t>
      </w:r>
    </w:p>
    <w:p>
      <w:pPr>
        <w:spacing w:after="0" w:line="136" w:lineRule="exact"/>
        <w:rPr>
          <w:sz w:val="20"/>
          <w:szCs w:val="20"/>
          <w:color w:val="auto"/>
        </w:rPr>
      </w:pPr>
    </w:p>
    <w:p>
      <w:pPr>
        <w:jc w:val="both"/>
        <w:ind w:firstLine="511"/>
        <w:spacing w:after="0" w:line="312" w:lineRule="auto"/>
        <w:rPr>
          <w:sz w:val="20"/>
          <w:szCs w:val="20"/>
          <w:color w:val="auto"/>
        </w:rPr>
      </w:pPr>
      <w:r>
        <w:rPr>
          <w:rFonts w:ascii="MS PGothic" w:cs="MS PGothic" w:eastAsia="MS PGothic" w:hAnsi="MS PGothic"/>
          <w:sz w:val="15"/>
          <w:szCs w:val="15"/>
          <w:color w:val="auto"/>
        </w:rPr>
        <w:t>Through our inital acquisiton of CarOfer in 2021, a modern-day automotve inventory transacton platorm that allows dealers and dealer groups to use programmatc buying rules to buy, sell, and trade online with automaton and ease, we added wholesale vehicle acquisiton and selling capabilites to our portolio of dealer oferings, creatng a powerful digital soluton for dealers to sell and acquire vehicles at both retail and wholesale. Unlike traditonal vehicle auctons which require manual bidding and vehicle evaluaton, the CarOfer Matrix enables buying dealers to create standing buy orders and provides instant ofers to selling dealers.</w:t>
      </w:r>
    </w:p>
    <w:p>
      <w:pPr>
        <w:spacing w:after="0" w:line="140" w:lineRule="exact"/>
        <w:rPr>
          <w:sz w:val="20"/>
          <w:szCs w:val="20"/>
          <w:color w:val="auto"/>
        </w:rPr>
      </w:pPr>
    </w:p>
    <w:p>
      <w:pPr>
        <w:spacing w:after="0"/>
        <w:rPr>
          <w:sz w:val="20"/>
          <w:szCs w:val="20"/>
          <w:color w:val="auto"/>
        </w:rPr>
      </w:pPr>
      <w:r>
        <w:rPr>
          <w:rFonts w:ascii="MS PGothic" w:cs="MS PGothic" w:eastAsia="MS PGothic" w:hAnsi="MS PGothic"/>
          <w:sz w:val="15"/>
          <w:szCs w:val="15"/>
          <w:u w:val="single" w:color="auto"/>
          <w:color w:val="auto"/>
        </w:rPr>
        <w:t>Sell My Car - IMCO</w:t>
      </w:r>
    </w:p>
    <w:p>
      <w:pPr>
        <w:spacing w:after="0" w:line="218" w:lineRule="exact"/>
        <w:rPr>
          <w:sz w:val="20"/>
          <w:szCs w:val="20"/>
          <w:color w:val="auto"/>
        </w:rPr>
      </w:pPr>
    </w:p>
    <w:p>
      <w:pPr>
        <w:jc w:val="both"/>
        <w:ind w:firstLine="511"/>
        <w:spacing w:after="0" w:line="307" w:lineRule="auto"/>
        <w:rPr>
          <w:sz w:val="20"/>
          <w:szCs w:val="20"/>
          <w:color w:val="auto"/>
        </w:rPr>
      </w:pPr>
      <w:r>
        <w:rPr>
          <w:rFonts w:ascii="MS PGothic" w:cs="MS PGothic" w:eastAsia="MS PGothic" w:hAnsi="MS PGothic"/>
          <w:sz w:val="15"/>
          <w:szCs w:val="15"/>
          <w:color w:val="auto"/>
        </w:rPr>
        <w:t>We ofer IMCO, which allows consumers to sell their vehicles to dealers entrely online. This ofering provides dealers with access to a fresh source of trade-in inventory and helps ensure liquidity amongst CarOfer’s platorm. Through IMCO, consumers who are trading in or selling vehicles enter easy-to-answer questons regarding their vehicle and are instantly presented with the most compettve ofer sourced from in-network dealers. Once the customer has saved their ofer, they can further customize their experience by using our virtual pre-inspecton process and then arranging a locaton of their choice to have the vehicle picked up and transported. In this model, CarOfer processes the transacton directly and collects transacton and other fees from the dealer.</w:t>
      </w:r>
    </w:p>
    <w:p>
      <w:pPr>
        <w:spacing w:after="0" w:line="145" w:lineRule="exact"/>
        <w:rPr>
          <w:sz w:val="20"/>
          <w:szCs w:val="20"/>
          <w:color w:val="auto"/>
        </w:rPr>
      </w:pPr>
    </w:p>
    <w:p>
      <w:pPr>
        <w:jc w:val="center"/>
        <w:spacing w:after="0"/>
        <w:rPr>
          <w:sz w:val="20"/>
          <w:szCs w:val="20"/>
          <w:color w:val="auto"/>
        </w:rPr>
      </w:pPr>
      <w:r>
        <w:rPr>
          <w:rFonts w:ascii="MS PGothic" w:cs="MS PGothic" w:eastAsia="MS PGothic" w:hAnsi="MS PGothic"/>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429895</wp:posOffset>
            </wp:positionV>
            <wp:extent cx="7178040" cy="400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4" w:right="319" w:bottom="1440" w:gutter="0" w:footer="0" w:header="0"/>
        </w:sectPr>
      </w:pPr>
    </w:p>
    <w:bookmarkStart w:id="15" w:name="page16"/>
    <w:bookmarkEnd w:id="15"/>
    <w:p>
      <w:pPr>
        <w:spacing w:after="0"/>
        <w:rPr>
          <w:sz w:val="20"/>
          <w:szCs w:val="20"/>
          <w:color w:val="auto"/>
        </w:rPr>
      </w:pPr>
      <w:r>
        <w:rPr>
          <w:rFonts w:ascii="MS PGothic" w:cs="MS PGothic" w:eastAsia="MS PGothic" w:hAnsi="MS PGothic"/>
          <w:sz w:val="15"/>
          <w:szCs w:val="15"/>
          <w:u w:val="single" w:color="auto"/>
          <w:color w:val="auto"/>
        </w:rPr>
        <w:t>CG Buy Online</w:t>
      </w:r>
    </w:p>
    <w:p>
      <w:pPr>
        <w:spacing w:after="0" w:line="218" w:lineRule="exact"/>
        <w:rPr>
          <w:sz w:val="20"/>
          <w:szCs w:val="20"/>
          <w:color w:val="auto"/>
        </w:rPr>
      </w:pPr>
    </w:p>
    <w:p>
      <w:pPr>
        <w:jc w:val="both"/>
        <w:ind w:firstLine="511"/>
        <w:spacing w:after="0" w:line="307" w:lineRule="auto"/>
        <w:rPr>
          <w:sz w:val="20"/>
          <w:szCs w:val="20"/>
          <w:color w:val="auto"/>
        </w:rPr>
      </w:pPr>
      <w:r>
        <w:rPr>
          <w:rFonts w:ascii="MS PGothic" w:cs="MS PGothic" w:eastAsia="MS PGothic" w:hAnsi="MS PGothic"/>
          <w:sz w:val="15"/>
          <w:szCs w:val="15"/>
          <w:color w:val="auto"/>
        </w:rPr>
        <w:t>Through this pilot program, we ofer a limited number of dealers the ability to sell vehicles online to out-of-market customers using dealer-friendly third-party delivery capabilites. This pilot program lets the dealer delegate logistcs to CarGurus, and we believe the expanded market accelerates turnover tmes on inventory. We also provide these dealers with full access to our Dealer Dashboard, including inventory pricing tools informed by real-tme market conditons, which helps them more efectvely price, merchandise, and sell their vehicles. The ability to compare wholesale pricing with retail pricing ultmately allows dealers to price a vehicle with more accuracy. We believe this transparency will create trust, leading to loyal consumers.</w:t>
      </w:r>
    </w:p>
    <w:p>
      <w:pPr>
        <w:spacing w:after="0" w:line="145" w:lineRule="exact"/>
        <w:rPr>
          <w:sz w:val="20"/>
          <w:szCs w:val="20"/>
          <w:color w:val="auto"/>
        </w:rPr>
      </w:pPr>
    </w:p>
    <w:p>
      <w:pPr>
        <w:spacing w:after="0"/>
        <w:rPr>
          <w:sz w:val="20"/>
          <w:szCs w:val="20"/>
          <w:color w:val="auto"/>
        </w:rPr>
      </w:pPr>
      <w:r>
        <w:rPr>
          <w:rFonts w:ascii="Calibri" w:cs="Calibri" w:eastAsia="Calibri" w:hAnsi="Calibri"/>
          <w:sz w:val="15"/>
          <w:szCs w:val="15"/>
          <w:b w:val="1"/>
          <w:bCs w:val="1"/>
          <w:color w:val="auto"/>
        </w:rPr>
        <w:t>Marketng and Brand</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b w:val="1"/>
          <w:bCs w:val="1"/>
          <w:i w:val="1"/>
          <w:iCs w:val="1"/>
          <w:color w:val="auto"/>
        </w:rPr>
        <w:t>Consumer Marketng</w:t>
      </w:r>
    </w:p>
    <w:p>
      <w:pPr>
        <w:spacing w:after="0" w:line="185" w:lineRule="exact"/>
        <w:rPr>
          <w:sz w:val="20"/>
          <w:szCs w:val="20"/>
          <w:color w:val="auto"/>
        </w:rPr>
      </w:pPr>
    </w:p>
    <w:p>
      <w:pPr>
        <w:jc w:val="both"/>
        <w:ind w:firstLine="511"/>
        <w:spacing w:after="0" w:line="305" w:lineRule="auto"/>
        <w:rPr>
          <w:sz w:val="20"/>
          <w:szCs w:val="20"/>
          <w:color w:val="auto"/>
        </w:rPr>
      </w:pPr>
      <w:r>
        <w:rPr>
          <w:rFonts w:ascii="MS PGothic" w:cs="MS PGothic" w:eastAsia="MS PGothic" w:hAnsi="MS PGothic"/>
          <w:sz w:val="15"/>
          <w:szCs w:val="15"/>
          <w:color w:val="auto"/>
        </w:rPr>
        <w:t>In 2023 CarGurus contnued to be the most visited online automotve marketplace in the U.S., with more than 82.3 million and 31.2 million average monthly sessions and unique users, respectvely. We have built our engaged audience on the strength of our user experience, leveraging the power of technology and data to bring trust and transparency to the automotve platorm. Our intuitve search experience, combined with the largest inventory of any major U.S. online automotve marketplace and relevant content, updates, and transacton-enabled tools, provide unparalleled transparency and decision-support to consumers during their car search to help them shop, buy, fnance, and sell with confdence and ease. The strength of our consumer experience is one of our most powerful marketng tools, with 92% of buyers statng they would recommend CarGurus to a friend (July 1, 2023 – December 31, 2023; Net promoter score 9-10; sample size=386). We also atract free website trafc from high-intent car shoppers through search engines.</w:t>
      </w:r>
    </w:p>
    <w:p>
      <w:pPr>
        <w:spacing w:after="0" w:line="145" w:lineRule="exact"/>
        <w:rPr>
          <w:sz w:val="20"/>
          <w:szCs w:val="20"/>
          <w:color w:val="auto"/>
        </w:rPr>
      </w:pPr>
    </w:p>
    <w:p>
      <w:pPr>
        <w:jc w:val="both"/>
        <w:ind w:firstLine="511"/>
        <w:spacing w:after="0" w:line="307" w:lineRule="auto"/>
        <w:rPr>
          <w:sz w:val="20"/>
          <w:szCs w:val="20"/>
          <w:color w:val="auto"/>
        </w:rPr>
      </w:pPr>
      <w:r>
        <w:rPr>
          <w:rFonts w:ascii="MS PGothic" w:cs="MS PGothic" w:eastAsia="MS PGothic" w:hAnsi="MS PGothic"/>
          <w:sz w:val="15"/>
          <w:szCs w:val="15"/>
          <w:color w:val="auto"/>
        </w:rPr>
        <w:t>A key pillar of our consumer marketng eforts is what we call algorithmic trafc acquisiton. We employ a team of strategists, engineers, and data scientsts that optmize our user acquisiton through search engine performance marketng, social media, afliate, and other digital marketng channels and has tested over one billion keywords on various search engines as well as sophistcated, personalized re-marketng and prospectng to nurture high-intent consumers interested in auto-shopping. We contnuously integrate new efcient channels and advance the sophistcaton of our data-driven trafc acquisiton across the funnel, with an ongoing focus on increasingly value-driven campaigns that produce high return on advertsing spend. We believe our expertse in this area consttutes a compettve advantage over less sophistcated compettors and those who outsource these capabilites.</w:t>
      </w:r>
    </w:p>
    <w:p>
      <w:pPr>
        <w:spacing w:after="0" w:line="145" w:lineRule="exact"/>
        <w:rPr>
          <w:sz w:val="20"/>
          <w:szCs w:val="20"/>
          <w:color w:val="auto"/>
        </w:rPr>
      </w:pPr>
    </w:p>
    <w:p>
      <w:pPr>
        <w:jc w:val="both"/>
        <w:ind w:firstLine="511"/>
        <w:spacing w:after="0" w:line="312" w:lineRule="auto"/>
        <w:rPr>
          <w:sz w:val="20"/>
          <w:szCs w:val="20"/>
          <w:color w:val="auto"/>
        </w:rPr>
      </w:pPr>
      <w:r>
        <w:rPr>
          <w:rFonts w:ascii="MS PGothic" w:cs="MS PGothic" w:eastAsia="MS PGothic" w:hAnsi="MS PGothic"/>
          <w:sz w:val="15"/>
          <w:szCs w:val="15"/>
          <w:color w:val="auto"/>
        </w:rPr>
        <w:t>In parallel with our sophistcated paid and organic trafc acquisiton eforts, we invest signifcant resources in optmizing our site experience and retenton marketng eforts; this includes email and app notfcatons to help consumers fnd the right car for them, connect with a dealer to make a purchase, or sell their car online. Rigorous conversion rate optmizaton eforts help increase the ROI on our advertsing spend. Our increasing focus on merchandising that drives more shoppers to connect with dealers with high subscripton expansion opportunity is intended to create a virtuous cycle of improved monetzaton that allows for reinvestment in further improvements to our consumer experience.</w:t>
      </w:r>
    </w:p>
    <w:p>
      <w:pPr>
        <w:spacing w:after="0" w:line="140" w:lineRule="exact"/>
        <w:rPr>
          <w:sz w:val="20"/>
          <w:szCs w:val="20"/>
          <w:color w:val="auto"/>
        </w:rPr>
      </w:pPr>
    </w:p>
    <w:p>
      <w:pPr>
        <w:jc w:val="both"/>
        <w:ind w:firstLine="511"/>
        <w:spacing w:after="0" w:line="303" w:lineRule="auto"/>
        <w:rPr>
          <w:sz w:val="20"/>
          <w:szCs w:val="20"/>
          <w:color w:val="auto"/>
        </w:rPr>
      </w:pPr>
      <w:r>
        <w:rPr>
          <w:rFonts w:ascii="MS PGothic" w:cs="MS PGothic" w:eastAsia="MS PGothic" w:hAnsi="MS PGothic"/>
          <w:sz w:val="15"/>
          <w:szCs w:val="15"/>
          <w:color w:val="auto"/>
        </w:rPr>
        <w:t>We augment our performance marketng, conversion rate optmizaton, and retenton marketng eforts with brand building eforts. Our brand marketng eforts are primarily comprised of (i) investments in media, including television, online video, and digital social, (ii) expressing our unique brand value propositon throughout our core site experience, app, and organic social channels, and (iii) a public relatons program that allows us to gain signifcant, high credibility earned media coverage. Despite a shorter tenure, lower investment in brand marketng than our primary compettors, and a hyper-compettve industry, we have grown and maintained our brand awareness since launching brand marketng in 2017. We believe that we are well positoned to contnue to strengthen our brand by investng in brand-building eforts and refning the artculaton of our unique value propositon. As we contnue to drive brand awareness and consideraton, we believe there is signifcant opportunity to drive reach with new consumers leveraging new channels and tactcs, and a deeper understanding of and preference for our brand, further acceleratng the strong consumer engagement and word-of-mouth benefts we already enjoy.</w:t>
      </w:r>
    </w:p>
    <w:p>
      <w:pPr>
        <w:spacing w:after="0" w:line="147" w:lineRule="exact"/>
        <w:rPr>
          <w:sz w:val="20"/>
          <w:szCs w:val="20"/>
          <w:color w:val="auto"/>
        </w:rPr>
      </w:pPr>
    </w:p>
    <w:p>
      <w:pPr>
        <w:spacing w:after="0"/>
        <w:rPr>
          <w:sz w:val="20"/>
          <w:szCs w:val="20"/>
          <w:color w:val="auto"/>
        </w:rPr>
      </w:pPr>
      <w:r>
        <w:rPr>
          <w:rFonts w:ascii="Calibri" w:cs="Calibri" w:eastAsia="Calibri" w:hAnsi="Calibri"/>
          <w:sz w:val="15"/>
          <w:szCs w:val="15"/>
          <w:b w:val="1"/>
          <w:bCs w:val="1"/>
          <w:i w:val="1"/>
          <w:iCs w:val="1"/>
          <w:color w:val="auto"/>
        </w:rPr>
        <w:t>Dealer Marketng</w:t>
      </w:r>
    </w:p>
    <w:p>
      <w:pPr>
        <w:spacing w:after="0" w:line="185" w:lineRule="exact"/>
        <w:rPr>
          <w:sz w:val="20"/>
          <w:szCs w:val="20"/>
          <w:color w:val="auto"/>
        </w:rPr>
      </w:pPr>
    </w:p>
    <w:p>
      <w:pPr>
        <w:jc w:val="both"/>
        <w:ind w:firstLine="511"/>
        <w:spacing w:after="0" w:line="347" w:lineRule="auto"/>
        <w:rPr>
          <w:sz w:val="20"/>
          <w:szCs w:val="20"/>
          <w:color w:val="auto"/>
        </w:rPr>
      </w:pPr>
      <w:r>
        <w:rPr>
          <w:rFonts w:ascii="MS PGothic" w:cs="MS PGothic" w:eastAsia="MS PGothic" w:hAnsi="MS PGothic"/>
          <w:sz w:val="15"/>
          <w:szCs w:val="15"/>
          <w:color w:val="auto"/>
        </w:rPr>
        <w:t>The primary goals of our dealer marketng initatves are to acquire dealers not yet in our marketplace, convert non‑paying dealers into paying dealers, retain and upgrade our existng paying dealers, and increase product adopton and usage from our paying dealers. Our dealer marketng eforts aim to:</w:t>
      </w:r>
    </w:p>
    <w:p>
      <w:pPr>
        <w:spacing w:after="0" w:line="119" w:lineRule="exact"/>
        <w:rPr>
          <w:sz w:val="20"/>
          <w:szCs w:val="20"/>
          <w:color w:val="auto"/>
        </w:rPr>
      </w:pPr>
    </w:p>
    <w:p>
      <w:pPr>
        <w:jc w:val="center"/>
        <w:spacing w:after="0"/>
        <w:rPr>
          <w:sz w:val="20"/>
          <w:szCs w:val="20"/>
          <w:color w:val="auto"/>
        </w:rPr>
      </w:pPr>
      <w:r>
        <w:rPr>
          <w:rFonts w:ascii="MS PGothic" w:cs="MS PGothic" w:eastAsia="MS PGothic" w:hAnsi="MS PGothic"/>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429895</wp:posOffset>
            </wp:positionV>
            <wp:extent cx="7178040" cy="400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4" w:right="319" w:bottom="1440" w:gutter="0" w:footer="0" w:header="0"/>
        </w:sectPr>
      </w:pPr>
    </w:p>
    <w:bookmarkStart w:id="16" w:name="page17"/>
    <w:bookmarkEnd w:id="16"/>
    <w:p>
      <w:pPr>
        <w:jc w:val="both"/>
        <w:ind w:left="1020" w:hanging="518"/>
        <w:spacing w:after="0" w:line="280" w:lineRule="auto"/>
        <w:tabs>
          <w:tab w:leader="none" w:pos="1020" w:val="left"/>
        </w:tabs>
        <w:numPr>
          <w:ilvl w:val="0"/>
          <w:numId w:val="12"/>
        </w:numPr>
        <w:rPr>
          <w:rFonts w:ascii="Times New Roman" w:cs="Times New Roman" w:eastAsia="Times New Roman" w:hAnsi="Times New Roman"/>
          <w:sz w:val="15"/>
          <w:szCs w:val="15"/>
          <w:color w:val="auto"/>
        </w:rPr>
      </w:pPr>
      <w:r>
        <w:rPr>
          <w:rFonts w:ascii="Calibri" w:cs="Calibri" w:eastAsia="Calibri" w:hAnsi="Calibri"/>
          <w:sz w:val="15"/>
          <w:szCs w:val="15"/>
          <w:i w:val="1"/>
          <w:iCs w:val="1"/>
          <w:color w:val="auto"/>
        </w:rPr>
        <w:t xml:space="preserve">Educate Dealers on the End-to-End Inventory Solutons We Ofer, the Quality of Our Audience and Products, and Atractve ROI. </w:t>
      </w:r>
      <w:r>
        <w:rPr>
          <w:rFonts w:ascii="MS PGothic" w:cs="MS PGothic" w:eastAsia="MS PGothic" w:hAnsi="MS PGothic"/>
          <w:sz w:val="15"/>
          <w:szCs w:val="15"/>
          <w:color w:val="auto"/>
        </w:rPr>
        <w:t>We educate dealers on the increased</w:t>
      </w:r>
      <w:r>
        <w:rPr>
          <w:rFonts w:ascii="Calibri" w:cs="Calibri" w:eastAsia="Calibri" w:hAnsi="Calibri"/>
          <w:sz w:val="15"/>
          <w:szCs w:val="15"/>
          <w:i w:val="1"/>
          <w:iCs w:val="1"/>
          <w:color w:val="auto"/>
        </w:rPr>
        <w:t xml:space="preserve"> </w:t>
      </w:r>
      <w:r>
        <w:rPr>
          <w:rFonts w:ascii="MS PGothic" w:cs="MS PGothic" w:eastAsia="MS PGothic" w:hAnsi="MS PGothic"/>
          <w:sz w:val="15"/>
          <w:szCs w:val="15"/>
          <w:color w:val="auto"/>
        </w:rPr>
        <w:t>breadth of solutons we ofer, including wholesale buying and selling of inventory, marketng via our core Listngs products and other tools, and our growing suite of retailing solutons. We promote the quality of our audience by toutng our industry‑leading audience, our strong user engagement, and the large number of connectons that we facilitate through our marketplace. We also highlight to dealers how unique features of our platorm, such as our consumer fnancing features, proprietary IMV analytcs, and the ability to do more of the shopping process online, yield consumers that we believe are more informed and beter prepared to purchase at the dealership, which can lead to a higher ROI for the dealers’ marketng spend.</w:t>
      </w:r>
    </w:p>
    <w:p>
      <w:pPr>
        <w:spacing w:after="0" w:line="172" w:lineRule="exact"/>
        <w:rPr>
          <w:rFonts w:ascii="Times New Roman" w:cs="Times New Roman" w:eastAsia="Times New Roman" w:hAnsi="Times New Roman"/>
          <w:sz w:val="15"/>
          <w:szCs w:val="15"/>
          <w:color w:val="auto"/>
        </w:rPr>
      </w:pPr>
    </w:p>
    <w:p>
      <w:pPr>
        <w:jc w:val="both"/>
        <w:ind w:left="1020" w:hanging="518"/>
        <w:spacing w:after="0" w:line="265" w:lineRule="auto"/>
        <w:tabs>
          <w:tab w:leader="none" w:pos="1020" w:val="left"/>
        </w:tabs>
        <w:numPr>
          <w:ilvl w:val="0"/>
          <w:numId w:val="12"/>
        </w:numPr>
        <w:rPr>
          <w:rFonts w:ascii="Times New Roman" w:cs="Times New Roman" w:eastAsia="Times New Roman" w:hAnsi="Times New Roman"/>
          <w:sz w:val="15"/>
          <w:szCs w:val="15"/>
          <w:color w:val="auto"/>
        </w:rPr>
      </w:pPr>
      <w:r>
        <w:rPr>
          <w:rFonts w:ascii="Calibri" w:cs="Calibri" w:eastAsia="Calibri" w:hAnsi="Calibri"/>
          <w:sz w:val="15"/>
          <w:szCs w:val="15"/>
          <w:i w:val="1"/>
          <w:iCs w:val="1"/>
          <w:color w:val="auto"/>
        </w:rPr>
        <w:t xml:space="preserve">Provide Thought Leadership that Educates Dealers on Industry Trends. </w:t>
      </w:r>
      <w:r>
        <w:rPr>
          <w:rFonts w:ascii="MS PGothic" w:cs="MS PGothic" w:eastAsia="MS PGothic" w:hAnsi="MS PGothic"/>
          <w:sz w:val="15"/>
          <w:szCs w:val="15"/>
          <w:color w:val="auto"/>
        </w:rPr>
        <w:t>We generate content on market trends and best practces in digital advertsing that is shared</w:t>
      </w:r>
      <w:r>
        <w:rPr>
          <w:rFonts w:ascii="Calibri" w:cs="Calibri" w:eastAsia="Calibri" w:hAnsi="Calibri"/>
          <w:sz w:val="15"/>
          <w:szCs w:val="15"/>
          <w:i w:val="1"/>
          <w:iCs w:val="1"/>
          <w:color w:val="auto"/>
        </w:rPr>
        <w:t xml:space="preserve"> </w:t>
      </w:r>
      <w:r>
        <w:rPr>
          <w:rFonts w:ascii="MS PGothic" w:cs="MS PGothic" w:eastAsia="MS PGothic" w:hAnsi="MS PGothic"/>
          <w:sz w:val="15"/>
          <w:szCs w:val="15"/>
          <w:color w:val="auto"/>
        </w:rPr>
        <w:t>through webinars, dealer forums, our website, and our partcipaton in industry conferences and events. We also help dealers address their ever-changing challenges by sharing the latest research and data-driven insights on how shopper behavior contnues to evolve.</w:t>
      </w:r>
    </w:p>
    <w:p>
      <w:pPr>
        <w:spacing w:after="0" w:line="177" w:lineRule="exact"/>
        <w:rPr>
          <w:rFonts w:ascii="Times New Roman" w:cs="Times New Roman" w:eastAsia="Times New Roman" w:hAnsi="Times New Roman"/>
          <w:sz w:val="15"/>
          <w:szCs w:val="15"/>
          <w:color w:val="auto"/>
        </w:rPr>
      </w:pPr>
    </w:p>
    <w:p>
      <w:pPr>
        <w:jc w:val="both"/>
        <w:ind w:left="1020" w:hanging="518"/>
        <w:spacing w:after="0" w:line="277" w:lineRule="auto"/>
        <w:tabs>
          <w:tab w:leader="none" w:pos="1020" w:val="left"/>
        </w:tabs>
        <w:numPr>
          <w:ilvl w:val="0"/>
          <w:numId w:val="12"/>
        </w:numPr>
        <w:rPr>
          <w:rFonts w:ascii="Times New Roman" w:cs="Times New Roman" w:eastAsia="Times New Roman" w:hAnsi="Times New Roman"/>
          <w:sz w:val="15"/>
          <w:szCs w:val="15"/>
          <w:color w:val="auto"/>
        </w:rPr>
      </w:pPr>
      <w:r>
        <w:rPr>
          <w:rFonts w:ascii="Calibri" w:cs="Calibri" w:eastAsia="Calibri" w:hAnsi="Calibri"/>
          <w:sz w:val="15"/>
          <w:szCs w:val="15"/>
          <w:i w:val="1"/>
          <w:iCs w:val="1"/>
          <w:color w:val="auto"/>
        </w:rPr>
        <w:t xml:space="preserve">Provide Best Practces to Assist Dealers in Becoming More Successful. </w:t>
      </w:r>
      <w:r>
        <w:rPr>
          <w:rFonts w:ascii="MS PGothic" w:cs="MS PGothic" w:eastAsia="MS PGothic" w:hAnsi="MS PGothic"/>
          <w:sz w:val="15"/>
          <w:szCs w:val="15"/>
          <w:color w:val="auto"/>
        </w:rPr>
        <w:t>We provide ongoing communicatons through email, webinars, white papers, testmonials, and</w:t>
      </w:r>
      <w:r>
        <w:rPr>
          <w:rFonts w:ascii="Calibri" w:cs="Calibri" w:eastAsia="Calibri" w:hAnsi="Calibri"/>
          <w:sz w:val="15"/>
          <w:szCs w:val="15"/>
          <w:i w:val="1"/>
          <w:iCs w:val="1"/>
          <w:color w:val="auto"/>
        </w:rPr>
        <w:t xml:space="preserve"> </w:t>
      </w:r>
      <w:r>
        <w:rPr>
          <w:rFonts w:ascii="MS PGothic" w:cs="MS PGothic" w:eastAsia="MS PGothic" w:hAnsi="MS PGothic"/>
          <w:sz w:val="15"/>
          <w:szCs w:val="15"/>
          <w:color w:val="auto"/>
        </w:rPr>
        <w:t>videos, which show dealers how to use our products to positon their inventory for success on our platorm and beyond, as well as broader guidance on marketng, sales, operatons, and other aspects of running a more proftable dealership. We maintain consistent communicaton with dealers via email, events, and our Dealer Dashboard to ensure awareness of account performance and recent product updates, and we empower our sales and account management teams with resources to directly provide educaton and assistance to our dealer partners.</w:t>
      </w:r>
    </w:p>
    <w:p>
      <w:pPr>
        <w:spacing w:after="0" w:line="173" w:lineRule="exact"/>
        <w:rPr>
          <w:rFonts w:ascii="Times New Roman" w:cs="Times New Roman" w:eastAsia="Times New Roman" w:hAnsi="Times New Roman"/>
          <w:sz w:val="15"/>
          <w:szCs w:val="15"/>
          <w:color w:val="auto"/>
        </w:rPr>
      </w:pPr>
    </w:p>
    <w:p>
      <w:pPr>
        <w:jc w:val="both"/>
        <w:ind w:left="1020" w:hanging="518"/>
        <w:spacing w:after="0" w:line="272" w:lineRule="auto"/>
        <w:tabs>
          <w:tab w:leader="none" w:pos="1020" w:val="left"/>
        </w:tabs>
        <w:numPr>
          <w:ilvl w:val="0"/>
          <w:numId w:val="12"/>
        </w:numPr>
        <w:rPr>
          <w:rFonts w:ascii="Times New Roman" w:cs="Times New Roman" w:eastAsia="Times New Roman" w:hAnsi="Times New Roman"/>
          <w:sz w:val="15"/>
          <w:szCs w:val="15"/>
          <w:color w:val="auto"/>
        </w:rPr>
      </w:pPr>
      <w:r>
        <w:rPr>
          <w:rFonts w:ascii="Calibri" w:cs="Calibri" w:eastAsia="Calibri" w:hAnsi="Calibri"/>
          <w:sz w:val="15"/>
          <w:szCs w:val="15"/>
          <w:i w:val="1"/>
          <w:iCs w:val="1"/>
          <w:color w:val="auto"/>
        </w:rPr>
        <w:t xml:space="preserve">Drive Product Engagement. </w:t>
      </w:r>
      <w:r>
        <w:rPr>
          <w:rFonts w:ascii="MS PGothic" w:cs="MS PGothic" w:eastAsia="MS PGothic" w:hAnsi="MS PGothic"/>
          <w:sz w:val="15"/>
          <w:szCs w:val="15"/>
          <w:color w:val="auto"/>
        </w:rPr>
        <w:t>We use our email marketng capabilites and other marketng channels to drive dealer engagement with our products and platorms. This</w:t>
      </w:r>
      <w:r>
        <w:rPr>
          <w:rFonts w:ascii="Calibri" w:cs="Calibri" w:eastAsia="Calibri" w:hAnsi="Calibri"/>
          <w:sz w:val="15"/>
          <w:szCs w:val="15"/>
          <w:i w:val="1"/>
          <w:iCs w:val="1"/>
          <w:color w:val="auto"/>
        </w:rPr>
        <w:t xml:space="preserve"> </w:t>
      </w:r>
      <w:r>
        <w:rPr>
          <w:rFonts w:ascii="MS PGothic" w:cs="MS PGothic" w:eastAsia="MS PGothic" w:hAnsi="MS PGothic"/>
          <w:sz w:val="15"/>
          <w:szCs w:val="15"/>
          <w:color w:val="auto"/>
        </w:rPr>
        <w:t>can include automated, personalized marketng about how dealers can improve vehicle pricing and merchandising by using the tools in our dashboard; performance insights around the leads and connectons they are receiving; and prompts to respond to reviews and manage their reputaton. We also monitor dealer feedback on our products through surveys and product engagement to assess areas for further development or dealer educaton.</w:t>
      </w:r>
    </w:p>
    <w:p>
      <w:pPr>
        <w:spacing w:after="0" w:line="165" w:lineRule="exact"/>
        <w:rPr>
          <w:sz w:val="20"/>
          <w:szCs w:val="20"/>
          <w:color w:val="auto"/>
        </w:rPr>
      </w:pPr>
    </w:p>
    <w:p>
      <w:pPr>
        <w:spacing w:after="0"/>
        <w:rPr>
          <w:sz w:val="20"/>
          <w:szCs w:val="20"/>
          <w:color w:val="auto"/>
        </w:rPr>
      </w:pPr>
      <w:r>
        <w:rPr>
          <w:rFonts w:ascii="Calibri" w:cs="Calibri" w:eastAsia="Calibri" w:hAnsi="Calibri"/>
          <w:sz w:val="15"/>
          <w:szCs w:val="15"/>
          <w:b w:val="1"/>
          <w:bCs w:val="1"/>
          <w:color w:val="auto"/>
        </w:rPr>
        <w:t>Competton</w:t>
      </w:r>
    </w:p>
    <w:p>
      <w:pPr>
        <w:spacing w:after="0" w:line="185" w:lineRule="exact"/>
        <w:rPr>
          <w:sz w:val="20"/>
          <w:szCs w:val="20"/>
          <w:color w:val="auto"/>
        </w:rPr>
      </w:pPr>
    </w:p>
    <w:p>
      <w:pPr>
        <w:ind w:firstLine="511"/>
        <w:spacing w:after="0" w:line="347" w:lineRule="auto"/>
        <w:rPr>
          <w:sz w:val="20"/>
          <w:szCs w:val="20"/>
          <w:color w:val="auto"/>
        </w:rPr>
      </w:pPr>
      <w:r>
        <w:rPr>
          <w:rFonts w:ascii="MS PGothic" w:cs="MS PGothic" w:eastAsia="MS PGothic" w:hAnsi="MS PGothic"/>
          <w:sz w:val="15"/>
          <w:szCs w:val="15"/>
          <w:color w:val="auto"/>
        </w:rPr>
        <w:t>We face competton to atract consumers and paying dealers to our marketplaces and services and to atract advertsers to purchase our advertsing products and services. Our compettors ofer various marketplaces, products, and services that compete with us. Some of these compettors include:</w:t>
      </w:r>
    </w:p>
    <w:p>
      <w:pPr>
        <w:spacing w:after="0" w:line="130" w:lineRule="exact"/>
        <w:rPr>
          <w:sz w:val="20"/>
          <w:szCs w:val="20"/>
          <w:color w:val="auto"/>
        </w:rPr>
      </w:pPr>
    </w:p>
    <w:p>
      <w:pPr>
        <w:ind w:left="1020" w:hanging="518"/>
        <w:spacing w:after="0"/>
        <w:tabs>
          <w:tab w:leader="none" w:pos="1020" w:val="left"/>
        </w:tabs>
        <w:numPr>
          <w:ilvl w:val="0"/>
          <w:numId w:val="13"/>
        </w:numPr>
        <w:rPr>
          <w:rFonts w:ascii="Times New Roman" w:cs="Times New Roman" w:eastAsia="Times New Roman" w:hAnsi="Times New Roman"/>
          <w:sz w:val="15"/>
          <w:szCs w:val="15"/>
          <w:color w:val="auto"/>
        </w:rPr>
      </w:pPr>
      <w:r>
        <w:rPr>
          <w:rFonts w:ascii="MS PGothic" w:cs="MS PGothic" w:eastAsia="MS PGothic" w:hAnsi="MS PGothic"/>
          <w:sz w:val="15"/>
          <w:szCs w:val="15"/>
          <w:color w:val="auto"/>
        </w:rPr>
        <w:t>major U.S. online automotve marketplaces, such as AutoTrader.com, Cars.com, and TrueCar.com;</w:t>
      </w:r>
    </w:p>
    <w:p>
      <w:pPr>
        <w:spacing w:after="0" w:line="207" w:lineRule="exact"/>
        <w:rPr>
          <w:rFonts w:ascii="Times New Roman" w:cs="Times New Roman" w:eastAsia="Times New Roman" w:hAnsi="Times New Roman"/>
          <w:sz w:val="15"/>
          <w:szCs w:val="15"/>
          <w:color w:val="auto"/>
        </w:rPr>
      </w:pPr>
    </w:p>
    <w:p>
      <w:pPr>
        <w:ind w:left="1020" w:hanging="518"/>
        <w:spacing w:after="0"/>
        <w:tabs>
          <w:tab w:leader="none" w:pos="1020" w:val="left"/>
        </w:tabs>
        <w:numPr>
          <w:ilvl w:val="0"/>
          <w:numId w:val="13"/>
        </w:numPr>
        <w:rPr>
          <w:rFonts w:ascii="Times New Roman" w:cs="Times New Roman" w:eastAsia="Times New Roman" w:hAnsi="Times New Roman"/>
          <w:sz w:val="15"/>
          <w:szCs w:val="15"/>
          <w:color w:val="auto"/>
        </w:rPr>
      </w:pPr>
      <w:r>
        <w:rPr>
          <w:rFonts w:ascii="MS PGothic" w:cs="MS PGothic" w:eastAsia="MS PGothic" w:hAnsi="MS PGothic"/>
          <w:sz w:val="15"/>
          <w:szCs w:val="15"/>
          <w:color w:val="auto"/>
        </w:rPr>
        <w:t>other U.S. automotve websites, such as Edmunds.com, KBB.com, and Carfax.com;</w:t>
      </w:r>
    </w:p>
    <w:p>
      <w:pPr>
        <w:spacing w:after="0" w:line="207" w:lineRule="exact"/>
        <w:rPr>
          <w:rFonts w:ascii="Times New Roman" w:cs="Times New Roman" w:eastAsia="Times New Roman" w:hAnsi="Times New Roman"/>
          <w:sz w:val="15"/>
          <w:szCs w:val="15"/>
          <w:color w:val="auto"/>
        </w:rPr>
      </w:pPr>
    </w:p>
    <w:p>
      <w:pPr>
        <w:ind w:left="1020" w:hanging="518"/>
        <w:spacing w:after="0"/>
        <w:tabs>
          <w:tab w:leader="none" w:pos="1020" w:val="left"/>
        </w:tabs>
        <w:numPr>
          <w:ilvl w:val="0"/>
          <w:numId w:val="13"/>
        </w:numPr>
        <w:rPr>
          <w:rFonts w:ascii="Times New Roman" w:cs="Times New Roman" w:eastAsia="Times New Roman" w:hAnsi="Times New Roman"/>
          <w:sz w:val="15"/>
          <w:szCs w:val="15"/>
          <w:color w:val="auto"/>
        </w:rPr>
      </w:pPr>
      <w:r>
        <w:rPr>
          <w:rFonts w:ascii="MS PGothic" w:cs="MS PGothic" w:eastAsia="MS PGothic" w:hAnsi="MS PGothic"/>
          <w:sz w:val="15"/>
          <w:szCs w:val="15"/>
          <w:color w:val="auto"/>
        </w:rPr>
        <w:t>online automotve marketplaces and websites in our internatonal markets;</w:t>
      </w:r>
    </w:p>
    <w:p>
      <w:pPr>
        <w:spacing w:after="0" w:line="207" w:lineRule="exact"/>
        <w:rPr>
          <w:rFonts w:ascii="Times New Roman" w:cs="Times New Roman" w:eastAsia="Times New Roman" w:hAnsi="Times New Roman"/>
          <w:sz w:val="15"/>
          <w:szCs w:val="15"/>
          <w:color w:val="auto"/>
        </w:rPr>
      </w:pPr>
    </w:p>
    <w:p>
      <w:pPr>
        <w:ind w:left="1020" w:hanging="518"/>
        <w:spacing w:after="0"/>
        <w:tabs>
          <w:tab w:leader="none" w:pos="1020" w:val="left"/>
        </w:tabs>
        <w:numPr>
          <w:ilvl w:val="0"/>
          <w:numId w:val="13"/>
        </w:numPr>
        <w:rPr>
          <w:rFonts w:ascii="Times New Roman" w:cs="Times New Roman" w:eastAsia="Times New Roman" w:hAnsi="Times New Roman"/>
          <w:sz w:val="15"/>
          <w:szCs w:val="15"/>
          <w:color w:val="auto"/>
        </w:rPr>
      </w:pPr>
      <w:r>
        <w:rPr>
          <w:rFonts w:ascii="MS PGothic" w:cs="MS PGothic" w:eastAsia="MS PGothic" w:hAnsi="MS PGothic"/>
          <w:sz w:val="15"/>
          <w:szCs w:val="15"/>
          <w:color w:val="auto"/>
        </w:rPr>
        <w:t>online dealerships, such as Carvana.com;</w:t>
      </w:r>
    </w:p>
    <w:p>
      <w:pPr>
        <w:spacing w:after="0" w:line="207" w:lineRule="exact"/>
        <w:rPr>
          <w:rFonts w:ascii="Times New Roman" w:cs="Times New Roman" w:eastAsia="Times New Roman" w:hAnsi="Times New Roman"/>
          <w:sz w:val="15"/>
          <w:szCs w:val="15"/>
          <w:color w:val="auto"/>
        </w:rPr>
      </w:pPr>
    </w:p>
    <w:p>
      <w:pPr>
        <w:ind w:left="1020" w:hanging="518"/>
        <w:spacing w:after="0"/>
        <w:tabs>
          <w:tab w:leader="none" w:pos="1020" w:val="left"/>
        </w:tabs>
        <w:numPr>
          <w:ilvl w:val="0"/>
          <w:numId w:val="13"/>
        </w:numPr>
        <w:rPr>
          <w:rFonts w:ascii="Times New Roman" w:cs="Times New Roman" w:eastAsia="Times New Roman" w:hAnsi="Times New Roman"/>
          <w:sz w:val="15"/>
          <w:szCs w:val="15"/>
          <w:color w:val="auto"/>
        </w:rPr>
      </w:pPr>
      <w:r>
        <w:rPr>
          <w:rFonts w:ascii="MS PGothic" w:cs="MS PGothic" w:eastAsia="MS PGothic" w:hAnsi="MS PGothic"/>
          <w:sz w:val="15"/>
          <w:szCs w:val="15"/>
          <w:color w:val="auto"/>
        </w:rPr>
        <w:t>sites operated by individual automobile dealers;</w:t>
      </w:r>
    </w:p>
    <w:p>
      <w:pPr>
        <w:spacing w:after="0" w:line="207" w:lineRule="exact"/>
        <w:rPr>
          <w:rFonts w:ascii="Times New Roman" w:cs="Times New Roman" w:eastAsia="Times New Roman" w:hAnsi="Times New Roman"/>
          <w:sz w:val="15"/>
          <w:szCs w:val="15"/>
          <w:color w:val="auto"/>
        </w:rPr>
      </w:pPr>
    </w:p>
    <w:p>
      <w:pPr>
        <w:ind w:left="1020" w:hanging="518"/>
        <w:spacing w:after="0"/>
        <w:tabs>
          <w:tab w:leader="none" w:pos="1020" w:val="left"/>
        </w:tabs>
        <w:numPr>
          <w:ilvl w:val="0"/>
          <w:numId w:val="13"/>
        </w:numPr>
        <w:rPr>
          <w:rFonts w:ascii="Times New Roman" w:cs="Times New Roman" w:eastAsia="Times New Roman" w:hAnsi="Times New Roman"/>
          <w:sz w:val="15"/>
          <w:szCs w:val="15"/>
          <w:color w:val="auto"/>
        </w:rPr>
      </w:pPr>
      <w:r>
        <w:rPr>
          <w:rFonts w:ascii="MS PGothic" w:cs="MS PGothic" w:eastAsia="MS PGothic" w:hAnsi="MS PGothic"/>
          <w:sz w:val="15"/>
          <w:szCs w:val="15"/>
          <w:color w:val="auto"/>
        </w:rPr>
        <w:t>internet search engines;</w:t>
      </w:r>
    </w:p>
    <w:p>
      <w:pPr>
        <w:spacing w:after="0" w:line="207" w:lineRule="exact"/>
        <w:rPr>
          <w:rFonts w:ascii="Times New Roman" w:cs="Times New Roman" w:eastAsia="Times New Roman" w:hAnsi="Times New Roman"/>
          <w:sz w:val="15"/>
          <w:szCs w:val="15"/>
          <w:color w:val="auto"/>
        </w:rPr>
      </w:pPr>
    </w:p>
    <w:p>
      <w:pPr>
        <w:ind w:left="1020" w:hanging="518"/>
        <w:spacing w:after="0"/>
        <w:tabs>
          <w:tab w:leader="none" w:pos="1020" w:val="left"/>
        </w:tabs>
        <w:numPr>
          <w:ilvl w:val="0"/>
          <w:numId w:val="13"/>
        </w:numPr>
        <w:rPr>
          <w:rFonts w:ascii="Times New Roman" w:cs="Times New Roman" w:eastAsia="Times New Roman" w:hAnsi="Times New Roman"/>
          <w:sz w:val="15"/>
          <w:szCs w:val="15"/>
          <w:color w:val="auto"/>
        </w:rPr>
      </w:pPr>
      <w:r>
        <w:rPr>
          <w:rFonts w:ascii="MS PGothic" w:cs="MS PGothic" w:eastAsia="MS PGothic" w:hAnsi="MS PGothic"/>
          <w:sz w:val="15"/>
          <w:szCs w:val="15"/>
          <w:color w:val="auto"/>
        </w:rPr>
        <w:t>social media marketplaces;</w:t>
      </w:r>
    </w:p>
    <w:p>
      <w:pPr>
        <w:spacing w:after="0" w:line="207" w:lineRule="exact"/>
        <w:rPr>
          <w:rFonts w:ascii="Times New Roman" w:cs="Times New Roman" w:eastAsia="Times New Roman" w:hAnsi="Times New Roman"/>
          <w:sz w:val="15"/>
          <w:szCs w:val="15"/>
          <w:color w:val="auto"/>
        </w:rPr>
      </w:pPr>
    </w:p>
    <w:p>
      <w:pPr>
        <w:ind w:left="1020" w:hanging="518"/>
        <w:spacing w:after="0"/>
        <w:tabs>
          <w:tab w:leader="none" w:pos="1020" w:val="left"/>
        </w:tabs>
        <w:numPr>
          <w:ilvl w:val="0"/>
          <w:numId w:val="13"/>
        </w:numPr>
        <w:rPr>
          <w:rFonts w:ascii="Times New Roman" w:cs="Times New Roman" w:eastAsia="Times New Roman" w:hAnsi="Times New Roman"/>
          <w:sz w:val="15"/>
          <w:szCs w:val="15"/>
          <w:color w:val="auto"/>
        </w:rPr>
      </w:pPr>
      <w:r>
        <w:rPr>
          <w:rFonts w:ascii="MS PGothic" w:cs="MS PGothic" w:eastAsia="MS PGothic" w:hAnsi="MS PGothic"/>
          <w:sz w:val="15"/>
          <w:szCs w:val="15"/>
          <w:color w:val="auto"/>
        </w:rPr>
        <w:t>peer-to-peer marketplaces, such as Craigslist.com;</w:t>
      </w:r>
    </w:p>
    <w:p>
      <w:pPr>
        <w:spacing w:after="0" w:line="207" w:lineRule="exact"/>
        <w:rPr>
          <w:rFonts w:ascii="Times New Roman" w:cs="Times New Roman" w:eastAsia="Times New Roman" w:hAnsi="Times New Roman"/>
          <w:sz w:val="15"/>
          <w:szCs w:val="15"/>
          <w:color w:val="auto"/>
        </w:rPr>
      </w:pPr>
    </w:p>
    <w:p>
      <w:pPr>
        <w:ind w:left="5540" w:right="3060" w:hanging="5038"/>
        <w:spacing w:after="0" w:line="605" w:lineRule="auto"/>
        <w:tabs>
          <w:tab w:leader="none" w:pos="1005" w:val="left"/>
        </w:tabs>
        <w:numPr>
          <w:ilvl w:val="0"/>
          <w:numId w:val="13"/>
        </w:numPr>
        <w:rPr>
          <w:rFonts w:ascii="Times New Roman" w:cs="Times New Roman" w:eastAsia="Times New Roman" w:hAnsi="Times New Roman"/>
          <w:sz w:val="15"/>
          <w:szCs w:val="15"/>
          <w:color w:val="auto"/>
        </w:rPr>
      </w:pPr>
      <w:r>
        <w:rPr>
          <w:rFonts w:ascii="MS PGothic" w:cs="MS PGothic" w:eastAsia="MS PGothic" w:hAnsi="MS PGothic"/>
          <w:sz w:val="15"/>
          <w:szCs w:val="15"/>
          <w:color w:val="auto"/>
        </w:rPr>
        <w:t>vehicle aucton companies, including digital wholesale platorms, such as ACVauctons.com, OPENLANE, and E INC; and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242570</wp:posOffset>
            </wp:positionV>
            <wp:extent cx="7178040" cy="400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45" w:right="319" w:bottom="1440" w:gutter="0" w:footer="0" w:header="0"/>
        </w:sectPr>
      </w:pPr>
    </w:p>
    <w:bookmarkStart w:id="17" w:name="page18"/>
    <w:bookmarkEnd w:id="17"/>
    <w:p>
      <w:pPr>
        <w:ind w:left="1020" w:hanging="518"/>
        <w:spacing w:after="0"/>
        <w:tabs>
          <w:tab w:leader="none" w:pos="1020" w:val="left"/>
        </w:tabs>
        <w:numPr>
          <w:ilvl w:val="0"/>
          <w:numId w:val="14"/>
        </w:numPr>
        <w:rPr>
          <w:rFonts w:ascii="Times New Roman" w:cs="Times New Roman" w:eastAsia="Times New Roman" w:hAnsi="Times New Roman"/>
          <w:sz w:val="15"/>
          <w:szCs w:val="15"/>
          <w:color w:val="auto"/>
        </w:rPr>
      </w:pPr>
      <w:r>
        <w:rPr>
          <w:rFonts w:ascii="Calibri" w:cs="Calibri" w:eastAsia="Calibri" w:hAnsi="Calibri"/>
          <w:sz w:val="15"/>
          <w:szCs w:val="15"/>
          <w:color w:val="auto"/>
        </w:rPr>
        <w:t>e-commerce sites, such as the recent partnership between Amazon.com, Inc., or Amazon, and Hyundai to sell cars on Amazon.com.</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b w:val="1"/>
          <w:bCs w:val="1"/>
          <w:i w:val="1"/>
          <w:iCs w:val="1"/>
          <w:color w:val="auto"/>
        </w:rPr>
        <w:t>Competton for Consumers and Dealers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We compete for consumer visits with other online automotve marketplaces, free listng services, general search engines, online dealerships, and dealers’ websites. We compete for consumers primarily on the basis of the quality of the consumer experience and the breadth of oferings that we are able to provide. We believe we compare favorably on user experience due to the number of our vehicle listngs, the transparency of the informaton we provide on cars, prices, and dealers, the intuitve nature of our user interface, and our mobile user experience, among other factors.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We compete for dealers’ marketng spend with ofine customer acquisiton channels, other online automotve marketplaces, dealers’ own customer acquisiton eforts on search engines and social media marketplaces, and other internet sites, online dealerships, and vehicle aucton companies that atract consumers and dealers searching for vehicles, as applicable. We compete primarily on the basis of the ROI that our marketplace ofers and the synergies provided by the combinaton of our foundatonal listngs business with digital wholesale and digital retail oferings. We believe we compare favorably due to our large user audience, high user engagement, and the volume and quality of connectons we provide to well-informed consumers, which results in an atractve ROI for dealers.</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b w:val="1"/>
          <w:bCs w:val="1"/>
          <w:i w:val="1"/>
          <w:iCs w:val="1"/>
          <w:color w:val="auto"/>
        </w:rPr>
        <w:t>Competton for Advertsers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We compete for a share of advertsers’ total marketng budgets against media sites, websites dedicated to helping consumers shop for cars, major internet portals, search engines, and social media sites, among others. We also compete for a share of advertsers’ overall marketng budgets with traditonal media, such as television, radio, magazines, newspapers, automotve publicatons, billboards, and other ofine advertsing channels. We compete for advertsing spend based on the marketng ROI that our marketplace provides. We believe we compare favorably due to our large user audience, high user engagement, and the efectveness and relevance of our advertsing products.</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b w:val="1"/>
          <w:bCs w:val="1"/>
          <w:color w:val="auto"/>
        </w:rPr>
        <w:t>Seasonality</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Across the retail automotve industry, consumer purchases are typically greatest in the frst three quarters of each year, due in part to the introducton of new vehicle models from manufacturers and the seasonal nature of consumer spending. Additonally, the volume of wholesale vehicle sales can fuctuate from quarter to quarter driven by several factors, including the tming of used vehicles available for sale from selling customers, the seasonality of the retail market for used vehicles, and/or inventory challenges in the automotve industry, which afect the demand side of the wholesale industry. Macroeconomic conditons, such as slower growth or recession, higher interest rates, unemployment, consumer confdence in the economy, consumer debt levels, labor, disruptons, work stoppages, or strikes, the ongoing military confict between Russia and Ukraine, the confict in Israel and surrounding areas and the possible expansion of such confict, foreign currency exchange rate fuctuatons, and other maters that infuence consumer spending and preferences, can also impact the volume of wholesale vehicle sales, as was evidenced by the global semiconductor chip shortage and other supply-related shortages. The Digital Wholesale segment operatng results have refected the general seasonality of the wholesale vehicle sales market and macroeconomic conditons of the automotve industry. The U.S. Marketplace segment operatng results have refected the macroeconomic conditons of the automotve industry. However, to date, the U.S. Marketplace segment operatng results have not been materially impacted by the general seasonality of the automotve industry. This could possibly change as our business and markets mature.</w:t>
      </w:r>
    </w:p>
    <w:p>
      <w:pPr>
        <w:spacing w:after="0" w:line="186" w:lineRule="exact"/>
        <w:rPr>
          <w:sz w:val="20"/>
          <w:szCs w:val="20"/>
          <w:color w:val="auto"/>
        </w:rPr>
      </w:pPr>
    </w:p>
    <w:p>
      <w:pPr>
        <w:spacing w:after="0"/>
        <w:rPr>
          <w:sz w:val="20"/>
          <w:szCs w:val="20"/>
          <w:color w:val="auto"/>
        </w:rPr>
      </w:pPr>
      <w:r>
        <w:rPr>
          <w:rFonts w:ascii="Calibri" w:cs="Calibri" w:eastAsia="Calibri" w:hAnsi="Calibri"/>
          <w:sz w:val="15"/>
          <w:szCs w:val="15"/>
          <w:b w:val="1"/>
          <w:bCs w:val="1"/>
          <w:color w:val="auto"/>
        </w:rPr>
        <w:t>Sales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Our sales team is responsible for bringing dealers onto our marketplace, convertng non-paying dealers to paid subscriptons, and increasing dealer partcipaton in new products that we are bringing to market. We have built an efcient sales and service team of approximately 349 employees worldwide who sell our marketplace products to franchise and independent dealers. We have built a feld sales team that works with strategic franchise and natonal dealership groups in large metropolitan areas in the U.S., Canada, and the U.K. In additon, we have advertsing sales employees based in the U.S. and Canada.</w:t>
      </w:r>
    </w:p>
    <w:p>
      <w:pPr>
        <w:spacing w:after="0" w:line="185" w:lineRule="exact"/>
        <w:rPr>
          <w:sz w:val="20"/>
          <w:szCs w:val="20"/>
          <w:color w:val="auto"/>
        </w:rPr>
      </w:pPr>
    </w:p>
    <w:p>
      <w:pPr>
        <w:jc w:val="center"/>
        <w:spacing w:after="0"/>
        <w:rPr>
          <w:sz w:val="20"/>
          <w:szCs w:val="20"/>
          <w:color w:val="auto"/>
        </w:rPr>
      </w:pPr>
      <w:r>
        <w:rPr>
          <w:rFonts w:ascii="Calibri" w:cs="Calibri" w:eastAsia="Calibri" w:hAnsi="Calibri"/>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408940</wp:posOffset>
            </wp:positionV>
            <wp:extent cx="7178040" cy="400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45" w:right="319" w:bottom="1440" w:gutter="0" w:footer="0" w:header="0"/>
        </w:sectPr>
      </w:pPr>
    </w:p>
    <w:bookmarkStart w:id="18" w:name="page19"/>
    <w:bookmarkEnd w:id="18"/>
    <w:p>
      <w:pPr>
        <w:jc w:val="both"/>
        <w:ind w:firstLine="511"/>
        <w:spacing w:after="0" w:line="241" w:lineRule="auto"/>
        <w:rPr>
          <w:sz w:val="20"/>
          <w:szCs w:val="20"/>
          <w:color w:val="auto"/>
        </w:rPr>
      </w:pPr>
      <w:r>
        <w:rPr>
          <w:rFonts w:ascii="Calibri" w:cs="Calibri" w:eastAsia="Calibri" w:hAnsi="Calibri"/>
          <w:sz w:val="15"/>
          <w:szCs w:val="15"/>
          <w:color w:val="auto"/>
        </w:rPr>
        <w:t>We have a comprehensive dealer account management process to assist dealers in becoming successful in our marketplace. We assign an Account Manager to paying Listngs dealers to develop strong relatonships and customer satsfacton. The designated Account Manager spends tme educatng dealers at every stage of their lifecycle as a paying customer. They advise dealers on a range of topics, including how to efectvely use their CarGurus products and merchandise their inventory, track sales, measure ROI for their marketng spend, and identfy ways to grow their profts. We believe our actve communicaton with our dealers fosters customer satsfacton and increases customer retenton.</w:t>
      </w:r>
    </w:p>
    <w:p>
      <w:pPr>
        <w:spacing w:after="0" w:line="185" w:lineRule="exact"/>
        <w:rPr>
          <w:sz w:val="20"/>
          <w:szCs w:val="20"/>
          <w:color w:val="auto"/>
        </w:rPr>
      </w:pPr>
    </w:p>
    <w:p>
      <w:pPr>
        <w:jc w:val="both"/>
        <w:ind w:right="20" w:firstLine="511"/>
        <w:spacing w:after="0" w:line="241" w:lineRule="auto"/>
        <w:rPr>
          <w:sz w:val="20"/>
          <w:szCs w:val="20"/>
          <w:color w:val="auto"/>
        </w:rPr>
      </w:pPr>
      <w:r>
        <w:rPr>
          <w:rFonts w:ascii="Calibri" w:cs="Calibri" w:eastAsia="Calibri" w:hAnsi="Calibri"/>
          <w:sz w:val="15"/>
          <w:szCs w:val="15"/>
          <w:color w:val="auto"/>
        </w:rPr>
        <w:t>CarOfer has a team of approximately 152 sales and service employees based in Texas, which is dedicated to driving transactons for the business as well as enrolling new dealers on the CarOfer platorm.</w:t>
      </w:r>
    </w:p>
    <w:p>
      <w:pPr>
        <w:spacing w:after="0" w:line="184" w:lineRule="exact"/>
        <w:rPr>
          <w:sz w:val="20"/>
          <w:szCs w:val="20"/>
          <w:color w:val="auto"/>
        </w:rPr>
      </w:pPr>
    </w:p>
    <w:p>
      <w:pPr>
        <w:spacing w:after="0"/>
        <w:rPr>
          <w:sz w:val="20"/>
          <w:szCs w:val="20"/>
          <w:color w:val="auto"/>
        </w:rPr>
      </w:pPr>
      <w:r>
        <w:rPr>
          <w:rFonts w:ascii="Calibri" w:cs="Calibri" w:eastAsia="Calibri" w:hAnsi="Calibri"/>
          <w:sz w:val="15"/>
          <w:szCs w:val="15"/>
          <w:b w:val="1"/>
          <w:bCs w:val="1"/>
          <w:color w:val="auto"/>
        </w:rPr>
        <w:t>People and Talent</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Our investment in our greatest asset – our people – is integral to our core values, evidenced by our inclusion of employee engagement and cultural eforts as components of our 2023 strategic and organizatonal initatves. Our Board of Directors oversees our people and talent eforts and views building our culture – from employee development and retenton to diversity, equity, inclusion, and belonging initatves – as key to driving long-term value for our business and helping mitgate risks.</w:t>
      </w:r>
    </w:p>
    <w:p>
      <w:pPr>
        <w:spacing w:after="0" w:line="185" w:lineRule="exact"/>
        <w:rPr>
          <w:sz w:val="20"/>
          <w:szCs w:val="20"/>
          <w:color w:val="auto"/>
        </w:rPr>
      </w:pPr>
    </w:p>
    <w:p>
      <w:pPr>
        <w:jc w:val="both"/>
        <w:ind w:right="20" w:firstLine="511"/>
        <w:spacing w:after="0" w:line="241" w:lineRule="auto"/>
        <w:rPr>
          <w:sz w:val="20"/>
          <w:szCs w:val="20"/>
          <w:color w:val="auto"/>
        </w:rPr>
      </w:pPr>
      <w:r>
        <w:rPr>
          <w:rFonts w:ascii="Calibri" w:cs="Calibri" w:eastAsia="Calibri" w:hAnsi="Calibri"/>
          <w:sz w:val="15"/>
          <w:szCs w:val="15"/>
          <w:color w:val="auto"/>
        </w:rPr>
        <w:t>As of December 31, 2023, we had 1,343 full-tme employees, 67 of whom were based outside the U.S. and 236 of whom were employed through CarOfer. None of our employees are represented by a labor union or covered by a collectve bargaining agreement.</w:t>
      </w:r>
    </w:p>
    <w:p>
      <w:pPr>
        <w:spacing w:after="0" w:line="184" w:lineRule="exact"/>
        <w:rPr>
          <w:sz w:val="20"/>
          <w:szCs w:val="20"/>
          <w:color w:val="auto"/>
        </w:rPr>
      </w:pPr>
    </w:p>
    <w:p>
      <w:pPr>
        <w:spacing w:after="0"/>
        <w:rPr>
          <w:sz w:val="20"/>
          <w:szCs w:val="20"/>
          <w:color w:val="auto"/>
        </w:rPr>
      </w:pPr>
      <w:r>
        <w:rPr>
          <w:rFonts w:ascii="Calibri" w:cs="Calibri" w:eastAsia="Calibri" w:hAnsi="Calibri"/>
          <w:sz w:val="15"/>
          <w:szCs w:val="15"/>
          <w:b w:val="1"/>
          <w:bCs w:val="1"/>
          <w:i w:val="1"/>
          <w:iCs w:val="1"/>
          <w:color w:val="auto"/>
        </w:rPr>
        <w:t>Culture, Values, and Standards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Our company culture has developed out of our data-driven and pioneering approach to the automotve market. We leverage data to drive innovaton across all facets of our business and contnuously optmize our products and processes to serve our consumers, dealers, advertsers, and partners. Our approach emphasizes thought leadership, learning, impact, and collaboraton across our organizaton, and we recognize and award employees who drive positve results across these consttuencies. We invest in creatng a work environment that facilitates partnership among our employees and promotes diversity, equity, inclusion, and belonging. In that spirit, we have identfed our core values as follows:</w:t>
      </w:r>
    </w:p>
    <w:p>
      <w:pPr>
        <w:spacing w:after="0" w:line="196" w:lineRule="exact"/>
        <w:rPr>
          <w:sz w:val="20"/>
          <w:szCs w:val="20"/>
          <w:color w:val="auto"/>
        </w:rPr>
      </w:pPr>
    </w:p>
    <w:p>
      <w:pPr>
        <w:ind w:left="1020" w:hanging="518"/>
        <w:spacing w:after="0" w:line="241" w:lineRule="auto"/>
        <w:tabs>
          <w:tab w:leader="none" w:pos="1020" w:val="left"/>
        </w:tabs>
        <w:numPr>
          <w:ilvl w:val="0"/>
          <w:numId w:val="15"/>
        </w:numPr>
        <w:rPr>
          <w:rFonts w:ascii="Times New Roman" w:cs="Times New Roman" w:eastAsia="Times New Roman" w:hAnsi="Times New Roman"/>
          <w:sz w:val="15"/>
          <w:szCs w:val="15"/>
          <w:color w:val="auto"/>
        </w:rPr>
      </w:pPr>
      <w:r>
        <w:rPr>
          <w:rFonts w:ascii="Calibri" w:cs="Calibri" w:eastAsia="Calibri" w:hAnsi="Calibri"/>
          <w:sz w:val="15"/>
          <w:szCs w:val="15"/>
          <w:i w:val="1"/>
          <w:iCs w:val="1"/>
          <w:color w:val="auto"/>
        </w:rPr>
        <w:t xml:space="preserve">We are pioneering. </w:t>
      </w:r>
      <w:r>
        <w:rPr>
          <w:rFonts w:ascii="Calibri" w:cs="Calibri" w:eastAsia="Calibri" w:hAnsi="Calibri"/>
          <w:sz w:val="15"/>
          <w:szCs w:val="15"/>
          <w:color w:val="auto"/>
        </w:rPr>
        <w:t>From the beginning, we set out to radically change how people buy and sell cars. We tackle difcult problems head on. We are curious. We are risk</w:t>
      </w:r>
      <w:r>
        <w:rPr>
          <w:rFonts w:ascii="Calibri" w:cs="Calibri" w:eastAsia="Calibri" w:hAnsi="Calibri"/>
          <w:sz w:val="15"/>
          <w:szCs w:val="15"/>
          <w:i w:val="1"/>
          <w:iCs w:val="1"/>
          <w:color w:val="auto"/>
        </w:rPr>
        <w:t xml:space="preserve"> </w:t>
      </w:r>
      <w:r>
        <w:rPr>
          <w:rFonts w:ascii="Calibri" w:cs="Calibri" w:eastAsia="Calibri" w:hAnsi="Calibri"/>
          <w:sz w:val="15"/>
          <w:szCs w:val="15"/>
          <w:color w:val="auto"/>
        </w:rPr>
        <w:t>takers. We embrace change even if it’s uncomfortable.</w:t>
      </w:r>
    </w:p>
    <w:p>
      <w:pPr>
        <w:spacing w:after="0" w:line="196" w:lineRule="exact"/>
        <w:rPr>
          <w:rFonts w:ascii="Times New Roman" w:cs="Times New Roman" w:eastAsia="Times New Roman" w:hAnsi="Times New Roman"/>
          <w:sz w:val="15"/>
          <w:szCs w:val="15"/>
          <w:color w:val="auto"/>
        </w:rPr>
      </w:pPr>
    </w:p>
    <w:p>
      <w:pPr>
        <w:ind w:left="1020" w:hanging="518"/>
        <w:spacing w:after="0" w:line="241" w:lineRule="auto"/>
        <w:tabs>
          <w:tab w:leader="none" w:pos="1020" w:val="left"/>
        </w:tabs>
        <w:numPr>
          <w:ilvl w:val="0"/>
          <w:numId w:val="15"/>
        </w:numPr>
        <w:rPr>
          <w:rFonts w:ascii="Times New Roman" w:cs="Times New Roman" w:eastAsia="Times New Roman" w:hAnsi="Times New Roman"/>
          <w:sz w:val="15"/>
          <w:szCs w:val="15"/>
          <w:color w:val="auto"/>
        </w:rPr>
      </w:pPr>
      <w:r>
        <w:rPr>
          <w:rFonts w:ascii="Calibri" w:cs="Calibri" w:eastAsia="Calibri" w:hAnsi="Calibri"/>
          <w:sz w:val="15"/>
          <w:szCs w:val="15"/>
          <w:i w:val="1"/>
          <w:iCs w:val="1"/>
          <w:color w:val="auto"/>
        </w:rPr>
        <w:t xml:space="preserve">We are transparent. </w:t>
      </w:r>
      <w:r>
        <w:rPr>
          <w:rFonts w:ascii="Calibri" w:cs="Calibri" w:eastAsia="Calibri" w:hAnsi="Calibri"/>
          <w:sz w:val="15"/>
          <w:szCs w:val="15"/>
          <w:color w:val="auto"/>
        </w:rPr>
        <w:t>We believe transparency is the foundaton of trust and enables beter decision making. We communicate clearly and honestly. We deliver unbiased</w:t>
      </w:r>
      <w:r>
        <w:rPr>
          <w:rFonts w:ascii="Calibri" w:cs="Calibri" w:eastAsia="Calibri" w:hAnsi="Calibri"/>
          <w:sz w:val="15"/>
          <w:szCs w:val="15"/>
          <w:i w:val="1"/>
          <w:iCs w:val="1"/>
          <w:color w:val="auto"/>
        </w:rPr>
        <w:t xml:space="preserve"> </w:t>
      </w:r>
      <w:r>
        <w:rPr>
          <w:rFonts w:ascii="Calibri" w:cs="Calibri" w:eastAsia="Calibri" w:hAnsi="Calibri"/>
          <w:sz w:val="15"/>
          <w:szCs w:val="15"/>
          <w:color w:val="auto"/>
        </w:rPr>
        <w:t>guidance. Our products, services, and company culture are built on these principles.</w:t>
      </w:r>
    </w:p>
    <w:p>
      <w:pPr>
        <w:spacing w:after="0" w:line="196" w:lineRule="exact"/>
        <w:rPr>
          <w:rFonts w:ascii="Times New Roman" w:cs="Times New Roman" w:eastAsia="Times New Roman" w:hAnsi="Times New Roman"/>
          <w:sz w:val="15"/>
          <w:szCs w:val="15"/>
          <w:color w:val="auto"/>
        </w:rPr>
      </w:pPr>
    </w:p>
    <w:p>
      <w:pPr>
        <w:ind w:left="1020" w:hanging="518"/>
        <w:spacing w:after="0" w:line="241" w:lineRule="auto"/>
        <w:tabs>
          <w:tab w:leader="none" w:pos="1020" w:val="left"/>
        </w:tabs>
        <w:numPr>
          <w:ilvl w:val="0"/>
          <w:numId w:val="15"/>
        </w:numPr>
        <w:rPr>
          <w:rFonts w:ascii="Times New Roman" w:cs="Times New Roman" w:eastAsia="Times New Roman" w:hAnsi="Times New Roman"/>
          <w:sz w:val="15"/>
          <w:szCs w:val="15"/>
          <w:color w:val="auto"/>
        </w:rPr>
      </w:pPr>
      <w:r>
        <w:rPr>
          <w:rFonts w:ascii="Calibri" w:cs="Calibri" w:eastAsia="Calibri" w:hAnsi="Calibri"/>
          <w:sz w:val="15"/>
          <w:szCs w:val="15"/>
          <w:i w:val="1"/>
          <w:iCs w:val="1"/>
          <w:color w:val="auto"/>
        </w:rPr>
        <w:t xml:space="preserve">We are data-driven. </w:t>
      </w:r>
      <w:r>
        <w:rPr>
          <w:rFonts w:ascii="Calibri" w:cs="Calibri" w:eastAsia="Calibri" w:hAnsi="Calibri"/>
          <w:sz w:val="15"/>
          <w:szCs w:val="15"/>
          <w:color w:val="auto"/>
        </w:rPr>
        <w:t>We rely on data, not hunches, to make decisions. We listen to our instncts but we validate through rapid testng, learning, and optmizing. We</w:t>
      </w:r>
      <w:r>
        <w:rPr>
          <w:rFonts w:ascii="Calibri" w:cs="Calibri" w:eastAsia="Calibri" w:hAnsi="Calibri"/>
          <w:sz w:val="15"/>
          <w:szCs w:val="15"/>
          <w:i w:val="1"/>
          <w:iCs w:val="1"/>
          <w:color w:val="auto"/>
        </w:rPr>
        <w:t xml:space="preserve"> </w:t>
      </w:r>
      <w:r>
        <w:rPr>
          <w:rFonts w:ascii="Calibri" w:cs="Calibri" w:eastAsia="Calibri" w:hAnsi="Calibri"/>
          <w:sz w:val="15"/>
          <w:szCs w:val="15"/>
          <w:color w:val="auto"/>
        </w:rPr>
        <w:t>translate complex data into actonable insights for our users, our customers, and our people.</w:t>
      </w:r>
    </w:p>
    <w:p>
      <w:pPr>
        <w:spacing w:after="0" w:line="196" w:lineRule="exact"/>
        <w:rPr>
          <w:rFonts w:ascii="Times New Roman" w:cs="Times New Roman" w:eastAsia="Times New Roman" w:hAnsi="Times New Roman"/>
          <w:sz w:val="15"/>
          <w:szCs w:val="15"/>
          <w:color w:val="auto"/>
        </w:rPr>
      </w:pPr>
    </w:p>
    <w:p>
      <w:pPr>
        <w:ind w:left="1020" w:hanging="518"/>
        <w:spacing w:after="0" w:line="241" w:lineRule="auto"/>
        <w:tabs>
          <w:tab w:leader="none" w:pos="1020" w:val="left"/>
        </w:tabs>
        <w:numPr>
          <w:ilvl w:val="0"/>
          <w:numId w:val="15"/>
        </w:numPr>
        <w:rPr>
          <w:rFonts w:ascii="Times New Roman" w:cs="Times New Roman" w:eastAsia="Times New Roman" w:hAnsi="Times New Roman"/>
          <w:sz w:val="15"/>
          <w:szCs w:val="15"/>
          <w:color w:val="auto"/>
        </w:rPr>
      </w:pPr>
      <w:r>
        <w:rPr>
          <w:rFonts w:ascii="Calibri" w:cs="Calibri" w:eastAsia="Calibri" w:hAnsi="Calibri"/>
          <w:sz w:val="15"/>
          <w:szCs w:val="15"/>
          <w:i w:val="1"/>
          <w:iCs w:val="1"/>
          <w:color w:val="auto"/>
        </w:rPr>
        <w:t xml:space="preserve">We are collaboratve. </w:t>
      </w:r>
      <w:r>
        <w:rPr>
          <w:rFonts w:ascii="Calibri" w:cs="Calibri" w:eastAsia="Calibri" w:hAnsi="Calibri"/>
          <w:sz w:val="15"/>
          <w:szCs w:val="15"/>
          <w:color w:val="auto"/>
        </w:rPr>
        <w:t>We celebrate our individual strengths and perspectves but know that our success requires teamwork. We partner, we listen, and we leverage</w:t>
      </w:r>
      <w:r>
        <w:rPr>
          <w:rFonts w:ascii="Calibri" w:cs="Calibri" w:eastAsia="Calibri" w:hAnsi="Calibri"/>
          <w:sz w:val="15"/>
          <w:szCs w:val="15"/>
          <w:i w:val="1"/>
          <w:iCs w:val="1"/>
          <w:color w:val="auto"/>
        </w:rPr>
        <w:t xml:space="preserve"> </w:t>
      </w:r>
      <w:r>
        <w:rPr>
          <w:rFonts w:ascii="Calibri" w:cs="Calibri" w:eastAsia="Calibri" w:hAnsi="Calibri"/>
          <w:sz w:val="15"/>
          <w:szCs w:val="15"/>
          <w:color w:val="auto"/>
        </w:rPr>
        <w:t>feedback from each other, our users, and our customers.</w:t>
      </w:r>
    </w:p>
    <w:p>
      <w:pPr>
        <w:spacing w:after="0" w:line="196" w:lineRule="exact"/>
        <w:rPr>
          <w:rFonts w:ascii="Times New Roman" w:cs="Times New Roman" w:eastAsia="Times New Roman" w:hAnsi="Times New Roman"/>
          <w:sz w:val="15"/>
          <w:szCs w:val="15"/>
          <w:color w:val="auto"/>
        </w:rPr>
      </w:pPr>
    </w:p>
    <w:p>
      <w:pPr>
        <w:ind w:left="1020" w:right="20" w:hanging="518"/>
        <w:spacing w:after="0" w:line="241" w:lineRule="auto"/>
        <w:tabs>
          <w:tab w:leader="none" w:pos="1020" w:val="left"/>
        </w:tabs>
        <w:numPr>
          <w:ilvl w:val="0"/>
          <w:numId w:val="15"/>
        </w:numPr>
        <w:rPr>
          <w:rFonts w:ascii="Times New Roman" w:cs="Times New Roman" w:eastAsia="Times New Roman" w:hAnsi="Times New Roman"/>
          <w:sz w:val="15"/>
          <w:szCs w:val="15"/>
          <w:color w:val="auto"/>
        </w:rPr>
      </w:pPr>
      <w:r>
        <w:rPr>
          <w:rFonts w:ascii="Calibri" w:cs="Calibri" w:eastAsia="Calibri" w:hAnsi="Calibri"/>
          <w:sz w:val="15"/>
          <w:szCs w:val="15"/>
          <w:i w:val="1"/>
          <w:iCs w:val="1"/>
          <w:color w:val="auto"/>
        </w:rPr>
        <w:t xml:space="preserve">We move quickly. </w:t>
      </w:r>
      <w:r>
        <w:rPr>
          <w:rFonts w:ascii="Calibri" w:cs="Calibri" w:eastAsia="Calibri" w:hAnsi="Calibri"/>
          <w:sz w:val="15"/>
          <w:szCs w:val="15"/>
          <w:color w:val="auto"/>
        </w:rPr>
        <w:t>We believe there’s power in speed. We iterate quickly and ofen, contnuously improving as we go. We are not afraid to break things. If we fail, we do it</w:t>
      </w:r>
      <w:r>
        <w:rPr>
          <w:rFonts w:ascii="Calibri" w:cs="Calibri" w:eastAsia="Calibri" w:hAnsi="Calibri"/>
          <w:sz w:val="15"/>
          <w:szCs w:val="15"/>
          <w:i w:val="1"/>
          <w:iCs w:val="1"/>
          <w:color w:val="auto"/>
        </w:rPr>
        <w:t xml:space="preserve"> </w:t>
      </w:r>
      <w:r>
        <w:rPr>
          <w:rFonts w:ascii="Calibri" w:cs="Calibri" w:eastAsia="Calibri" w:hAnsi="Calibri"/>
          <w:sz w:val="15"/>
          <w:szCs w:val="15"/>
          <w:color w:val="auto"/>
        </w:rPr>
        <w:t>fast, learn from it, and move on.</w:t>
      </w:r>
    </w:p>
    <w:p>
      <w:pPr>
        <w:spacing w:after="0" w:line="196" w:lineRule="exact"/>
        <w:rPr>
          <w:rFonts w:ascii="Times New Roman" w:cs="Times New Roman" w:eastAsia="Times New Roman" w:hAnsi="Times New Roman"/>
          <w:sz w:val="15"/>
          <w:szCs w:val="15"/>
          <w:color w:val="auto"/>
        </w:rPr>
      </w:pPr>
    </w:p>
    <w:p>
      <w:pPr>
        <w:ind w:left="1020" w:hanging="518"/>
        <w:spacing w:after="0" w:line="241" w:lineRule="auto"/>
        <w:tabs>
          <w:tab w:leader="none" w:pos="1020" w:val="left"/>
        </w:tabs>
        <w:numPr>
          <w:ilvl w:val="0"/>
          <w:numId w:val="15"/>
        </w:numPr>
        <w:rPr>
          <w:rFonts w:ascii="Times New Roman" w:cs="Times New Roman" w:eastAsia="Times New Roman" w:hAnsi="Times New Roman"/>
          <w:sz w:val="15"/>
          <w:szCs w:val="15"/>
          <w:color w:val="auto"/>
        </w:rPr>
      </w:pPr>
      <w:r>
        <w:rPr>
          <w:rFonts w:ascii="Calibri" w:cs="Calibri" w:eastAsia="Calibri" w:hAnsi="Calibri"/>
          <w:sz w:val="15"/>
          <w:szCs w:val="15"/>
          <w:i w:val="1"/>
          <w:iCs w:val="1"/>
          <w:color w:val="auto"/>
        </w:rPr>
        <w:t xml:space="preserve">We have integrity. </w:t>
      </w:r>
      <w:r>
        <w:rPr>
          <w:rFonts w:ascii="Calibri" w:cs="Calibri" w:eastAsia="Calibri" w:hAnsi="Calibri"/>
          <w:sz w:val="15"/>
          <w:szCs w:val="15"/>
          <w:color w:val="auto"/>
        </w:rPr>
        <w:t>We act responsibly and consider the impact of our actons on each other, our partners, and the world around us. We believe empathy, respect, and</w:t>
      </w:r>
      <w:r>
        <w:rPr>
          <w:rFonts w:ascii="Calibri" w:cs="Calibri" w:eastAsia="Calibri" w:hAnsi="Calibri"/>
          <w:sz w:val="15"/>
          <w:szCs w:val="15"/>
          <w:i w:val="1"/>
          <w:iCs w:val="1"/>
          <w:color w:val="auto"/>
        </w:rPr>
        <w:t xml:space="preserve"> </w:t>
      </w:r>
      <w:r>
        <w:rPr>
          <w:rFonts w:ascii="Calibri" w:cs="Calibri" w:eastAsia="Calibri" w:hAnsi="Calibri"/>
          <w:sz w:val="15"/>
          <w:szCs w:val="15"/>
          <w:color w:val="auto"/>
        </w:rPr>
        <w:t>fairness are essental. We set high ethical standards and expect principled leadership from our people.</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This year we also introduced fve universal leadership capabilites that diferentate us from the market as part of our contnued commitment to give employees the power to own their career development and impact. These capabilites outline how we do our jobs, infuence how we approach our work, and ofer a roadmap for how each employee can contnue to grow their skills at CarGurus. They include:</w:t>
      </w:r>
    </w:p>
    <w:p>
      <w:pPr>
        <w:spacing w:after="0" w:line="185" w:lineRule="exact"/>
        <w:rPr>
          <w:sz w:val="20"/>
          <w:szCs w:val="20"/>
          <w:color w:val="auto"/>
        </w:rPr>
      </w:pPr>
    </w:p>
    <w:p>
      <w:pPr>
        <w:jc w:val="center"/>
        <w:spacing w:after="0"/>
        <w:rPr>
          <w:sz w:val="20"/>
          <w:szCs w:val="20"/>
          <w:color w:val="auto"/>
        </w:rPr>
      </w:pPr>
      <w:r>
        <w:rPr>
          <w:rFonts w:ascii="Calibri" w:cs="Calibri" w:eastAsia="Calibri" w:hAnsi="Calibri"/>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408940</wp:posOffset>
            </wp:positionV>
            <wp:extent cx="7178040" cy="400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4" w:right="319" w:bottom="1440" w:gutter="0" w:footer="0" w:header="0"/>
        </w:sectPr>
      </w:pPr>
    </w:p>
    <w:bookmarkStart w:id="19" w:name="page20"/>
    <w:bookmarkEnd w:id="19"/>
    <w:p>
      <w:pPr>
        <w:ind w:left="1020" w:hanging="518"/>
        <w:spacing w:after="0"/>
        <w:tabs>
          <w:tab w:leader="none" w:pos="1020" w:val="left"/>
        </w:tabs>
        <w:numPr>
          <w:ilvl w:val="0"/>
          <w:numId w:val="16"/>
        </w:numPr>
        <w:rPr>
          <w:rFonts w:ascii="Times New Roman" w:cs="Times New Roman" w:eastAsia="Times New Roman" w:hAnsi="Times New Roman"/>
          <w:sz w:val="15"/>
          <w:szCs w:val="15"/>
          <w:color w:val="auto"/>
        </w:rPr>
      </w:pPr>
      <w:r>
        <w:rPr>
          <w:rFonts w:ascii="Calibri" w:cs="Calibri" w:eastAsia="Calibri" w:hAnsi="Calibri"/>
          <w:sz w:val="15"/>
          <w:szCs w:val="15"/>
          <w:i w:val="1"/>
          <w:iCs w:val="1"/>
          <w:color w:val="auto"/>
        </w:rPr>
        <w:t xml:space="preserve">Catalyst for impact. </w:t>
      </w:r>
      <w:r>
        <w:rPr>
          <w:rFonts w:ascii="Calibri" w:cs="Calibri" w:eastAsia="Calibri" w:hAnsi="Calibri"/>
          <w:sz w:val="15"/>
          <w:szCs w:val="15"/>
          <w:color w:val="auto"/>
        </w:rPr>
        <w:t>We set high standards and take full ownership for our work. We are decisive, results-oriented, and have a bias for acton.</w:t>
      </w:r>
    </w:p>
    <w:p>
      <w:pPr>
        <w:spacing w:after="0" w:line="104" w:lineRule="exact"/>
        <w:rPr>
          <w:rFonts w:ascii="Times New Roman" w:cs="Times New Roman" w:eastAsia="Times New Roman" w:hAnsi="Times New Roman"/>
          <w:sz w:val="15"/>
          <w:szCs w:val="15"/>
          <w:color w:val="auto"/>
        </w:rPr>
      </w:pPr>
    </w:p>
    <w:p>
      <w:pPr>
        <w:ind w:left="1020" w:hanging="518"/>
        <w:spacing w:after="0"/>
        <w:tabs>
          <w:tab w:leader="none" w:pos="1020" w:val="left"/>
        </w:tabs>
        <w:numPr>
          <w:ilvl w:val="0"/>
          <w:numId w:val="16"/>
        </w:numPr>
        <w:rPr>
          <w:rFonts w:ascii="Times New Roman" w:cs="Times New Roman" w:eastAsia="Times New Roman" w:hAnsi="Times New Roman"/>
          <w:sz w:val="15"/>
          <w:szCs w:val="15"/>
          <w:color w:val="auto"/>
        </w:rPr>
      </w:pPr>
      <w:r>
        <w:rPr>
          <w:rFonts w:ascii="Calibri" w:cs="Calibri" w:eastAsia="Calibri" w:hAnsi="Calibri"/>
          <w:sz w:val="15"/>
          <w:szCs w:val="15"/>
          <w:i w:val="1"/>
          <w:iCs w:val="1"/>
          <w:color w:val="auto"/>
        </w:rPr>
        <w:t xml:space="preserve">Coach. </w:t>
      </w:r>
      <w:r>
        <w:rPr>
          <w:rFonts w:ascii="Calibri" w:cs="Calibri" w:eastAsia="Calibri" w:hAnsi="Calibri"/>
          <w:sz w:val="15"/>
          <w:szCs w:val="15"/>
          <w:color w:val="auto"/>
        </w:rPr>
        <w:t>We embody a growth mindset and foster an environment of learning, developing, and growing together.​</w:t>
      </w:r>
    </w:p>
    <w:p>
      <w:pPr>
        <w:spacing w:after="0" w:line="104" w:lineRule="exact"/>
        <w:rPr>
          <w:rFonts w:ascii="Times New Roman" w:cs="Times New Roman" w:eastAsia="Times New Roman" w:hAnsi="Times New Roman"/>
          <w:sz w:val="15"/>
          <w:szCs w:val="15"/>
          <w:color w:val="auto"/>
        </w:rPr>
      </w:pPr>
    </w:p>
    <w:p>
      <w:pPr>
        <w:ind w:left="1020" w:hanging="518"/>
        <w:spacing w:after="0"/>
        <w:tabs>
          <w:tab w:leader="none" w:pos="1020" w:val="left"/>
        </w:tabs>
        <w:numPr>
          <w:ilvl w:val="0"/>
          <w:numId w:val="16"/>
        </w:numPr>
        <w:rPr>
          <w:rFonts w:ascii="Times New Roman" w:cs="Times New Roman" w:eastAsia="Times New Roman" w:hAnsi="Times New Roman"/>
          <w:sz w:val="15"/>
          <w:szCs w:val="15"/>
          <w:color w:val="auto"/>
        </w:rPr>
      </w:pPr>
      <w:r>
        <w:rPr>
          <w:rFonts w:ascii="Calibri" w:cs="Calibri" w:eastAsia="Calibri" w:hAnsi="Calibri"/>
          <w:sz w:val="15"/>
          <w:szCs w:val="15"/>
          <w:i w:val="1"/>
          <w:iCs w:val="1"/>
          <w:color w:val="auto"/>
        </w:rPr>
        <w:t xml:space="preserve">Communicator. </w:t>
      </w:r>
      <w:r>
        <w:rPr>
          <w:rFonts w:ascii="Calibri" w:cs="Calibri" w:eastAsia="Calibri" w:hAnsi="Calibri"/>
          <w:sz w:val="15"/>
          <w:szCs w:val="15"/>
          <w:color w:val="auto"/>
        </w:rPr>
        <w:t>We share our vision and bring people along. We communicate clearly and simply, using data and facts to inform and shape our priorites.</w:t>
      </w:r>
    </w:p>
    <w:p>
      <w:pPr>
        <w:spacing w:after="0" w:line="104" w:lineRule="exact"/>
        <w:rPr>
          <w:rFonts w:ascii="Times New Roman" w:cs="Times New Roman" w:eastAsia="Times New Roman" w:hAnsi="Times New Roman"/>
          <w:sz w:val="15"/>
          <w:szCs w:val="15"/>
          <w:color w:val="auto"/>
        </w:rPr>
      </w:pPr>
    </w:p>
    <w:p>
      <w:pPr>
        <w:ind w:left="1020" w:right="20" w:hanging="518"/>
        <w:spacing w:after="0" w:line="241" w:lineRule="auto"/>
        <w:tabs>
          <w:tab w:leader="none" w:pos="1020" w:val="left"/>
        </w:tabs>
        <w:numPr>
          <w:ilvl w:val="0"/>
          <w:numId w:val="16"/>
        </w:numPr>
        <w:rPr>
          <w:rFonts w:ascii="Times New Roman" w:cs="Times New Roman" w:eastAsia="Times New Roman" w:hAnsi="Times New Roman"/>
          <w:sz w:val="15"/>
          <w:szCs w:val="15"/>
          <w:color w:val="auto"/>
        </w:rPr>
      </w:pPr>
      <w:r>
        <w:rPr>
          <w:rFonts w:ascii="Calibri" w:cs="Calibri" w:eastAsia="Calibri" w:hAnsi="Calibri"/>
          <w:sz w:val="15"/>
          <w:szCs w:val="15"/>
          <w:i w:val="1"/>
          <w:iCs w:val="1"/>
          <w:color w:val="auto"/>
        </w:rPr>
        <w:t xml:space="preserve">Change leader. </w:t>
      </w:r>
      <w:r>
        <w:rPr>
          <w:rFonts w:ascii="Calibri" w:cs="Calibri" w:eastAsia="Calibri" w:hAnsi="Calibri"/>
          <w:sz w:val="15"/>
          <w:szCs w:val="15"/>
          <w:color w:val="auto"/>
        </w:rPr>
        <w:t>We challenge ourselves and others to innovate and experiment. We are comfortable with ambiguity and adapt quickly when priorites change, remaining</w:t>
      </w:r>
      <w:r>
        <w:rPr>
          <w:rFonts w:ascii="Calibri" w:cs="Calibri" w:eastAsia="Calibri" w:hAnsi="Calibri"/>
          <w:sz w:val="15"/>
          <w:szCs w:val="15"/>
          <w:i w:val="1"/>
          <w:iCs w:val="1"/>
          <w:color w:val="auto"/>
        </w:rPr>
        <w:t xml:space="preserve"> </w:t>
      </w:r>
      <w:r>
        <w:rPr>
          <w:rFonts w:ascii="Calibri" w:cs="Calibri" w:eastAsia="Calibri" w:hAnsi="Calibri"/>
          <w:sz w:val="15"/>
          <w:szCs w:val="15"/>
          <w:color w:val="auto"/>
        </w:rPr>
        <w:t>focused on the big picture.</w:t>
      </w:r>
    </w:p>
    <w:p>
      <w:pPr>
        <w:spacing w:after="0" w:line="103" w:lineRule="exact"/>
        <w:rPr>
          <w:rFonts w:ascii="Times New Roman" w:cs="Times New Roman" w:eastAsia="Times New Roman" w:hAnsi="Times New Roman"/>
          <w:sz w:val="15"/>
          <w:szCs w:val="15"/>
          <w:color w:val="auto"/>
        </w:rPr>
      </w:pPr>
    </w:p>
    <w:p>
      <w:pPr>
        <w:ind w:left="1020" w:hanging="518"/>
        <w:spacing w:after="0"/>
        <w:tabs>
          <w:tab w:leader="none" w:pos="1020" w:val="left"/>
        </w:tabs>
        <w:numPr>
          <w:ilvl w:val="0"/>
          <w:numId w:val="16"/>
        </w:numPr>
        <w:rPr>
          <w:rFonts w:ascii="Times New Roman" w:cs="Times New Roman" w:eastAsia="Times New Roman" w:hAnsi="Times New Roman"/>
          <w:sz w:val="15"/>
          <w:szCs w:val="15"/>
          <w:color w:val="auto"/>
        </w:rPr>
      </w:pPr>
      <w:r>
        <w:rPr>
          <w:rFonts w:ascii="Calibri" w:cs="Calibri" w:eastAsia="Calibri" w:hAnsi="Calibri"/>
          <w:sz w:val="15"/>
          <w:szCs w:val="15"/>
          <w:i w:val="1"/>
          <w:iCs w:val="1"/>
          <w:color w:val="auto"/>
        </w:rPr>
        <w:t xml:space="preserve">Caring collaborator. </w:t>
      </w:r>
      <w:r>
        <w:rPr>
          <w:rFonts w:ascii="Calibri" w:cs="Calibri" w:eastAsia="Calibri" w:hAnsi="Calibri"/>
          <w:sz w:val="15"/>
          <w:szCs w:val="15"/>
          <w:color w:val="auto"/>
        </w:rPr>
        <w:t>We create meaningful partnerships and a sense of belonging, setng foundatons of trust, respect, inclusion, and empathy in how we work.</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b w:val="1"/>
          <w:bCs w:val="1"/>
          <w:i w:val="1"/>
          <w:iCs w:val="1"/>
          <w:color w:val="auto"/>
        </w:rPr>
        <w:t>Diversity, Equity, Inclusion, and Belonging and Equal Employment Policy</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We are an equal opportunity employer and strive to build and nurture a culture where inclusiveness is a refex, not an initatve. With support from our Diversity, Equity, Inclusion and Belonging Council, along with the commitment from our executve team, we seek to foster diversity, equity, inclusion, and belonging, and to build a workplace where everyone can come as they are to thrive where they are.</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In 2023 we refocused our diversity, equity, inclusion, and belonging strategy around four key areas with the goal of contnuing to build on our success. These areas leverage best practces, which we believe will further diferentate CarGurus as a leader in diversity, equity, inclusion, and belonging and employer of choice. The four key areas are:</w:t>
      </w:r>
    </w:p>
    <w:p>
      <w:pPr>
        <w:spacing w:after="0" w:line="104" w:lineRule="exact"/>
        <w:rPr>
          <w:sz w:val="20"/>
          <w:szCs w:val="20"/>
          <w:color w:val="auto"/>
        </w:rPr>
      </w:pPr>
    </w:p>
    <w:p>
      <w:pPr>
        <w:ind w:left="1020" w:hanging="518"/>
        <w:spacing w:after="0"/>
        <w:tabs>
          <w:tab w:leader="none" w:pos="1020" w:val="left"/>
        </w:tabs>
        <w:numPr>
          <w:ilvl w:val="0"/>
          <w:numId w:val="17"/>
        </w:numPr>
        <w:rPr>
          <w:rFonts w:ascii="Times New Roman" w:cs="Times New Roman" w:eastAsia="Times New Roman" w:hAnsi="Times New Roman"/>
          <w:sz w:val="15"/>
          <w:szCs w:val="15"/>
          <w:color w:val="auto"/>
        </w:rPr>
      </w:pPr>
      <w:r>
        <w:rPr>
          <w:rFonts w:ascii="Calibri" w:cs="Calibri" w:eastAsia="Calibri" w:hAnsi="Calibri"/>
          <w:sz w:val="15"/>
          <w:szCs w:val="15"/>
          <w:i w:val="1"/>
          <w:iCs w:val="1"/>
          <w:color w:val="auto"/>
        </w:rPr>
        <w:t xml:space="preserve">Representaton. </w:t>
      </w:r>
      <w:r>
        <w:rPr>
          <w:rFonts w:ascii="Calibri" w:cs="Calibri" w:eastAsia="Calibri" w:hAnsi="Calibri"/>
          <w:sz w:val="15"/>
          <w:szCs w:val="15"/>
          <w:color w:val="auto"/>
        </w:rPr>
        <w:t>Approach representaton more holistcally.</w:t>
      </w:r>
    </w:p>
    <w:p>
      <w:pPr>
        <w:spacing w:after="0" w:line="104" w:lineRule="exact"/>
        <w:rPr>
          <w:rFonts w:ascii="Times New Roman" w:cs="Times New Roman" w:eastAsia="Times New Roman" w:hAnsi="Times New Roman"/>
          <w:sz w:val="15"/>
          <w:szCs w:val="15"/>
          <w:color w:val="auto"/>
        </w:rPr>
      </w:pPr>
    </w:p>
    <w:p>
      <w:pPr>
        <w:ind w:left="1020" w:hanging="518"/>
        <w:spacing w:after="0"/>
        <w:tabs>
          <w:tab w:leader="none" w:pos="1020" w:val="left"/>
        </w:tabs>
        <w:numPr>
          <w:ilvl w:val="0"/>
          <w:numId w:val="17"/>
        </w:numPr>
        <w:rPr>
          <w:rFonts w:ascii="Times New Roman" w:cs="Times New Roman" w:eastAsia="Times New Roman" w:hAnsi="Times New Roman"/>
          <w:sz w:val="15"/>
          <w:szCs w:val="15"/>
          <w:color w:val="auto"/>
        </w:rPr>
      </w:pPr>
      <w:r>
        <w:rPr>
          <w:rFonts w:ascii="Calibri" w:cs="Calibri" w:eastAsia="Calibri" w:hAnsi="Calibri"/>
          <w:sz w:val="15"/>
          <w:szCs w:val="15"/>
          <w:i w:val="1"/>
          <w:iCs w:val="1"/>
          <w:color w:val="auto"/>
        </w:rPr>
        <w:t xml:space="preserve">Retenton and Internal Mobility. </w:t>
      </w:r>
      <w:r>
        <w:rPr>
          <w:rFonts w:ascii="Calibri" w:cs="Calibri" w:eastAsia="Calibri" w:hAnsi="Calibri"/>
          <w:sz w:val="15"/>
          <w:szCs w:val="15"/>
          <w:color w:val="auto"/>
        </w:rPr>
        <w:t>Create equity across the organizaton so that all employees can thrive and succeed in ways that work for them.</w:t>
      </w:r>
    </w:p>
    <w:p>
      <w:pPr>
        <w:spacing w:after="0" w:line="104" w:lineRule="exact"/>
        <w:rPr>
          <w:rFonts w:ascii="Times New Roman" w:cs="Times New Roman" w:eastAsia="Times New Roman" w:hAnsi="Times New Roman"/>
          <w:sz w:val="15"/>
          <w:szCs w:val="15"/>
          <w:color w:val="auto"/>
        </w:rPr>
      </w:pPr>
    </w:p>
    <w:p>
      <w:pPr>
        <w:ind w:left="1020" w:hanging="518"/>
        <w:spacing w:after="0"/>
        <w:tabs>
          <w:tab w:leader="none" w:pos="1020" w:val="left"/>
        </w:tabs>
        <w:numPr>
          <w:ilvl w:val="0"/>
          <w:numId w:val="17"/>
        </w:numPr>
        <w:rPr>
          <w:rFonts w:ascii="Times New Roman" w:cs="Times New Roman" w:eastAsia="Times New Roman" w:hAnsi="Times New Roman"/>
          <w:sz w:val="15"/>
          <w:szCs w:val="15"/>
          <w:color w:val="auto"/>
        </w:rPr>
      </w:pPr>
      <w:r>
        <w:rPr>
          <w:rFonts w:ascii="Calibri" w:cs="Calibri" w:eastAsia="Calibri" w:hAnsi="Calibri"/>
          <w:sz w:val="15"/>
          <w:szCs w:val="15"/>
          <w:i w:val="1"/>
          <w:iCs w:val="1"/>
          <w:color w:val="auto"/>
        </w:rPr>
        <w:t xml:space="preserve">Ownership &amp; Accountability. </w:t>
      </w:r>
      <w:r>
        <w:rPr>
          <w:rFonts w:ascii="Calibri" w:cs="Calibri" w:eastAsia="Calibri" w:hAnsi="Calibri"/>
          <w:sz w:val="15"/>
          <w:szCs w:val="15"/>
          <w:color w:val="auto"/>
        </w:rPr>
        <w:t>Actvate an ownership-oriented approach to diversity, equity, inclusion, and belonging.</w:t>
      </w:r>
    </w:p>
    <w:p>
      <w:pPr>
        <w:spacing w:after="0" w:line="104" w:lineRule="exact"/>
        <w:rPr>
          <w:rFonts w:ascii="Times New Roman" w:cs="Times New Roman" w:eastAsia="Times New Roman" w:hAnsi="Times New Roman"/>
          <w:sz w:val="15"/>
          <w:szCs w:val="15"/>
          <w:color w:val="auto"/>
        </w:rPr>
      </w:pPr>
    </w:p>
    <w:p>
      <w:pPr>
        <w:ind w:left="1020" w:hanging="518"/>
        <w:spacing w:after="0"/>
        <w:tabs>
          <w:tab w:leader="none" w:pos="1020" w:val="left"/>
        </w:tabs>
        <w:numPr>
          <w:ilvl w:val="0"/>
          <w:numId w:val="17"/>
        </w:numPr>
        <w:rPr>
          <w:rFonts w:ascii="Times New Roman" w:cs="Times New Roman" w:eastAsia="Times New Roman" w:hAnsi="Times New Roman"/>
          <w:sz w:val="15"/>
          <w:szCs w:val="15"/>
          <w:color w:val="auto"/>
        </w:rPr>
      </w:pPr>
      <w:r>
        <w:rPr>
          <w:rFonts w:ascii="Calibri" w:cs="Calibri" w:eastAsia="Calibri" w:hAnsi="Calibri"/>
          <w:sz w:val="15"/>
          <w:szCs w:val="15"/>
          <w:i w:val="1"/>
          <w:iCs w:val="1"/>
          <w:color w:val="auto"/>
        </w:rPr>
        <w:t xml:space="preserve">Ant-Racism. </w:t>
      </w:r>
      <w:r>
        <w:rPr>
          <w:rFonts w:ascii="Calibri" w:cs="Calibri" w:eastAsia="Calibri" w:hAnsi="Calibri"/>
          <w:sz w:val="15"/>
          <w:szCs w:val="15"/>
          <w:color w:val="auto"/>
        </w:rPr>
        <w:t>Cultvate ant-racism throughout the organizaton.</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Our commitment to these eforts helps us atract and retain the best talent, enables employees to realize their full potental, and drives high performance through innovaton and collaboraton. In 2023, based on data from U.S. CarGurus employees who chose to self-identfy (85.4%), representaton among women and non-binary employees decreased year-over-year (37.4% to 36.6%) and we increased representaton among traditonally marginalized racial/ethnic groups year-over-year (34.4% to 35.4%) within our U.S. workforce. We also saw year-over-year increases in the U.S. among women and non-binary employees in technical roles (26.2% to 27.3%) and among traditonally marginalized racial/ethnic groups in technical roles (49.4% to 49.9%) as well as a year-over-year decrease in management-level roles (21.6% to 19.0%).</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b w:val="1"/>
          <w:bCs w:val="1"/>
          <w:i w:val="1"/>
          <w:iCs w:val="1"/>
          <w:color w:val="auto"/>
        </w:rPr>
        <w:t>Compensaton and Benefts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The success of our business is fundamentally connected to the well-being of our people. Accordingly, we provide our eligible employees with compettve wages and access to fexible and convenient medical programs intended to meet their needs and the needs of their families. In additon to standard medical coverage, we ofer the following benefts to our U.S. employees (availability internatonally varies): dental and vision coverage; health savings and fexible spending accounts; paid tme of; fexible hybrid work schedules or remote work on a case-by-case basis; employee assistance programs; short-term and long-term disability insurance; term life insurance; and fertlity health and family-forming benefts; as well as company-paid access to certain wellness and family care resources.</w:t>
      </w:r>
    </w:p>
    <w:p>
      <w:pPr>
        <w:spacing w:after="0" w:line="185" w:lineRule="exact"/>
        <w:rPr>
          <w:sz w:val="20"/>
          <w:szCs w:val="20"/>
          <w:color w:val="auto"/>
        </w:rPr>
      </w:pPr>
    </w:p>
    <w:p>
      <w:pPr>
        <w:jc w:val="center"/>
        <w:spacing w:after="0"/>
        <w:rPr>
          <w:sz w:val="20"/>
          <w:szCs w:val="20"/>
          <w:color w:val="auto"/>
        </w:rPr>
      </w:pPr>
      <w:r>
        <w:rPr>
          <w:rFonts w:ascii="Calibri" w:cs="Calibri" w:eastAsia="Calibri" w:hAnsi="Calibri"/>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408940</wp:posOffset>
            </wp:positionV>
            <wp:extent cx="7178040" cy="400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053" w:right="319" w:bottom="1440" w:gutter="0" w:footer="0" w:header="0"/>
        </w:sectPr>
      </w:pPr>
    </w:p>
    <w:bookmarkStart w:id="20" w:name="page21"/>
    <w:bookmarkEnd w:id="20"/>
    <w:p>
      <w:pPr>
        <w:spacing w:after="0"/>
        <w:rPr>
          <w:sz w:val="20"/>
          <w:szCs w:val="20"/>
          <w:color w:val="auto"/>
        </w:rPr>
      </w:pPr>
      <w:r>
        <w:rPr>
          <w:rFonts w:ascii="Calibri" w:cs="Calibri" w:eastAsia="Calibri" w:hAnsi="Calibri"/>
          <w:sz w:val="15"/>
          <w:szCs w:val="15"/>
          <w:b w:val="1"/>
          <w:bCs w:val="1"/>
          <w:i w:val="1"/>
          <w:iCs w:val="1"/>
          <w:color w:val="auto"/>
        </w:rPr>
        <w:t>Employee Engagement</w:t>
      </w:r>
    </w:p>
    <w:p>
      <w:pPr>
        <w:spacing w:after="0" w:line="185" w:lineRule="exact"/>
        <w:rPr>
          <w:sz w:val="20"/>
          <w:szCs w:val="20"/>
          <w:color w:val="auto"/>
        </w:rPr>
      </w:pPr>
    </w:p>
    <w:p>
      <w:pPr>
        <w:jc w:val="both"/>
        <w:ind w:firstLine="511"/>
        <w:spacing w:after="0" w:line="269" w:lineRule="auto"/>
        <w:rPr>
          <w:sz w:val="20"/>
          <w:szCs w:val="20"/>
          <w:color w:val="auto"/>
        </w:rPr>
      </w:pPr>
      <w:r>
        <w:rPr>
          <w:rFonts w:ascii="MS PGothic" w:cs="MS PGothic" w:eastAsia="MS PGothic" w:hAnsi="MS PGothic"/>
          <w:sz w:val="15"/>
          <w:szCs w:val="15"/>
          <w:color w:val="auto"/>
        </w:rPr>
        <w:t xml:space="preserve">Each year, we conduct an employee engagement survey to help our management team gain insight into and gauge employees’ feelings, attudes, and behaviors around working at CarGurus. Our latest survey, completed in September 2023, had a partcipaton rate of approximately 90% of our eligible employees worldwide. We recognized strengths related to manager-employee relatonships and progress around learning and enablement. Based on employee feedback, we also identfed several company-wide opportunity areas to improve engagement and drive long-term success. Our culture and commitment to building a workplace where we can all thrive has been recognized externally with the following awards: </w:t>
      </w:r>
      <w:r>
        <w:rPr>
          <w:rFonts w:ascii="Calibri" w:cs="Calibri" w:eastAsia="Calibri" w:hAnsi="Calibri"/>
          <w:sz w:val="15"/>
          <w:szCs w:val="15"/>
          <w:i w:val="1"/>
          <w:iCs w:val="1"/>
          <w:color w:val="auto"/>
        </w:rPr>
        <w:t>Built In</w:t>
      </w:r>
      <w:r>
        <w:rPr>
          <w:rFonts w:ascii="MS PGothic" w:cs="MS PGothic" w:eastAsia="MS PGothic" w:hAnsi="MS PGothic"/>
          <w:sz w:val="15"/>
          <w:szCs w:val="15"/>
          <w:color w:val="auto"/>
        </w:rPr>
        <w:t xml:space="preserve"> </w:t>
      </w:r>
      <w:r>
        <w:rPr>
          <w:rFonts w:ascii="Calibri" w:cs="Calibri" w:eastAsia="Calibri" w:hAnsi="Calibri"/>
          <w:sz w:val="15"/>
          <w:szCs w:val="15"/>
          <w:i w:val="1"/>
          <w:iCs w:val="1"/>
          <w:color w:val="auto"/>
        </w:rPr>
        <w:t xml:space="preserve">Boston’s </w:t>
      </w:r>
      <w:r>
        <w:rPr>
          <w:rFonts w:ascii="MS PGothic" w:cs="MS PGothic" w:eastAsia="MS PGothic" w:hAnsi="MS PGothic"/>
          <w:sz w:val="15"/>
          <w:szCs w:val="15"/>
          <w:color w:val="auto"/>
        </w:rPr>
        <w:t>“Best Places to Work” in 2019 through 2023;</w:t>
      </w:r>
      <w:r>
        <w:rPr>
          <w:rFonts w:ascii="Calibri" w:cs="Calibri" w:eastAsia="Calibri" w:hAnsi="Calibri"/>
          <w:sz w:val="15"/>
          <w:szCs w:val="15"/>
          <w:i w:val="1"/>
          <w:iCs w:val="1"/>
          <w:color w:val="auto"/>
        </w:rPr>
        <w:t xml:space="preserve"> Boston Business Journal</w:t>
      </w:r>
      <w:r>
        <w:rPr>
          <w:rFonts w:ascii="MS PGothic" w:cs="MS PGothic" w:eastAsia="MS PGothic" w:hAnsi="MS PGothic"/>
          <w:sz w:val="15"/>
          <w:szCs w:val="15"/>
          <w:color w:val="auto"/>
        </w:rPr>
        <w:t>’s “Best Places to Work” in 2015 through 2019 and 2021 through 2023;</w:t>
      </w:r>
      <w:r>
        <w:rPr>
          <w:rFonts w:ascii="Calibri" w:cs="Calibri" w:eastAsia="Calibri" w:hAnsi="Calibri"/>
          <w:sz w:val="15"/>
          <w:szCs w:val="15"/>
          <w:i w:val="1"/>
          <w:iCs w:val="1"/>
          <w:color w:val="auto"/>
        </w:rPr>
        <w:t xml:space="preserve"> Boston Globe</w:t>
      </w:r>
      <w:r>
        <w:rPr>
          <w:rFonts w:ascii="MS PGothic" w:cs="MS PGothic" w:eastAsia="MS PGothic" w:hAnsi="MS PGothic"/>
          <w:sz w:val="15"/>
          <w:szCs w:val="15"/>
          <w:color w:val="auto"/>
        </w:rPr>
        <w:t>’s “Top Place to Work”</w:t>
      </w:r>
      <w:r>
        <w:rPr>
          <w:rFonts w:ascii="Calibri" w:cs="Calibri" w:eastAsia="Calibri" w:hAnsi="Calibri"/>
          <w:sz w:val="15"/>
          <w:szCs w:val="15"/>
          <w:i w:val="1"/>
          <w:iCs w:val="1"/>
          <w:color w:val="auto"/>
        </w:rPr>
        <w:t xml:space="preserve"> </w:t>
      </w:r>
      <w:r>
        <w:rPr>
          <w:rFonts w:ascii="MS PGothic" w:cs="MS PGothic" w:eastAsia="MS PGothic" w:hAnsi="MS PGothic"/>
          <w:sz w:val="15"/>
          <w:szCs w:val="15"/>
          <w:color w:val="auto"/>
        </w:rPr>
        <w:t xml:space="preserve">in 2014 through 2016, 2018, and 2022 through 2023; and multple awards from </w:t>
      </w:r>
      <w:r>
        <w:rPr>
          <w:rFonts w:ascii="Calibri" w:cs="Calibri" w:eastAsia="Calibri" w:hAnsi="Calibri"/>
          <w:sz w:val="15"/>
          <w:szCs w:val="15"/>
          <w:i w:val="1"/>
          <w:iCs w:val="1"/>
          <w:color w:val="auto"/>
        </w:rPr>
        <w:t>Comparably</w:t>
      </w:r>
      <w:r>
        <w:rPr>
          <w:rFonts w:ascii="MS PGothic" w:cs="MS PGothic" w:eastAsia="MS PGothic" w:hAnsi="MS PGothic"/>
          <w:sz w:val="15"/>
          <w:szCs w:val="15"/>
          <w:color w:val="auto"/>
        </w:rPr>
        <w:t xml:space="preserve"> including “Best Perks &amp; Benefts” in 2021 through 2023, “Best Work-Life Balance” in 2021 through 2023, and "Best Company Culture” in 2022 and 2023. In 2023 we were also named among </w:t>
      </w:r>
      <w:r>
        <w:rPr>
          <w:rFonts w:ascii="Calibri" w:cs="Calibri" w:eastAsia="Calibri" w:hAnsi="Calibri"/>
          <w:sz w:val="15"/>
          <w:szCs w:val="15"/>
          <w:i w:val="1"/>
          <w:iCs w:val="1"/>
          <w:color w:val="auto"/>
        </w:rPr>
        <w:t>Fortune’s</w:t>
      </w:r>
      <w:r>
        <w:rPr>
          <w:rFonts w:ascii="MS PGothic" w:cs="MS PGothic" w:eastAsia="MS PGothic" w:hAnsi="MS PGothic"/>
          <w:sz w:val="15"/>
          <w:szCs w:val="15"/>
          <w:color w:val="auto"/>
        </w:rPr>
        <w:t xml:space="preserve"> “Best Workplaces in Technology” and were recognized as a “DEI Champion” by </w:t>
      </w:r>
      <w:r>
        <w:rPr>
          <w:rFonts w:ascii="Calibri" w:cs="Calibri" w:eastAsia="Calibri" w:hAnsi="Calibri"/>
          <w:sz w:val="15"/>
          <w:szCs w:val="15"/>
          <w:i w:val="1"/>
          <w:iCs w:val="1"/>
          <w:color w:val="auto"/>
        </w:rPr>
        <w:t>The Boston Globe</w:t>
      </w:r>
      <w:r>
        <w:rPr>
          <w:rFonts w:ascii="MS PGothic" w:cs="MS PGothic" w:eastAsia="MS PGothic" w:hAnsi="MS PGothic"/>
          <w:sz w:val="15"/>
          <w:szCs w:val="15"/>
          <w:color w:val="auto"/>
        </w:rPr>
        <w:t xml:space="preserve"> and were awarded the </w:t>
      </w:r>
      <w:r>
        <w:rPr>
          <w:rFonts w:ascii="Calibri" w:cs="Calibri" w:eastAsia="Calibri" w:hAnsi="Calibri"/>
          <w:sz w:val="15"/>
          <w:szCs w:val="15"/>
          <w:i w:val="1"/>
          <w:iCs w:val="1"/>
          <w:color w:val="auto"/>
        </w:rPr>
        <w:t>“Human Rights Campaign’s Equality 100 Award: Leader in LGBTQ+ Workplace Inclusion”.</w:t>
      </w:r>
    </w:p>
    <w:p>
      <w:pPr>
        <w:spacing w:after="0" w:line="163" w:lineRule="exact"/>
        <w:rPr>
          <w:sz w:val="20"/>
          <w:szCs w:val="20"/>
          <w:color w:val="auto"/>
        </w:rPr>
      </w:pPr>
    </w:p>
    <w:p>
      <w:pPr>
        <w:spacing w:after="0"/>
        <w:rPr>
          <w:sz w:val="20"/>
          <w:szCs w:val="20"/>
          <w:color w:val="auto"/>
        </w:rPr>
      </w:pPr>
      <w:r>
        <w:rPr>
          <w:rFonts w:ascii="Calibri" w:cs="Calibri" w:eastAsia="Calibri" w:hAnsi="Calibri"/>
          <w:sz w:val="15"/>
          <w:szCs w:val="15"/>
          <w:b w:val="1"/>
          <w:bCs w:val="1"/>
          <w:i w:val="1"/>
          <w:iCs w:val="1"/>
          <w:color w:val="auto"/>
        </w:rPr>
        <w:t>Training and Development</w:t>
      </w:r>
    </w:p>
    <w:p>
      <w:pPr>
        <w:spacing w:after="0" w:line="185" w:lineRule="exact"/>
        <w:rPr>
          <w:sz w:val="20"/>
          <w:szCs w:val="20"/>
          <w:color w:val="auto"/>
        </w:rPr>
      </w:pPr>
    </w:p>
    <w:p>
      <w:pPr>
        <w:jc w:val="both"/>
        <w:ind w:firstLine="511"/>
        <w:spacing w:after="0" w:line="320" w:lineRule="auto"/>
        <w:rPr>
          <w:sz w:val="20"/>
          <w:szCs w:val="20"/>
          <w:color w:val="auto"/>
        </w:rPr>
      </w:pPr>
      <w:r>
        <w:rPr>
          <w:rFonts w:ascii="MS PGothic" w:cs="MS PGothic" w:eastAsia="MS PGothic" w:hAnsi="MS PGothic"/>
          <w:sz w:val="15"/>
          <w:szCs w:val="15"/>
          <w:color w:val="auto"/>
        </w:rPr>
        <w:t>Our people and talent strategy is essental for our ability to contnue to develop and market innovatve products and customer solutons. We contnually invest in our employees’ career growth and provide our team with a wide range of development opportunites, including mandatory quarterly compliance training courses as well as one-on-one, hybrid, social, and self-directed learning, mentoring, coaching, and external development.</w:t>
      </w:r>
    </w:p>
    <w:p>
      <w:pPr>
        <w:spacing w:after="0" w:line="136" w:lineRule="exact"/>
        <w:rPr>
          <w:sz w:val="20"/>
          <w:szCs w:val="20"/>
          <w:color w:val="auto"/>
        </w:rPr>
      </w:pPr>
    </w:p>
    <w:p>
      <w:pPr>
        <w:spacing w:after="0"/>
        <w:rPr>
          <w:sz w:val="20"/>
          <w:szCs w:val="20"/>
          <w:color w:val="auto"/>
        </w:rPr>
      </w:pPr>
      <w:r>
        <w:rPr>
          <w:rFonts w:ascii="Calibri" w:cs="Calibri" w:eastAsia="Calibri" w:hAnsi="Calibri"/>
          <w:sz w:val="15"/>
          <w:szCs w:val="15"/>
          <w:b w:val="1"/>
          <w:bCs w:val="1"/>
          <w:color w:val="auto"/>
        </w:rPr>
        <w:t>Technology and Product Development</w:t>
      </w:r>
    </w:p>
    <w:p>
      <w:pPr>
        <w:spacing w:after="0" w:line="185" w:lineRule="exact"/>
        <w:rPr>
          <w:sz w:val="20"/>
          <w:szCs w:val="20"/>
          <w:color w:val="auto"/>
        </w:rPr>
      </w:pPr>
    </w:p>
    <w:p>
      <w:pPr>
        <w:jc w:val="both"/>
        <w:ind w:firstLine="511"/>
        <w:spacing w:after="0" w:line="320" w:lineRule="auto"/>
        <w:rPr>
          <w:sz w:val="20"/>
          <w:szCs w:val="20"/>
          <w:color w:val="auto"/>
        </w:rPr>
      </w:pPr>
      <w:r>
        <w:rPr>
          <w:rFonts w:ascii="MS PGothic" w:cs="MS PGothic" w:eastAsia="MS PGothic" w:hAnsi="MS PGothic"/>
          <w:sz w:val="15"/>
          <w:szCs w:val="15"/>
          <w:color w:val="auto"/>
        </w:rPr>
        <w:t>We are a technology company focused on innovatve, actonable data analysis. We design our mobile and web products to create a transparent experience for both consumers and dealers. We believe in rapid development, release frequent updates, and have internal tools and automaton that allow us to efciently evolve our products. Our sofware is built using a combinaton of internally developed sofware, third-party sofware and services, and open-source sofware.</w:t>
      </w:r>
    </w:p>
    <w:p>
      <w:pPr>
        <w:spacing w:after="0" w:line="136" w:lineRule="exact"/>
        <w:rPr>
          <w:sz w:val="20"/>
          <w:szCs w:val="20"/>
          <w:color w:val="auto"/>
        </w:rPr>
      </w:pPr>
    </w:p>
    <w:p>
      <w:pPr>
        <w:spacing w:after="0"/>
        <w:rPr>
          <w:sz w:val="20"/>
          <w:szCs w:val="20"/>
          <w:color w:val="auto"/>
        </w:rPr>
      </w:pPr>
      <w:r>
        <w:rPr>
          <w:rFonts w:ascii="Calibri" w:cs="Calibri" w:eastAsia="Calibri" w:hAnsi="Calibri"/>
          <w:sz w:val="15"/>
          <w:szCs w:val="15"/>
          <w:b w:val="1"/>
          <w:bCs w:val="1"/>
          <w:i w:val="1"/>
          <w:iCs w:val="1"/>
          <w:color w:val="auto"/>
        </w:rPr>
        <w:t>Our Search Technology</w:t>
      </w:r>
    </w:p>
    <w:p>
      <w:pPr>
        <w:spacing w:after="0" w:line="185" w:lineRule="exact"/>
        <w:rPr>
          <w:sz w:val="20"/>
          <w:szCs w:val="20"/>
          <w:color w:val="auto"/>
        </w:rPr>
      </w:pPr>
    </w:p>
    <w:p>
      <w:pPr>
        <w:jc w:val="both"/>
        <w:ind w:firstLine="511"/>
        <w:spacing w:after="0" w:line="389" w:lineRule="auto"/>
        <w:rPr>
          <w:sz w:val="20"/>
          <w:szCs w:val="20"/>
          <w:color w:val="auto"/>
        </w:rPr>
      </w:pPr>
      <w:r>
        <w:rPr>
          <w:rFonts w:ascii="MS PGothic" w:cs="MS PGothic" w:eastAsia="MS PGothic" w:hAnsi="MS PGothic"/>
          <w:sz w:val="14"/>
          <w:szCs w:val="14"/>
          <w:color w:val="auto"/>
        </w:rPr>
        <w:t>Our search and ranking technology is served by a proprietary in‑memory search index soluton that is scalable, fast, and extensible. We have highly fexible interfaces that allow dealers to automatcally add their inventory to our index, enabling us to quickly integrate hundreds of inventory sources with minimal efort and easily support inventory growth.</w:t>
      </w:r>
    </w:p>
    <w:p>
      <w:pPr>
        <w:spacing w:after="0" w:line="98" w:lineRule="exact"/>
        <w:rPr>
          <w:sz w:val="20"/>
          <w:szCs w:val="20"/>
          <w:color w:val="auto"/>
        </w:rPr>
      </w:pPr>
    </w:p>
    <w:p>
      <w:pPr>
        <w:spacing w:after="0"/>
        <w:rPr>
          <w:sz w:val="20"/>
          <w:szCs w:val="20"/>
          <w:color w:val="auto"/>
        </w:rPr>
      </w:pPr>
      <w:r>
        <w:rPr>
          <w:rFonts w:ascii="Calibri" w:cs="Calibri" w:eastAsia="Calibri" w:hAnsi="Calibri"/>
          <w:sz w:val="15"/>
          <w:szCs w:val="15"/>
          <w:b w:val="1"/>
          <w:bCs w:val="1"/>
          <w:i w:val="1"/>
          <w:iCs w:val="1"/>
          <w:color w:val="auto"/>
        </w:rPr>
        <w:t>Our Mobile Technology</w:t>
      </w:r>
    </w:p>
    <w:p>
      <w:pPr>
        <w:spacing w:after="0" w:line="185" w:lineRule="exact"/>
        <w:rPr>
          <w:sz w:val="20"/>
          <w:szCs w:val="20"/>
          <w:color w:val="auto"/>
        </w:rPr>
      </w:pPr>
    </w:p>
    <w:p>
      <w:pPr>
        <w:jc w:val="both"/>
        <w:ind w:firstLine="511"/>
        <w:spacing w:after="0" w:line="347" w:lineRule="auto"/>
        <w:rPr>
          <w:sz w:val="20"/>
          <w:szCs w:val="20"/>
          <w:color w:val="auto"/>
        </w:rPr>
      </w:pPr>
      <w:r>
        <w:rPr>
          <w:rFonts w:ascii="MS PGothic" w:cs="MS PGothic" w:eastAsia="MS PGothic" w:hAnsi="MS PGothic"/>
          <w:sz w:val="15"/>
          <w:szCs w:val="15"/>
          <w:color w:val="auto"/>
        </w:rPr>
        <w:t>We have designed our marketplace to appeal to mobile users by developing our products with a mobile‑frst mindset. All of our search results pages use a single‑page applicaton type approach to eliminate page reloads and improve responsiveness. We also use techniques to load content onto a user’s mobile device more efciently.</w:t>
      </w:r>
    </w:p>
    <w:p>
      <w:pPr>
        <w:spacing w:after="0" w:line="118" w:lineRule="exact"/>
        <w:rPr>
          <w:sz w:val="20"/>
          <w:szCs w:val="20"/>
          <w:color w:val="auto"/>
        </w:rPr>
      </w:pPr>
    </w:p>
    <w:p>
      <w:pPr>
        <w:spacing w:after="0"/>
        <w:rPr>
          <w:sz w:val="20"/>
          <w:szCs w:val="20"/>
          <w:color w:val="auto"/>
        </w:rPr>
      </w:pPr>
      <w:r>
        <w:rPr>
          <w:rFonts w:ascii="Calibri" w:cs="Calibri" w:eastAsia="Calibri" w:hAnsi="Calibri"/>
          <w:sz w:val="15"/>
          <w:szCs w:val="15"/>
          <w:b w:val="1"/>
          <w:bCs w:val="1"/>
          <w:i w:val="1"/>
          <w:iCs w:val="1"/>
          <w:color w:val="auto"/>
        </w:rPr>
        <w:t>Our Integratons</w:t>
      </w:r>
    </w:p>
    <w:p>
      <w:pPr>
        <w:spacing w:after="0" w:line="185" w:lineRule="exact"/>
        <w:rPr>
          <w:sz w:val="20"/>
          <w:szCs w:val="20"/>
          <w:color w:val="auto"/>
        </w:rPr>
      </w:pPr>
    </w:p>
    <w:p>
      <w:pPr>
        <w:jc w:val="both"/>
        <w:ind w:firstLine="511"/>
        <w:spacing w:after="0" w:line="312" w:lineRule="auto"/>
        <w:rPr>
          <w:sz w:val="20"/>
          <w:szCs w:val="20"/>
          <w:color w:val="auto"/>
        </w:rPr>
      </w:pPr>
      <w:r>
        <w:rPr>
          <w:rFonts w:ascii="MS PGothic" w:cs="MS PGothic" w:eastAsia="MS PGothic" w:hAnsi="MS PGothic"/>
          <w:sz w:val="15"/>
          <w:szCs w:val="15"/>
          <w:color w:val="auto"/>
        </w:rPr>
        <w:t>We make available several applicaton program interfaces and web widgets that integrate with customer relatonship management and inventory management solutons, among other platorms. These integratons allow dealers to incorporate designated data and tools into the fabric of their marketng and customer engagement strategies. For example, our Deal Ratng Badges are used on dealer websites, which show our Deal Ratng for cars that have been rated as a Great Deal, Good Deal, or Fair Deal. Our Deal Ratng serves as trusted, third‑party validaton on dealer websites.</w:t>
      </w:r>
    </w:p>
    <w:p>
      <w:pPr>
        <w:spacing w:after="0" w:line="140" w:lineRule="exact"/>
        <w:rPr>
          <w:sz w:val="20"/>
          <w:szCs w:val="20"/>
          <w:color w:val="auto"/>
        </w:rPr>
      </w:pPr>
    </w:p>
    <w:p>
      <w:pPr>
        <w:jc w:val="center"/>
        <w:spacing w:after="0"/>
        <w:rPr>
          <w:sz w:val="20"/>
          <w:szCs w:val="20"/>
          <w:color w:val="auto"/>
        </w:rPr>
      </w:pPr>
      <w:r>
        <w:rPr>
          <w:rFonts w:ascii="MS PGothic" w:cs="MS PGothic" w:eastAsia="MS PGothic" w:hAnsi="MS PGothic"/>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429895</wp:posOffset>
            </wp:positionV>
            <wp:extent cx="7178040" cy="400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3" w:right="319" w:bottom="1440" w:gutter="0" w:footer="0" w:header="0"/>
        </w:sectPr>
      </w:pPr>
    </w:p>
    <w:bookmarkStart w:id="21" w:name="page22"/>
    <w:bookmarkEnd w:id="21"/>
    <w:p>
      <w:pPr>
        <w:spacing w:after="0"/>
        <w:rPr>
          <w:sz w:val="20"/>
          <w:szCs w:val="20"/>
          <w:color w:val="auto"/>
        </w:rPr>
      </w:pPr>
      <w:r>
        <w:rPr>
          <w:rFonts w:ascii="Calibri" w:cs="Calibri" w:eastAsia="Calibri" w:hAnsi="Calibri"/>
          <w:sz w:val="15"/>
          <w:szCs w:val="15"/>
          <w:b w:val="1"/>
          <w:bCs w:val="1"/>
          <w:i w:val="1"/>
          <w:iCs w:val="1"/>
          <w:color w:val="auto"/>
        </w:rPr>
        <w:t>Infrastructure</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Our development servers and U.S. and Canadian websites are hosted at third-party data centers in the U.S. near Dallas, Texas, as well as through third-party cloud services in the U.S. Our European websites are hosted on third-party cloud computng services near each of London, England, Dublin, Ireland, and Frankfurt, Germany. We use third-party content distributon networks to cache and serve many portons of our sites at locatons across the globe. We monitor and test at the applicaton, host, network, and full-site levels to maintain availability and promote performance. We use third-party cloud computng services for many data processing jobs and backup/recovery services.</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b w:val="1"/>
          <w:bCs w:val="1"/>
          <w:color w:val="auto"/>
        </w:rPr>
        <w:t>Intellectual Property</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We protect our intellectual property through a combinaton of patents, copyrights, trademarks, service marks, domain names, trade secret protectons, confdentality procedures, and contractual restrictons.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We have one issued U.S. patent with an expiraton date of May 2034, one pending U.S. patent applicaton, one pending U.S. provisional patent applicaton, and one pending internatonal patent applicaton. These applicatons cover proprietary technology that relates to various functonalites on our platorm, generally in connecton with pricing, ranking, and detectng fraud in online listngs. We intend to pursue additonal patent protecton to the extent we believe it would be benefcial to our compettve positon.</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We have a number of registered and unregistered trademarks, including “CarGurus,” the CarGurus logo, the CG logo, and related marks, which we have registered as trademarks in the U.S. and certain other jurisdictons. Additonally, we have a number of registered and unregistered trademarks, including “CarOfer” and the CarOfer logo, and related marks, which we have registered as trademarks in the U.S. We pursue additonal trademark registratons to the extent we believe doing so would be benefcial to our compettve positon. Our registered trademarks remain enforceable in the countries in which they are registered for as long as we contnue to use the marks, and pay the fees to maintain the registratons, in those countries.</w:t>
      </w:r>
    </w:p>
    <w:p>
      <w:pPr>
        <w:spacing w:after="0" w:line="185" w:lineRule="exact"/>
        <w:rPr>
          <w:sz w:val="20"/>
          <w:szCs w:val="20"/>
          <w:color w:val="auto"/>
        </w:rPr>
      </w:pPr>
    </w:p>
    <w:p>
      <w:pPr>
        <w:ind w:left="500"/>
        <w:spacing w:after="0"/>
        <w:rPr>
          <w:sz w:val="20"/>
          <w:szCs w:val="20"/>
          <w:color w:val="auto"/>
        </w:rPr>
      </w:pPr>
      <w:r>
        <w:rPr>
          <w:rFonts w:ascii="Calibri" w:cs="Calibri" w:eastAsia="Calibri" w:hAnsi="Calibri"/>
          <w:sz w:val="15"/>
          <w:szCs w:val="15"/>
          <w:color w:val="auto"/>
        </w:rPr>
        <w:t>We are the registered holder of several domestc and internatonal domain names that include “CarGurus” and variatons of our trade names.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In additon to the protecton provided by our intellectual property rights, we enter into confdentality and proprietary rights agreements with our employees and relevant consultants, contractors, and business partners. We control the use of our proprietary technology and intellectual property through provisions in contracts with our customers and partners and our general and product-specifc terms of use on our websites.</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b w:val="1"/>
          <w:bCs w:val="1"/>
          <w:color w:val="auto"/>
        </w:rPr>
        <w:t>Regulatory</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Various aspects of our business are, may become, or may be viewed by regulators from tme to tme as subject, directly or indirectly, to U.S. federal, state, local, and foreign laws and regulatons. In partcular, the advertsing and sale of new or used motor vehicles is highly regulated by the states and jurisdictons in which we do business. Although we believe that vehicle listngs on our sites are not themselves advertsements, regulatory authorites or third partes could take the positon that some of the laws or regulatons applicable to dealers or to the manner in which motor vehicles are advertsed and sold generally are directly applicable to our business. These advertsing laws and regulatons, which ofen originated decades before the emergence of the internet, are frequently subject to multple interpretatons, are not uniform across jurisdictons, sometmes impose inconsistent requirements with respect to new or used motor vehicles, and the manner in which they should be applied to our business model is not always clear. Regulators or other third partes could take, and on some occasions have taken, the positon that our marketplace or related products violate applicable brokering, bird-dog, consumer protecton, or advertsing laws or regulatons.</w:t>
      </w:r>
    </w:p>
    <w:p>
      <w:pPr>
        <w:spacing w:after="0" w:line="186"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Our wholesale operatons through CarOfer are regulated by the states in which we operate and by the U.S. federal government. These actvites may also be subject to state and local licensing requirements. Additonally, we may be subject to regulaton by individual state dealer licensing authorites and state and local consumer protecton agencies.</w:t>
      </w:r>
    </w:p>
    <w:p>
      <w:pPr>
        <w:spacing w:after="0" w:line="184" w:lineRule="exact"/>
        <w:rPr>
          <w:sz w:val="20"/>
          <w:szCs w:val="20"/>
          <w:color w:val="auto"/>
        </w:rPr>
      </w:pPr>
    </w:p>
    <w:p>
      <w:pPr>
        <w:jc w:val="center"/>
        <w:spacing w:after="0"/>
        <w:rPr>
          <w:sz w:val="20"/>
          <w:szCs w:val="20"/>
          <w:color w:val="auto"/>
        </w:rPr>
      </w:pPr>
      <w:r>
        <w:rPr>
          <w:rFonts w:ascii="Calibri" w:cs="Calibri" w:eastAsia="Calibri" w:hAnsi="Calibri"/>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408940</wp:posOffset>
            </wp:positionV>
            <wp:extent cx="7178040" cy="400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3" w:right="319" w:bottom="1440" w:gutter="0" w:footer="0" w:header="0"/>
        </w:sectPr>
      </w:pPr>
    </w:p>
    <w:bookmarkStart w:id="22" w:name="page23"/>
    <w:bookmarkEnd w:id="22"/>
    <w:p>
      <w:pPr>
        <w:jc w:val="both"/>
        <w:ind w:firstLine="511"/>
        <w:spacing w:after="0" w:line="241" w:lineRule="auto"/>
        <w:rPr>
          <w:sz w:val="20"/>
          <w:szCs w:val="20"/>
          <w:color w:val="auto"/>
        </w:rPr>
      </w:pPr>
      <w:r>
        <w:rPr>
          <w:rFonts w:ascii="Calibri" w:cs="Calibri" w:eastAsia="Calibri" w:hAnsi="Calibri"/>
          <w:sz w:val="15"/>
          <w:szCs w:val="15"/>
          <w:color w:val="auto"/>
        </w:rPr>
        <w:t>In order to operate in this regulated environment, we develop our products and services with a view toward appropriately managing the risk that our regulatory compliance, or the regulatory compliance of the dealers whose inventory is listed on our websites, could be challenged.</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We consider applicable advertsing and consumer protecton laws and regulatons in designing our products and services. With respect to paid advertsing, other than Featured Listngs, Featured Priority Listngs, and products marketed under our RPM and digital advertsing suite, we believe that most of the content displayed on the websites we operate does not consttute paid advertsing for the sale of motor vehicles. Nevertheless, we endeavor to design our website content in a manner that would comply with relevant advertsing regulatons and consumer protecton laws if, and to the extent that, the content is considered to be vehicle sales advertsing.</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Our websites and mobile applicatons enable us, dealers, and users to send and receive text messages and other mobile phone communicatons, which requires us to comply with the Telephone Consumer Protecton Act, or TCPA, in the U.S. The TCPA, as interpreted and implemented by the Federal Communicatons Commission, or the FCC, and federal and state courts, imposes signifcant restrictons on utlizaton of telephone calls and text messages to residental and mobile telephone numbers as a means of communicaton, partcularly when the prior express consent of the person being contacted has not been obtained.</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In additon, we are subject to numerous federal, natonal, state, and local laws and regulatons in the U.S. and around the world regarding privacy and the collecton, processing, storage, sharing, disclosure, use, cross-border transfer, and protecton of personal informaton and other data. While the scope of these laws and regulatons is changing and remains subject to difering interpretatons, we seek to comply with industry standards and all applicable laws, policies, legal obligatons, and industry codes of conduct relatng to privacy and data protecton. We are also subject to the terms of our privacy policies and privacy-related obligatons to third partes.</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b w:val="1"/>
          <w:bCs w:val="1"/>
          <w:color w:val="auto"/>
        </w:rPr>
        <w:t>Informaton about Our Executve Ofcers (as of February 23, 2024)</w:t>
      </w:r>
    </w:p>
    <w:p>
      <w:pPr>
        <w:spacing w:after="0" w:line="197" w:lineRule="exact"/>
        <w:rPr>
          <w:sz w:val="20"/>
          <w:szCs w:val="20"/>
          <w:color w:val="auto"/>
        </w:rPr>
      </w:pPr>
    </w:p>
    <w:tbl>
      <w:tblPr>
        <w:tblLayout w:type="fixed"/>
        <w:tblInd w:w="500" w:type="dxa"/>
        <w:tblCellMar>
          <w:top w:w="0" w:type="dxa"/>
          <w:left w:w="0" w:type="dxa"/>
          <w:bottom w:w="0" w:type="dxa"/>
          <w:right w:w="0" w:type="dxa"/>
        </w:tblCellMar>
      </w:tblPr>
      <w:tr>
        <w:trPr>
          <w:trHeight w:val="183"/>
        </w:trPr>
        <w:tc>
          <w:tcPr>
            <w:tcW w:w="1780" w:type="dxa"/>
            <w:vAlign w:val="bottom"/>
          </w:tcPr>
          <w:p>
            <w:pPr>
              <w:ind w:left="20"/>
              <w:spacing w:after="0"/>
              <w:rPr>
                <w:sz w:val="20"/>
                <w:szCs w:val="20"/>
                <w:color w:val="auto"/>
              </w:rPr>
            </w:pPr>
            <w:r>
              <w:rPr>
                <w:rFonts w:ascii="Calibri" w:cs="Calibri" w:eastAsia="Calibri" w:hAnsi="Calibri"/>
                <w:sz w:val="15"/>
                <w:szCs w:val="15"/>
                <w:b w:val="1"/>
                <w:bCs w:val="1"/>
                <w:color w:val="auto"/>
              </w:rPr>
              <w:t>Name</w:t>
            </w:r>
          </w:p>
        </w:tc>
        <w:tc>
          <w:tcPr>
            <w:tcW w:w="34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Calibri" w:cs="Calibri" w:eastAsia="Calibri" w:hAnsi="Calibri"/>
                <w:sz w:val="15"/>
                <w:szCs w:val="15"/>
                <w:b w:val="1"/>
                <w:bCs w:val="1"/>
                <w:color w:val="auto"/>
              </w:rPr>
              <w:t>Age</w:t>
            </w:r>
          </w:p>
        </w:tc>
        <w:tc>
          <w:tcPr>
            <w:tcW w:w="280" w:type="dxa"/>
            <w:vAlign w:val="bottom"/>
          </w:tcPr>
          <w:p>
            <w:pPr>
              <w:spacing w:after="0"/>
              <w:rPr>
                <w:sz w:val="15"/>
                <w:szCs w:val="15"/>
                <w:color w:val="auto"/>
              </w:rPr>
            </w:pPr>
          </w:p>
        </w:tc>
        <w:tc>
          <w:tcPr>
            <w:tcW w:w="6880" w:type="dxa"/>
            <w:vAlign w:val="bottom"/>
          </w:tcPr>
          <w:p>
            <w:pPr>
              <w:ind w:left="20"/>
              <w:spacing w:after="0"/>
              <w:rPr>
                <w:sz w:val="20"/>
                <w:szCs w:val="20"/>
                <w:color w:val="auto"/>
              </w:rPr>
            </w:pPr>
            <w:r>
              <w:rPr>
                <w:rFonts w:ascii="Calibri" w:cs="Calibri" w:eastAsia="Calibri" w:hAnsi="Calibri"/>
                <w:sz w:val="15"/>
                <w:szCs w:val="15"/>
                <w:b w:val="1"/>
                <w:bCs w:val="1"/>
                <w:color w:val="auto"/>
              </w:rPr>
              <w:t>Positons(s)</w:t>
            </w:r>
          </w:p>
        </w:tc>
      </w:tr>
      <w:tr>
        <w:trPr>
          <w:trHeight w:val="31"/>
        </w:trPr>
        <w:tc>
          <w:tcPr>
            <w:tcW w:w="17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6880" w:type="dxa"/>
            <w:vAlign w:val="bottom"/>
            <w:tcBorders>
              <w:bottom w:val="single" w:sz="8" w:color="auto"/>
            </w:tcBorders>
          </w:tcPr>
          <w:p>
            <w:pPr>
              <w:spacing w:after="0"/>
              <w:rPr>
                <w:sz w:val="2"/>
                <w:szCs w:val="2"/>
                <w:color w:val="auto"/>
              </w:rPr>
            </w:pPr>
          </w:p>
        </w:tc>
      </w:tr>
      <w:tr>
        <w:trPr>
          <w:trHeight w:val="175"/>
        </w:trPr>
        <w:tc>
          <w:tcPr>
            <w:tcW w:w="1780" w:type="dxa"/>
            <w:vAlign w:val="bottom"/>
          </w:tcPr>
          <w:p>
            <w:pPr>
              <w:ind w:left="20"/>
              <w:spacing w:after="0" w:line="174" w:lineRule="exact"/>
              <w:rPr>
                <w:sz w:val="20"/>
                <w:szCs w:val="20"/>
                <w:color w:val="auto"/>
              </w:rPr>
            </w:pPr>
            <w:r>
              <w:rPr>
                <w:rFonts w:ascii="Calibri" w:cs="Calibri" w:eastAsia="Calibri" w:hAnsi="Calibri"/>
                <w:sz w:val="15"/>
                <w:szCs w:val="15"/>
                <w:color w:val="auto"/>
              </w:rPr>
              <w:t>Jason Trevisan</w:t>
            </w:r>
          </w:p>
        </w:tc>
        <w:tc>
          <w:tcPr>
            <w:tcW w:w="340" w:type="dxa"/>
            <w:vAlign w:val="bottom"/>
          </w:tcPr>
          <w:p>
            <w:pPr>
              <w:spacing w:after="0"/>
              <w:rPr>
                <w:sz w:val="15"/>
                <w:szCs w:val="15"/>
                <w:color w:val="auto"/>
              </w:rPr>
            </w:pPr>
          </w:p>
        </w:tc>
        <w:tc>
          <w:tcPr>
            <w:tcW w:w="960" w:type="dxa"/>
            <w:vAlign w:val="bottom"/>
          </w:tcPr>
          <w:p>
            <w:pPr>
              <w:jc w:val="center"/>
              <w:spacing w:after="0" w:line="174" w:lineRule="exact"/>
              <w:rPr>
                <w:sz w:val="20"/>
                <w:szCs w:val="20"/>
                <w:color w:val="auto"/>
              </w:rPr>
            </w:pPr>
            <w:r>
              <w:rPr>
                <w:rFonts w:ascii="Calibri" w:cs="Calibri" w:eastAsia="Calibri" w:hAnsi="Calibri"/>
                <w:sz w:val="15"/>
                <w:szCs w:val="15"/>
                <w:color w:val="auto"/>
                <w:w w:val="91"/>
              </w:rPr>
              <w:t>49</w:t>
            </w:r>
          </w:p>
        </w:tc>
        <w:tc>
          <w:tcPr>
            <w:tcW w:w="280" w:type="dxa"/>
            <w:vAlign w:val="bottom"/>
          </w:tcPr>
          <w:p>
            <w:pPr>
              <w:spacing w:after="0"/>
              <w:rPr>
                <w:sz w:val="15"/>
                <w:szCs w:val="15"/>
                <w:color w:val="auto"/>
              </w:rPr>
            </w:pPr>
          </w:p>
        </w:tc>
        <w:tc>
          <w:tcPr>
            <w:tcW w:w="6880" w:type="dxa"/>
            <w:vAlign w:val="bottom"/>
          </w:tcPr>
          <w:p>
            <w:pPr>
              <w:ind w:left="20"/>
              <w:spacing w:after="0" w:line="174" w:lineRule="exact"/>
              <w:rPr>
                <w:sz w:val="20"/>
                <w:szCs w:val="20"/>
                <w:color w:val="auto"/>
              </w:rPr>
            </w:pPr>
            <w:r>
              <w:rPr>
                <w:rFonts w:ascii="Calibri" w:cs="Calibri" w:eastAsia="Calibri" w:hAnsi="Calibri"/>
                <w:sz w:val="15"/>
                <w:szCs w:val="15"/>
                <w:color w:val="auto"/>
              </w:rPr>
              <w:t>Chief Executve Ofcer and Director</w:t>
            </w:r>
          </w:p>
        </w:tc>
      </w:tr>
      <w:tr>
        <w:trPr>
          <w:trHeight w:val="200"/>
        </w:trPr>
        <w:tc>
          <w:tcPr>
            <w:tcW w:w="1780" w:type="dxa"/>
            <w:vAlign w:val="bottom"/>
          </w:tcPr>
          <w:p>
            <w:pPr>
              <w:ind w:left="20"/>
              <w:spacing w:after="0"/>
              <w:rPr>
                <w:sz w:val="20"/>
                <w:szCs w:val="20"/>
                <w:color w:val="auto"/>
              </w:rPr>
            </w:pPr>
            <w:r>
              <w:rPr>
                <w:rFonts w:ascii="Calibri" w:cs="Calibri" w:eastAsia="Calibri" w:hAnsi="Calibri"/>
                <w:sz w:val="15"/>
                <w:szCs w:val="15"/>
                <w:color w:val="auto"/>
              </w:rPr>
              <w:t>Langley Steinert</w:t>
            </w:r>
          </w:p>
        </w:tc>
        <w:tc>
          <w:tcPr>
            <w:tcW w:w="1300" w:type="dxa"/>
            <w:vAlign w:val="bottom"/>
            <w:gridSpan w:val="2"/>
          </w:tcPr>
          <w:p>
            <w:pPr>
              <w:jc w:val="center"/>
              <w:ind w:left="243"/>
              <w:spacing w:after="0"/>
              <w:rPr>
                <w:sz w:val="20"/>
                <w:szCs w:val="20"/>
                <w:color w:val="auto"/>
              </w:rPr>
            </w:pPr>
            <w:r>
              <w:rPr>
                <w:rFonts w:ascii="Calibri" w:cs="Calibri" w:eastAsia="Calibri" w:hAnsi="Calibri"/>
                <w:sz w:val="15"/>
                <w:szCs w:val="15"/>
                <w:color w:val="auto"/>
                <w:w w:val="91"/>
              </w:rPr>
              <w:t>60</w:t>
            </w:r>
          </w:p>
        </w:tc>
        <w:tc>
          <w:tcPr>
            <w:tcW w:w="280" w:type="dxa"/>
            <w:vAlign w:val="bottom"/>
          </w:tcPr>
          <w:p>
            <w:pPr>
              <w:spacing w:after="0"/>
              <w:rPr>
                <w:sz w:val="17"/>
                <w:szCs w:val="17"/>
                <w:color w:val="auto"/>
              </w:rPr>
            </w:pPr>
          </w:p>
        </w:tc>
        <w:tc>
          <w:tcPr>
            <w:tcW w:w="6880" w:type="dxa"/>
            <w:vAlign w:val="bottom"/>
          </w:tcPr>
          <w:p>
            <w:pPr>
              <w:ind w:left="20"/>
              <w:spacing w:after="0"/>
              <w:rPr>
                <w:sz w:val="20"/>
                <w:szCs w:val="20"/>
                <w:color w:val="auto"/>
              </w:rPr>
            </w:pPr>
            <w:r>
              <w:rPr>
                <w:rFonts w:ascii="Calibri" w:cs="Calibri" w:eastAsia="Calibri" w:hAnsi="Calibri"/>
                <w:sz w:val="15"/>
                <w:szCs w:val="15"/>
                <w:color w:val="auto"/>
              </w:rPr>
              <w:t>Executve Chair and Chair of the Board of Directors</w:t>
            </w:r>
          </w:p>
        </w:tc>
      </w:tr>
      <w:tr>
        <w:trPr>
          <w:trHeight w:val="207"/>
        </w:trPr>
        <w:tc>
          <w:tcPr>
            <w:tcW w:w="1780" w:type="dxa"/>
            <w:vAlign w:val="bottom"/>
          </w:tcPr>
          <w:p>
            <w:pPr>
              <w:ind w:left="20"/>
              <w:spacing w:after="0"/>
              <w:rPr>
                <w:sz w:val="20"/>
                <w:szCs w:val="20"/>
                <w:color w:val="auto"/>
              </w:rPr>
            </w:pPr>
            <w:r>
              <w:rPr>
                <w:rFonts w:ascii="Calibri" w:cs="Calibri" w:eastAsia="Calibri" w:hAnsi="Calibri"/>
                <w:sz w:val="15"/>
                <w:szCs w:val="15"/>
                <w:color w:val="auto"/>
              </w:rPr>
              <w:t>Andrea Eldridge</w:t>
            </w:r>
          </w:p>
        </w:tc>
        <w:tc>
          <w:tcPr>
            <w:tcW w:w="1300" w:type="dxa"/>
            <w:vAlign w:val="bottom"/>
            <w:gridSpan w:val="2"/>
          </w:tcPr>
          <w:p>
            <w:pPr>
              <w:jc w:val="center"/>
              <w:ind w:left="243"/>
              <w:spacing w:after="0"/>
              <w:rPr>
                <w:sz w:val="20"/>
                <w:szCs w:val="20"/>
                <w:color w:val="auto"/>
              </w:rPr>
            </w:pPr>
            <w:r>
              <w:rPr>
                <w:rFonts w:ascii="Calibri" w:cs="Calibri" w:eastAsia="Calibri" w:hAnsi="Calibri"/>
                <w:sz w:val="15"/>
                <w:szCs w:val="15"/>
                <w:color w:val="auto"/>
                <w:w w:val="91"/>
              </w:rPr>
              <w:t>49</w:t>
            </w:r>
          </w:p>
        </w:tc>
        <w:tc>
          <w:tcPr>
            <w:tcW w:w="280" w:type="dxa"/>
            <w:vAlign w:val="bottom"/>
          </w:tcPr>
          <w:p>
            <w:pPr>
              <w:spacing w:after="0"/>
              <w:rPr>
                <w:sz w:val="18"/>
                <w:szCs w:val="18"/>
                <w:color w:val="auto"/>
              </w:rPr>
            </w:pPr>
          </w:p>
        </w:tc>
        <w:tc>
          <w:tcPr>
            <w:tcW w:w="6880" w:type="dxa"/>
            <w:vAlign w:val="bottom"/>
          </w:tcPr>
          <w:p>
            <w:pPr>
              <w:ind w:left="20"/>
              <w:spacing w:after="0"/>
              <w:rPr>
                <w:sz w:val="20"/>
                <w:szCs w:val="20"/>
                <w:color w:val="auto"/>
              </w:rPr>
            </w:pPr>
            <w:r>
              <w:rPr>
                <w:rFonts w:ascii="Calibri" w:cs="Calibri" w:eastAsia="Calibri" w:hAnsi="Calibri"/>
                <w:sz w:val="15"/>
                <w:szCs w:val="15"/>
                <w:color w:val="auto"/>
              </w:rPr>
              <w:t>Chief People Ofcer</w:t>
            </w:r>
          </w:p>
        </w:tc>
      </w:tr>
      <w:tr>
        <w:trPr>
          <w:trHeight w:val="207"/>
        </w:trPr>
        <w:tc>
          <w:tcPr>
            <w:tcW w:w="1780" w:type="dxa"/>
            <w:vAlign w:val="bottom"/>
          </w:tcPr>
          <w:p>
            <w:pPr>
              <w:ind w:left="20"/>
              <w:spacing w:after="0"/>
              <w:rPr>
                <w:sz w:val="20"/>
                <w:szCs w:val="20"/>
                <w:color w:val="auto"/>
              </w:rPr>
            </w:pPr>
            <w:r>
              <w:rPr>
                <w:rFonts w:ascii="Calibri" w:cs="Calibri" w:eastAsia="Calibri" w:hAnsi="Calibri"/>
                <w:sz w:val="15"/>
                <w:szCs w:val="15"/>
                <w:color w:val="auto"/>
              </w:rPr>
              <w:t>Ismail Elshareef</w:t>
            </w:r>
          </w:p>
        </w:tc>
        <w:tc>
          <w:tcPr>
            <w:tcW w:w="1300" w:type="dxa"/>
            <w:vAlign w:val="bottom"/>
            <w:gridSpan w:val="2"/>
          </w:tcPr>
          <w:p>
            <w:pPr>
              <w:jc w:val="center"/>
              <w:ind w:left="243"/>
              <w:spacing w:after="0"/>
              <w:rPr>
                <w:sz w:val="20"/>
                <w:szCs w:val="20"/>
                <w:color w:val="auto"/>
              </w:rPr>
            </w:pPr>
            <w:r>
              <w:rPr>
                <w:rFonts w:ascii="Calibri" w:cs="Calibri" w:eastAsia="Calibri" w:hAnsi="Calibri"/>
                <w:sz w:val="15"/>
                <w:szCs w:val="15"/>
                <w:color w:val="auto"/>
                <w:w w:val="91"/>
              </w:rPr>
              <w:t>48</w:t>
            </w:r>
          </w:p>
        </w:tc>
        <w:tc>
          <w:tcPr>
            <w:tcW w:w="280" w:type="dxa"/>
            <w:vAlign w:val="bottom"/>
          </w:tcPr>
          <w:p>
            <w:pPr>
              <w:spacing w:after="0"/>
              <w:rPr>
                <w:sz w:val="18"/>
                <w:szCs w:val="18"/>
                <w:color w:val="auto"/>
              </w:rPr>
            </w:pPr>
          </w:p>
        </w:tc>
        <w:tc>
          <w:tcPr>
            <w:tcW w:w="6880" w:type="dxa"/>
            <w:vAlign w:val="bottom"/>
          </w:tcPr>
          <w:p>
            <w:pPr>
              <w:ind w:left="20"/>
              <w:spacing w:after="0"/>
              <w:rPr>
                <w:sz w:val="20"/>
                <w:szCs w:val="20"/>
                <w:color w:val="auto"/>
              </w:rPr>
            </w:pPr>
            <w:r>
              <w:rPr>
                <w:rFonts w:ascii="Calibri" w:cs="Calibri" w:eastAsia="Calibri" w:hAnsi="Calibri"/>
                <w:sz w:val="15"/>
                <w:szCs w:val="15"/>
                <w:color w:val="auto"/>
              </w:rPr>
              <w:t>Chief Product Ofcer</w:t>
            </w:r>
          </w:p>
        </w:tc>
      </w:tr>
      <w:tr>
        <w:trPr>
          <w:trHeight w:val="207"/>
        </w:trPr>
        <w:tc>
          <w:tcPr>
            <w:tcW w:w="1780" w:type="dxa"/>
            <w:vAlign w:val="bottom"/>
          </w:tcPr>
          <w:p>
            <w:pPr>
              <w:ind w:left="20"/>
              <w:spacing w:after="0"/>
              <w:rPr>
                <w:sz w:val="20"/>
                <w:szCs w:val="20"/>
                <w:color w:val="auto"/>
              </w:rPr>
            </w:pPr>
            <w:r>
              <w:rPr>
                <w:rFonts w:ascii="Calibri" w:cs="Calibri" w:eastAsia="Calibri" w:hAnsi="Calibri"/>
                <w:sz w:val="15"/>
                <w:szCs w:val="15"/>
                <w:color w:val="auto"/>
              </w:rPr>
              <w:t>Zachary Hallowell</w:t>
            </w:r>
          </w:p>
        </w:tc>
        <w:tc>
          <w:tcPr>
            <w:tcW w:w="1300" w:type="dxa"/>
            <w:vAlign w:val="bottom"/>
            <w:gridSpan w:val="2"/>
          </w:tcPr>
          <w:p>
            <w:pPr>
              <w:jc w:val="center"/>
              <w:ind w:left="243"/>
              <w:spacing w:after="0"/>
              <w:rPr>
                <w:sz w:val="20"/>
                <w:szCs w:val="20"/>
                <w:color w:val="auto"/>
              </w:rPr>
            </w:pPr>
            <w:r>
              <w:rPr>
                <w:rFonts w:ascii="Calibri" w:cs="Calibri" w:eastAsia="Calibri" w:hAnsi="Calibri"/>
                <w:sz w:val="15"/>
                <w:szCs w:val="15"/>
                <w:color w:val="auto"/>
                <w:w w:val="91"/>
              </w:rPr>
              <w:t>48</w:t>
            </w:r>
          </w:p>
        </w:tc>
        <w:tc>
          <w:tcPr>
            <w:tcW w:w="280" w:type="dxa"/>
            <w:vAlign w:val="bottom"/>
          </w:tcPr>
          <w:p>
            <w:pPr>
              <w:spacing w:after="0"/>
              <w:rPr>
                <w:sz w:val="18"/>
                <w:szCs w:val="18"/>
                <w:color w:val="auto"/>
              </w:rPr>
            </w:pPr>
          </w:p>
        </w:tc>
        <w:tc>
          <w:tcPr>
            <w:tcW w:w="6880" w:type="dxa"/>
            <w:vAlign w:val="bottom"/>
          </w:tcPr>
          <w:p>
            <w:pPr>
              <w:ind w:left="20"/>
              <w:spacing w:after="0"/>
              <w:rPr>
                <w:sz w:val="20"/>
                <w:szCs w:val="20"/>
                <w:color w:val="auto"/>
              </w:rPr>
            </w:pPr>
            <w:r>
              <w:rPr>
                <w:rFonts w:ascii="Calibri" w:cs="Calibri" w:eastAsia="Calibri" w:hAnsi="Calibri"/>
                <w:sz w:val="15"/>
                <w:szCs w:val="15"/>
                <w:color w:val="auto"/>
              </w:rPr>
              <w:t>Chief Executve Ofcer, CarOfer</w:t>
            </w:r>
          </w:p>
        </w:tc>
      </w:tr>
      <w:tr>
        <w:trPr>
          <w:trHeight w:val="207"/>
        </w:trPr>
        <w:tc>
          <w:tcPr>
            <w:tcW w:w="1780" w:type="dxa"/>
            <w:vAlign w:val="bottom"/>
          </w:tcPr>
          <w:p>
            <w:pPr>
              <w:ind w:left="20"/>
              <w:spacing w:after="0"/>
              <w:rPr>
                <w:sz w:val="20"/>
                <w:szCs w:val="20"/>
                <w:color w:val="auto"/>
              </w:rPr>
            </w:pPr>
            <w:r>
              <w:rPr>
                <w:rFonts w:ascii="Calibri" w:cs="Calibri" w:eastAsia="Calibri" w:hAnsi="Calibri"/>
                <w:sz w:val="15"/>
                <w:szCs w:val="15"/>
                <w:color w:val="auto"/>
              </w:rPr>
              <w:t>Elisa Palazzo</w:t>
            </w:r>
          </w:p>
        </w:tc>
        <w:tc>
          <w:tcPr>
            <w:tcW w:w="1300" w:type="dxa"/>
            <w:vAlign w:val="bottom"/>
            <w:gridSpan w:val="2"/>
          </w:tcPr>
          <w:p>
            <w:pPr>
              <w:jc w:val="center"/>
              <w:ind w:left="243"/>
              <w:spacing w:after="0"/>
              <w:rPr>
                <w:sz w:val="20"/>
                <w:szCs w:val="20"/>
                <w:color w:val="auto"/>
              </w:rPr>
            </w:pPr>
            <w:r>
              <w:rPr>
                <w:rFonts w:ascii="Calibri" w:cs="Calibri" w:eastAsia="Calibri" w:hAnsi="Calibri"/>
                <w:sz w:val="15"/>
                <w:szCs w:val="15"/>
                <w:color w:val="auto"/>
                <w:w w:val="91"/>
              </w:rPr>
              <w:t>42</w:t>
            </w:r>
          </w:p>
        </w:tc>
        <w:tc>
          <w:tcPr>
            <w:tcW w:w="280" w:type="dxa"/>
            <w:vAlign w:val="bottom"/>
          </w:tcPr>
          <w:p>
            <w:pPr>
              <w:spacing w:after="0"/>
              <w:rPr>
                <w:sz w:val="18"/>
                <w:szCs w:val="18"/>
                <w:color w:val="auto"/>
              </w:rPr>
            </w:pPr>
          </w:p>
        </w:tc>
        <w:tc>
          <w:tcPr>
            <w:tcW w:w="6880" w:type="dxa"/>
            <w:vAlign w:val="bottom"/>
          </w:tcPr>
          <w:p>
            <w:pPr>
              <w:ind w:left="20"/>
              <w:spacing w:after="0"/>
              <w:rPr>
                <w:sz w:val="20"/>
                <w:szCs w:val="20"/>
                <w:color w:val="auto"/>
              </w:rPr>
            </w:pPr>
            <w:r>
              <w:rPr>
                <w:rFonts w:ascii="Calibri" w:cs="Calibri" w:eastAsia="Calibri" w:hAnsi="Calibri"/>
                <w:sz w:val="15"/>
                <w:szCs w:val="15"/>
                <w:color w:val="auto"/>
              </w:rPr>
              <w:t>Chief Financial Ofcer</w:t>
            </w:r>
          </w:p>
        </w:tc>
      </w:tr>
      <w:tr>
        <w:trPr>
          <w:trHeight w:val="207"/>
        </w:trPr>
        <w:tc>
          <w:tcPr>
            <w:tcW w:w="1780" w:type="dxa"/>
            <w:vAlign w:val="bottom"/>
          </w:tcPr>
          <w:p>
            <w:pPr>
              <w:ind w:left="20"/>
              <w:spacing w:after="0"/>
              <w:rPr>
                <w:sz w:val="20"/>
                <w:szCs w:val="20"/>
                <w:color w:val="auto"/>
              </w:rPr>
            </w:pPr>
            <w:r>
              <w:rPr>
                <w:rFonts w:ascii="Calibri" w:cs="Calibri" w:eastAsia="Calibri" w:hAnsi="Calibri"/>
                <w:sz w:val="15"/>
                <w:szCs w:val="15"/>
                <w:color w:val="auto"/>
              </w:rPr>
              <w:t>Mathew Quinn</w:t>
            </w:r>
          </w:p>
        </w:tc>
        <w:tc>
          <w:tcPr>
            <w:tcW w:w="1300" w:type="dxa"/>
            <w:vAlign w:val="bottom"/>
            <w:gridSpan w:val="2"/>
          </w:tcPr>
          <w:p>
            <w:pPr>
              <w:jc w:val="center"/>
              <w:ind w:left="243"/>
              <w:spacing w:after="0"/>
              <w:rPr>
                <w:sz w:val="20"/>
                <w:szCs w:val="20"/>
                <w:color w:val="auto"/>
              </w:rPr>
            </w:pPr>
            <w:r>
              <w:rPr>
                <w:rFonts w:ascii="Calibri" w:cs="Calibri" w:eastAsia="Calibri" w:hAnsi="Calibri"/>
                <w:sz w:val="15"/>
                <w:szCs w:val="15"/>
                <w:color w:val="auto"/>
                <w:w w:val="91"/>
              </w:rPr>
              <w:t>52</w:t>
            </w:r>
          </w:p>
        </w:tc>
        <w:tc>
          <w:tcPr>
            <w:tcW w:w="280" w:type="dxa"/>
            <w:vAlign w:val="bottom"/>
          </w:tcPr>
          <w:p>
            <w:pPr>
              <w:spacing w:after="0"/>
              <w:rPr>
                <w:sz w:val="18"/>
                <w:szCs w:val="18"/>
                <w:color w:val="auto"/>
              </w:rPr>
            </w:pPr>
          </w:p>
        </w:tc>
        <w:tc>
          <w:tcPr>
            <w:tcW w:w="6880" w:type="dxa"/>
            <w:vAlign w:val="bottom"/>
          </w:tcPr>
          <w:p>
            <w:pPr>
              <w:ind w:left="20"/>
              <w:spacing w:after="0"/>
              <w:rPr>
                <w:sz w:val="20"/>
                <w:szCs w:val="20"/>
                <w:color w:val="auto"/>
              </w:rPr>
            </w:pPr>
            <w:r>
              <w:rPr>
                <w:rFonts w:ascii="Calibri" w:cs="Calibri" w:eastAsia="Calibri" w:hAnsi="Calibri"/>
                <w:sz w:val="15"/>
                <w:szCs w:val="15"/>
                <w:color w:val="auto"/>
              </w:rPr>
              <w:t>Chief Technology Ofcer</w:t>
            </w:r>
          </w:p>
        </w:tc>
      </w:tr>
      <w:tr>
        <w:trPr>
          <w:trHeight w:val="207"/>
        </w:trPr>
        <w:tc>
          <w:tcPr>
            <w:tcW w:w="1780" w:type="dxa"/>
            <w:vAlign w:val="bottom"/>
          </w:tcPr>
          <w:p>
            <w:pPr>
              <w:ind w:left="20"/>
              <w:spacing w:after="0"/>
              <w:rPr>
                <w:sz w:val="20"/>
                <w:szCs w:val="20"/>
                <w:color w:val="auto"/>
              </w:rPr>
            </w:pPr>
            <w:r>
              <w:rPr>
                <w:rFonts w:ascii="Calibri" w:cs="Calibri" w:eastAsia="Calibri" w:hAnsi="Calibri"/>
                <w:sz w:val="15"/>
                <w:szCs w:val="15"/>
                <w:color w:val="auto"/>
              </w:rPr>
              <w:t>Dafna Sarnof</w:t>
            </w:r>
          </w:p>
        </w:tc>
        <w:tc>
          <w:tcPr>
            <w:tcW w:w="1300" w:type="dxa"/>
            <w:vAlign w:val="bottom"/>
            <w:gridSpan w:val="2"/>
          </w:tcPr>
          <w:p>
            <w:pPr>
              <w:jc w:val="center"/>
              <w:ind w:left="243"/>
              <w:spacing w:after="0"/>
              <w:rPr>
                <w:sz w:val="20"/>
                <w:szCs w:val="20"/>
                <w:color w:val="auto"/>
              </w:rPr>
            </w:pPr>
            <w:r>
              <w:rPr>
                <w:rFonts w:ascii="Calibri" w:cs="Calibri" w:eastAsia="Calibri" w:hAnsi="Calibri"/>
                <w:sz w:val="15"/>
                <w:szCs w:val="15"/>
                <w:color w:val="auto"/>
                <w:w w:val="91"/>
              </w:rPr>
              <w:t>60</w:t>
            </w:r>
          </w:p>
        </w:tc>
        <w:tc>
          <w:tcPr>
            <w:tcW w:w="280" w:type="dxa"/>
            <w:vAlign w:val="bottom"/>
          </w:tcPr>
          <w:p>
            <w:pPr>
              <w:spacing w:after="0"/>
              <w:rPr>
                <w:sz w:val="18"/>
                <w:szCs w:val="18"/>
                <w:color w:val="auto"/>
              </w:rPr>
            </w:pPr>
          </w:p>
        </w:tc>
        <w:tc>
          <w:tcPr>
            <w:tcW w:w="6880" w:type="dxa"/>
            <w:vAlign w:val="bottom"/>
          </w:tcPr>
          <w:p>
            <w:pPr>
              <w:ind w:left="20"/>
              <w:spacing w:after="0"/>
              <w:rPr>
                <w:sz w:val="20"/>
                <w:szCs w:val="20"/>
                <w:color w:val="auto"/>
              </w:rPr>
            </w:pPr>
            <w:r>
              <w:rPr>
                <w:rFonts w:ascii="Calibri" w:cs="Calibri" w:eastAsia="Calibri" w:hAnsi="Calibri"/>
                <w:sz w:val="15"/>
                <w:szCs w:val="15"/>
                <w:color w:val="auto"/>
              </w:rPr>
              <w:t>Chief Marketng Ofcer</w:t>
            </w:r>
          </w:p>
        </w:tc>
      </w:tr>
      <w:tr>
        <w:trPr>
          <w:trHeight w:val="207"/>
        </w:trPr>
        <w:tc>
          <w:tcPr>
            <w:tcW w:w="1780" w:type="dxa"/>
            <w:vAlign w:val="bottom"/>
          </w:tcPr>
          <w:p>
            <w:pPr>
              <w:ind w:left="20"/>
              <w:spacing w:after="0"/>
              <w:rPr>
                <w:sz w:val="20"/>
                <w:szCs w:val="20"/>
                <w:color w:val="auto"/>
              </w:rPr>
            </w:pPr>
            <w:r>
              <w:rPr>
                <w:rFonts w:ascii="Calibri" w:cs="Calibri" w:eastAsia="Calibri" w:hAnsi="Calibri"/>
                <w:sz w:val="15"/>
                <w:szCs w:val="15"/>
                <w:color w:val="auto"/>
              </w:rPr>
              <w:t>Samuel Zales</w:t>
            </w:r>
          </w:p>
        </w:tc>
        <w:tc>
          <w:tcPr>
            <w:tcW w:w="1300" w:type="dxa"/>
            <w:vAlign w:val="bottom"/>
            <w:gridSpan w:val="2"/>
          </w:tcPr>
          <w:p>
            <w:pPr>
              <w:jc w:val="center"/>
              <w:ind w:left="243"/>
              <w:spacing w:after="0"/>
              <w:rPr>
                <w:sz w:val="20"/>
                <w:szCs w:val="20"/>
                <w:color w:val="auto"/>
              </w:rPr>
            </w:pPr>
            <w:r>
              <w:rPr>
                <w:rFonts w:ascii="Calibri" w:cs="Calibri" w:eastAsia="Calibri" w:hAnsi="Calibri"/>
                <w:sz w:val="15"/>
                <w:szCs w:val="15"/>
                <w:color w:val="auto"/>
                <w:w w:val="91"/>
              </w:rPr>
              <w:t>60</w:t>
            </w:r>
          </w:p>
        </w:tc>
        <w:tc>
          <w:tcPr>
            <w:tcW w:w="280" w:type="dxa"/>
            <w:vAlign w:val="bottom"/>
          </w:tcPr>
          <w:p>
            <w:pPr>
              <w:spacing w:after="0"/>
              <w:rPr>
                <w:sz w:val="18"/>
                <w:szCs w:val="18"/>
                <w:color w:val="auto"/>
              </w:rPr>
            </w:pPr>
          </w:p>
        </w:tc>
        <w:tc>
          <w:tcPr>
            <w:tcW w:w="6880" w:type="dxa"/>
            <w:vAlign w:val="bottom"/>
          </w:tcPr>
          <w:p>
            <w:pPr>
              <w:ind w:left="20"/>
              <w:spacing w:after="0"/>
              <w:rPr>
                <w:sz w:val="20"/>
                <w:szCs w:val="20"/>
                <w:color w:val="auto"/>
              </w:rPr>
            </w:pPr>
            <w:r>
              <w:rPr>
                <w:rFonts w:ascii="Calibri" w:cs="Calibri" w:eastAsia="Calibri" w:hAnsi="Calibri"/>
                <w:sz w:val="15"/>
                <w:szCs w:val="15"/>
                <w:color w:val="auto"/>
              </w:rPr>
              <w:t>Chief Operatng Ofcer and President</w:t>
            </w:r>
          </w:p>
        </w:tc>
      </w:tr>
      <w:tr>
        <w:trPr>
          <w:trHeight w:val="207"/>
        </w:trPr>
        <w:tc>
          <w:tcPr>
            <w:tcW w:w="1780" w:type="dxa"/>
            <w:vAlign w:val="bottom"/>
          </w:tcPr>
          <w:p>
            <w:pPr>
              <w:ind w:left="20"/>
              <w:spacing w:after="0"/>
              <w:rPr>
                <w:sz w:val="20"/>
                <w:szCs w:val="20"/>
                <w:color w:val="auto"/>
              </w:rPr>
            </w:pPr>
            <w:r>
              <w:rPr>
                <w:rFonts w:ascii="Calibri" w:cs="Calibri" w:eastAsia="Calibri" w:hAnsi="Calibri"/>
                <w:sz w:val="15"/>
                <w:szCs w:val="15"/>
                <w:color w:val="auto"/>
              </w:rPr>
              <w:t>Javier Zamora</w:t>
            </w:r>
          </w:p>
        </w:tc>
        <w:tc>
          <w:tcPr>
            <w:tcW w:w="1300" w:type="dxa"/>
            <w:vAlign w:val="bottom"/>
            <w:gridSpan w:val="2"/>
          </w:tcPr>
          <w:p>
            <w:pPr>
              <w:jc w:val="center"/>
              <w:ind w:left="243"/>
              <w:spacing w:after="0"/>
              <w:rPr>
                <w:sz w:val="20"/>
                <w:szCs w:val="20"/>
                <w:color w:val="auto"/>
              </w:rPr>
            </w:pPr>
            <w:r>
              <w:rPr>
                <w:rFonts w:ascii="Calibri" w:cs="Calibri" w:eastAsia="Calibri" w:hAnsi="Calibri"/>
                <w:sz w:val="15"/>
                <w:szCs w:val="15"/>
                <w:color w:val="auto"/>
                <w:w w:val="91"/>
              </w:rPr>
              <w:t>53</w:t>
            </w:r>
          </w:p>
        </w:tc>
        <w:tc>
          <w:tcPr>
            <w:tcW w:w="280" w:type="dxa"/>
            <w:vAlign w:val="bottom"/>
          </w:tcPr>
          <w:p>
            <w:pPr>
              <w:spacing w:after="0"/>
              <w:rPr>
                <w:sz w:val="18"/>
                <w:szCs w:val="18"/>
                <w:color w:val="auto"/>
              </w:rPr>
            </w:pPr>
          </w:p>
        </w:tc>
        <w:tc>
          <w:tcPr>
            <w:tcW w:w="6880" w:type="dxa"/>
            <w:vAlign w:val="bottom"/>
          </w:tcPr>
          <w:p>
            <w:pPr>
              <w:ind w:left="20"/>
              <w:spacing w:after="0"/>
              <w:rPr>
                <w:sz w:val="20"/>
                <w:szCs w:val="20"/>
                <w:color w:val="auto"/>
              </w:rPr>
            </w:pPr>
            <w:r>
              <w:rPr>
                <w:rFonts w:ascii="Calibri" w:cs="Calibri" w:eastAsia="Calibri" w:hAnsi="Calibri"/>
                <w:sz w:val="15"/>
                <w:szCs w:val="15"/>
                <w:color w:val="auto"/>
              </w:rPr>
              <w:t>General Counsel and Corporate Secretary</w:t>
            </w:r>
          </w:p>
        </w:tc>
      </w:tr>
    </w:tbl>
    <w:p>
      <w:pPr>
        <w:spacing w:after="0" w:line="197"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b w:val="1"/>
          <w:bCs w:val="1"/>
          <w:i w:val="1"/>
          <w:iCs w:val="1"/>
          <w:color w:val="auto"/>
        </w:rPr>
        <w:t xml:space="preserve">Jason Trevisan. </w:t>
      </w:r>
      <w:r>
        <w:rPr>
          <w:rFonts w:ascii="Calibri" w:cs="Calibri" w:eastAsia="Calibri" w:hAnsi="Calibri"/>
          <w:sz w:val="15"/>
          <w:szCs w:val="15"/>
          <w:color w:val="auto"/>
        </w:rPr>
        <w:t>Mr. Trevisan has served as our Chief Executve Ofcer and a member of our Board of Directors since January 2021. Prior to such appointments, he served as our</w:t>
      </w:r>
      <w:r>
        <w:rPr>
          <w:rFonts w:ascii="Calibri" w:cs="Calibri" w:eastAsia="Calibri" w:hAnsi="Calibri"/>
          <w:sz w:val="15"/>
          <w:szCs w:val="15"/>
          <w:b w:val="1"/>
          <w:bCs w:val="1"/>
          <w:i w:val="1"/>
          <w:iCs w:val="1"/>
          <w:color w:val="auto"/>
        </w:rPr>
        <w:t xml:space="preserve"> </w:t>
      </w:r>
      <w:r>
        <w:rPr>
          <w:rFonts w:ascii="Calibri" w:cs="Calibri" w:eastAsia="Calibri" w:hAnsi="Calibri"/>
          <w:sz w:val="15"/>
          <w:szCs w:val="15"/>
          <w:color w:val="auto"/>
        </w:rPr>
        <w:t>Chief Financial Ofcer from September 2015, as our Treasurer from July 2016 and as our President, Internatonal from January 2020. He served as our interim Principal Financial Ofcer from October 2022 to December 2023. Prior to joining CarGurus, Mr. Trevisan was a General Partner with Polaris Partners, a venture capital frm, from September 2003 to August 2015. While at Polaris Partners, Mr. Trevisan led investments in and served as a director of numerous consumer internet and sofware companies including LegalZoom, PartsSource, Shoedazzle, and The Roberts Group. Prior to that, from September 1999 to June 2001, Mr. Trevisan held management roles in analytcs and client services at aQuantve, a digital marketng service and technology company, which was acquired by Microsof Corporaton in 2007. Earlier in his career, from July 1996 to August 1999, he served as a consultant with Bain &amp; Company, a management consultng company. Mr. Trevisan received a Master of Business Administraton degree from the Tuck School of Business at Dartmouth College and a Bachelor of Arts degree from Duke University.</w:t>
      </w:r>
    </w:p>
    <w:p>
      <w:pPr>
        <w:spacing w:after="0" w:line="186"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b w:val="1"/>
          <w:bCs w:val="1"/>
          <w:i w:val="1"/>
          <w:iCs w:val="1"/>
          <w:color w:val="auto"/>
        </w:rPr>
        <w:t xml:space="preserve">Langley Steinert. </w:t>
      </w:r>
      <w:r>
        <w:rPr>
          <w:rFonts w:ascii="Calibri" w:cs="Calibri" w:eastAsia="Calibri" w:hAnsi="Calibri"/>
          <w:sz w:val="15"/>
          <w:szCs w:val="15"/>
          <w:color w:val="auto"/>
        </w:rPr>
        <w:t>Mr. Steinert is our founder and has served as our Executve Chair since January 2021 and as a member of our Board of Directors since our founding. Mr. Steinert</w:t>
      </w:r>
      <w:r>
        <w:rPr>
          <w:rFonts w:ascii="Calibri" w:cs="Calibri" w:eastAsia="Calibri" w:hAnsi="Calibri"/>
          <w:sz w:val="15"/>
          <w:szCs w:val="15"/>
          <w:b w:val="1"/>
          <w:bCs w:val="1"/>
          <w:i w:val="1"/>
          <w:iCs w:val="1"/>
          <w:color w:val="auto"/>
        </w:rPr>
        <w:t xml:space="preserve"> </w:t>
      </w:r>
      <w:r>
        <w:rPr>
          <w:rFonts w:ascii="Calibri" w:cs="Calibri" w:eastAsia="Calibri" w:hAnsi="Calibri"/>
          <w:sz w:val="15"/>
          <w:szCs w:val="15"/>
          <w:color w:val="auto"/>
        </w:rPr>
        <w:t>has served as our Chair since September 2017 and served as our Chief Executve Ofcer from our founding to January 2021 and as our President from June 2015 to February 2019. Mr. Steinert is also the co-founder of ApartmentAdvisor, Inc., an apartment rental marketplace, and has served as Chairman of its board of directors since October 2020. Mr. Steinert also serves as a board member at the Tuck School of Business at Dartmouth College. From</w:t>
      </w:r>
    </w:p>
    <w:p>
      <w:pPr>
        <w:spacing w:after="0" w:line="185" w:lineRule="exact"/>
        <w:rPr>
          <w:sz w:val="20"/>
          <w:szCs w:val="20"/>
          <w:color w:val="auto"/>
        </w:rPr>
      </w:pPr>
    </w:p>
    <w:p>
      <w:pPr>
        <w:jc w:val="center"/>
        <w:spacing w:after="0"/>
        <w:rPr>
          <w:sz w:val="20"/>
          <w:szCs w:val="20"/>
          <w:color w:val="auto"/>
        </w:rPr>
      </w:pPr>
      <w:r>
        <w:rPr>
          <w:rFonts w:ascii="Calibri" w:cs="Calibri" w:eastAsia="Calibri" w:hAnsi="Calibri"/>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408940</wp:posOffset>
            </wp:positionV>
            <wp:extent cx="7178040" cy="400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4" w:right="319" w:bottom="1440" w:gutter="0" w:footer="0" w:header="0"/>
        </w:sectPr>
      </w:pPr>
    </w:p>
    <w:bookmarkStart w:id="23" w:name="page24"/>
    <w:bookmarkEnd w:id="23"/>
    <w:p>
      <w:pPr>
        <w:jc w:val="both"/>
        <w:ind w:right="20"/>
        <w:spacing w:after="0" w:line="241" w:lineRule="auto"/>
        <w:rPr>
          <w:sz w:val="20"/>
          <w:szCs w:val="20"/>
          <w:color w:val="auto"/>
        </w:rPr>
      </w:pPr>
      <w:r>
        <w:rPr>
          <w:rFonts w:ascii="Calibri" w:cs="Calibri" w:eastAsia="Calibri" w:hAnsi="Calibri"/>
          <w:sz w:val="15"/>
          <w:szCs w:val="15"/>
          <w:color w:val="auto"/>
        </w:rPr>
        <w:t>February 2000 through February 2006 Mr. Steinert was Chairman and co-founder of TripAdvisor, Inc., an online marketplace for travel-related content. Mr. Steinert holds a Master of Business Administraton degree from the Tuck School of Business at Dartmouth College and a Bachelor of Arts degree from Georgetown University.</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b w:val="1"/>
          <w:bCs w:val="1"/>
          <w:i w:val="1"/>
          <w:iCs w:val="1"/>
          <w:color w:val="auto"/>
        </w:rPr>
        <w:t xml:space="preserve">Andrea Eldridge. </w:t>
      </w:r>
      <w:r>
        <w:rPr>
          <w:rFonts w:ascii="Calibri" w:cs="Calibri" w:eastAsia="Calibri" w:hAnsi="Calibri"/>
          <w:sz w:val="15"/>
          <w:szCs w:val="15"/>
          <w:color w:val="auto"/>
        </w:rPr>
        <w:t>Ms. Eldridge has served as our Chief People Ofcer since February 2020 and, as previously disclosed, will step down from that positon efectve April 5, 2024.</w:t>
      </w:r>
      <w:r>
        <w:rPr>
          <w:rFonts w:ascii="Calibri" w:cs="Calibri" w:eastAsia="Calibri" w:hAnsi="Calibri"/>
          <w:sz w:val="15"/>
          <w:szCs w:val="15"/>
          <w:b w:val="1"/>
          <w:bCs w:val="1"/>
          <w:i w:val="1"/>
          <w:iCs w:val="1"/>
          <w:color w:val="auto"/>
        </w:rPr>
        <w:t xml:space="preserve"> </w:t>
      </w:r>
      <w:r>
        <w:rPr>
          <w:rFonts w:ascii="Calibri" w:cs="Calibri" w:eastAsia="Calibri" w:hAnsi="Calibri"/>
          <w:sz w:val="15"/>
          <w:szCs w:val="15"/>
          <w:color w:val="auto"/>
        </w:rPr>
        <w:t>Prior to joining CarGurus, from October 2018 to November 2019, Ms. Eldridge served as Senior Vice President, Talent &amp; Employee Experience for Cengage Learning, Inc., an educatonal content and technology company. Prior to that, from February 2006 to February 2018, Ms. Eldridge held various positons in talent, marketng, and general management at Ahold USA, a subsidiary of Ahold Delhaize, a global grocery retailing group. Ms. Eldridge holds a Bachelor of Arts degree from Wellesley College.</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b w:val="1"/>
          <w:bCs w:val="1"/>
          <w:i w:val="1"/>
          <w:iCs w:val="1"/>
          <w:color w:val="auto"/>
        </w:rPr>
        <w:t xml:space="preserve">Ismail Elshareef. </w:t>
      </w:r>
      <w:r>
        <w:rPr>
          <w:rFonts w:ascii="Calibri" w:cs="Calibri" w:eastAsia="Calibri" w:hAnsi="Calibri"/>
          <w:sz w:val="15"/>
          <w:szCs w:val="15"/>
          <w:color w:val="auto"/>
        </w:rPr>
        <w:t>Mr. Elshareef has served as our Chief Product Ofcer since February 2024. Prior to joining CarGurus, Mr. Elshareef served as the Chief Product Ofcer at</w:t>
      </w:r>
      <w:r>
        <w:rPr>
          <w:rFonts w:ascii="Calibri" w:cs="Calibri" w:eastAsia="Calibri" w:hAnsi="Calibri"/>
          <w:sz w:val="15"/>
          <w:szCs w:val="15"/>
          <w:b w:val="1"/>
          <w:bCs w:val="1"/>
          <w:i w:val="1"/>
          <w:iCs w:val="1"/>
          <w:color w:val="auto"/>
        </w:rPr>
        <w:t xml:space="preserve"> </w:t>
      </w:r>
      <w:r>
        <w:rPr>
          <w:rFonts w:ascii="Calibri" w:cs="Calibri" w:eastAsia="Calibri" w:hAnsi="Calibri"/>
          <w:sz w:val="15"/>
          <w:szCs w:val="15"/>
          <w:color w:val="auto"/>
        </w:rPr>
        <w:t>OneFootball, a platorm-based football media company, from January 2022 to January 2024. Prior to that, he served as the Chief Product Ofcer at UpKeep, Inc., an asset operatons management platorm company, from August 2019 to December 2021. Previously, Mr. Elshareef served in various roles at Ticketmaster Entertainment, LLC, a tcket sales and distributon company, including SVP, Consumer Products from September 2016 to July 2019 and VP, Open Platorm and Innovaton from July 2015 to September 2016, and in various roles at Edmunds.com Inc., an online resource for automotve inventory and informaton, including Executve Director, Open Platorm from May 2011 to July 2015, Principal Architect from May 2010 to May 2011, and Director, Engineering from December 2007 to May 2010. Mr. Elshareef holds a Bachelor of Science in Computer Engineering degree from the King Fahd University of Petroleum and Minerals and a Master of Science in Electrical Engineering degree from California State University, Los Angeles. He also completed the Executve Management Program at Kellogg Graduate School of Management at Northwestern University.</w:t>
      </w:r>
    </w:p>
    <w:p>
      <w:pPr>
        <w:spacing w:after="0" w:line="186"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b w:val="1"/>
          <w:bCs w:val="1"/>
          <w:i w:val="1"/>
          <w:iCs w:val="1"/>
          <w:color w:val="auto"/>
        </w:rPr>
        <w:t xml:space="preserve">Zachary Hallowell. </w:t>
      </w:r>
      <w:r>
        <w:rPr>
          <w:rFonts w:ascii="Calibri" w:cs="Calibri" w:eastAsia="Calibri" w:hAnsi="Calibri"/>
          <w:sz w:val="15"/>
          <w:szCs w:val="15"/>
          <w:color w:val="auto"/>
        </w:rPr>
        <w:t>Mr. Hallowell has served as the Chief Executve Ofcer, CarOfer since December 2023 and served as our Head of Industry Transformaton from October 2023</w:t>
      </w:r>
      <w:r>
        <w:rPr>
          <w:rFonts w:ascii="Calibri" w:cs="Calibri" w:eastAsia="Calibri" w:hAnsi="Calibri"/>
          <w:sz w:val="15"/>
          <w:szCs w:val="15"/>
          <w:b w:val="1"/>
          <w:bCs w:val="1"/>
          <w:i w:val="1"/>
          <w:iCs w:val="1"/>
          <w:color w:val="auto"/>
        </w:rPr>
        <w:t xml:space="preserve"> </w:t>
      </w:r>
      <w:r>
        <w:rPr>
          <w:rFonts w:ascii="Calibri" w:cs="Calibri" w:eastAsia="Calibri" w:hAnsi="Calibri"/>
          <w:sz w:val="15"/>
          <w:szCs w:val="15"/>
          <w:color w:val="auto"/>
        </w:rPr>
        <w:t>to December 2023. Prior to joining CarGurus, Mr. Hallowell served in various roles at Cox Automotve Inc., an automotve services and technology provider, including as Senior Vice President, Manheim Digital from October 2020 to October 2023, Vice President, Manheim Digital Marketplace from January 2018 to October 2020 and General Manager/Head of Operatonal Excellence at RMS Automotve from November 2015 to December 2017. Prior to that, he served in various roles at OPENLANE, Inc. (formerly known as KAR Aucton Services, Inc.), an online aucton company for automotve dealers, including as Vice President, Online Product Management, ADESA from December 2014 to October 2015, President/COO Recovery Database Network from January 2013 to October 2015, Business Line Director, OPENLANE from October 2007 to December 2012, Director, Product and Program Management from April 2004 to December 2006, and Product Manager from November 1999 to April 2004. From January 2007 to October 2007, Mr. Hallowell served as a Senior Project Manager at L.L. Bean, a mult-chain retailer. Mr. Hallowell holds a Bachelor of Arts in Politcal Science degree from Middlebury College.</w:t>
      </w:r>
    </w:p>
    <w:p>
      <w:pPr>
        <w:spacing w:after="0" w:line="186"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b w:val="1"/>
          <w:bCs w:val="1"/>
          <w:i w:val="1"/>
          <w:iCs w:val="1"/>
          <w:color w:val="auto"/>
        </w:rPr>
        <w:t xml:space="preserve">Elisa Palazzo. </w:t>
      </w:r>
      <w:r>
        <w:rPr>
          <w:rFonts w:ascii="Calibri" w:cs="Calibri" w:eastAsia="Calibri" w:hAnsi="Calibri"/>
          <w:sz w:val="15"/>
          <w:szCs w:val="15"/>
          <w:color w:val="auto"/>
        </w:rPr>
        <w:t>Ms. Palazzo has served as our Chief Financial Ofcer since December 2023. Prior to joining CarGurus, Ms. Palazzo served in various roles at Talkspace, Inc., a</w:t>
      </w:r>
      <w:r>
        <w:rPr>
          <w:rFonts w:ascii="Calibri" w:cs="Calibri" w:eastAsia="Calibri" w:hAnsi="Calibri"/>
          <w:sz w:val="15"/>
          <w:szCs w:val="15"/>
          <w:b w:val="1"/>
          <w:bCs w:val="1"/>
          <w:i w:val="1"/>
          <w:iCs w:val="1"/>
          <w:color w:val="auto"/>
        </w:rPr>
        <w:t xml:space="preserve"> </w:t>
      </w:r>
      <w:r>
        <w:rPr>
          <w:rFonts w:ascii="Calibri" w:cs="Calibri" w:eastAsia="Calibri" w:hAnsi="Calibri"/>
          <w:sz w:val="15"/>
          <w:szCs w:val="15"/>
          <w:color w:val="auto"/>
        </w:rPr>
        <w:t>healthcare sofware company, including as Deputy Chief Financial Ofcer, from April 2023 to November 2023, and as Senior Vice President of Finance, a role she assumed as part of Hudson Executve Capital’s involvement in Talkspace, Inc., from 2021 to April 2023. Between October 2020 and April 2023 she was a Senior Analyst and Managing Director at Hudson Executve Capital, a hedge fund company, overseeing investments in consumer, online, and digital media companies. Previously, from January 2019 to September 2020, she served as an investor and Director at PSP Investments, a pension investment manager company. Prior to that, Ms. Palazzo served as a Senior Investment Analyst at Point72 Asset Management, a hedge fund company, from August 2016 to November 2018, and as an Investment Analyst at Coltrane Asset Management, a hedge fund company, from November 2012 to August 2016. Between 2005 and 2012 she held various roles at Credit Suisse, a fnancial services company. Ms. Palazzo holds a Master of Business Administraton degree from Harvard Business School and a Master of Science in Corporate Finance degree from Bocconi University.</w:t>
      </w:r>
    </w:p>
    <w:p>
      <w:pPr>
        <w:spacing w:after="0" w:line="186"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b w:val="1"/>
          <w:bCs w:val="1"/>
          <w:i w:val="1"/>
          <w:iCs w:val="1"/>
          <w:color w:val="auto"/>
        </w:rPr>
        <w:t xml:space="preserve">Mathew Quinn. </w:t>
      </w:r>
      <w:r>
        <w:rPr>
          <w:rFonts w:ascii="Calibri" w:cs="Calibri" w:eastAsia="Calibri" w:hAnsi="Calibri"/>
          <w:sz w:val="15"/>
          <w:szCs w:val="15"/>
          <w:color w:val="auto"/>
        </w:rPr>
        <w:t>Mr. Quinn has served as our Chief Technology Ofcer since January 2022. Prior to joining CarGurus, from January 2020 to December 2021, Mr. Quinn was Vice</w:t>
      </w:r>
      <w:r>
        <w:rPr>
          <w:rFonts w:ascii="Calibri" w:cs="Calibri" w:eastAsia="Calibri" w:hAnsi="Calibri"/>
          <w:sz w:val="15"/>
          <w:szCs w:val="15"/>
          <w:b w:val="1"/>
          <w:bCs w:val="1"/>
          <w:i w:val="1"/>
          <w:iCs w:val="1"/>
          <w:color w:val="auto"/>
        </w:rPr>
        <w:t xml:space="preserve"> </w:t>
      </w:r>
      <w:r>
        <w:rPr>
          <w:rFonts w:ascii="Calibri" w:cs="Calibri" w:eastAsia="Calibri" w:hAnsi="Calibri"/>
          <w:sz w:val="15"/>
          <w:szCs w:val="15"/>
          <w:color w:val="auto"/>
        </w:rPr>
        <w:t>President of Engineering at the small business referral network, Alignable, Inc. He has also led large development teams at technology companies such as Audible, Inc., an Amazon company providing online audiobook and podcast services, where he served in roles from June 2015 to December 2019, including as Vice President of Sofware Development from May 2018 to December 2019, as well as Vistaprint, a Cimpress plc company providing online marketng and printng services to small businesses, and Amazon, an e-commerce and cloud computng company. Mr. Quinn pioneered Vistaprint’s promotonal products business, built and led their digital services engineering team, managed teams on</w:t>
      </w:r>
    </w:p>
    <w:p>
      <w:pPr>
        <w:spacing w:after="0" w:line="185" w:lineRule="exact"/>
        <w:rPr>
          <w:sz w:val="20"/>
          <w:szCs w:val="20"/>
          <w:color w:val="auto"/>
        </w:rPr>
      </w:pPr>
    </w:p>
    <w:p>
      <w:pPr>
        <w:jc w:val="center"/>
        <w:spacing w:after="0"/>
        <w:rPr>
          <w:sz w:val="20"/>
          <w:szCs w:val="20"/>
          <w:color w:val="auto"/>
        </w:rPr>
      </w:pPr>
      <w:r>
        <w:rPr>
          <w:rFonts w:ascii="Calibri" w:cs="Calibri" w:eastAsia="Calibri" w:hAnsi="Calibri"/>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408940</wp:posOffset>
            </wp:positionV>
            <wp:extent cx="7178040" cy="400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4" w:right="319" w:bottom="1440" w:gutter="0" w:footer="0" w:header="0"/>
        </w:sectPr>
      </w:pPr>
    </w:p>
    <w:bookmarkStart w:id="24" w:name="page25"/>
    <w:bookmarkEnd w:id="24"/>
    <w:p>
      <w:pPr>
        <w:jc w:val="both"/>
        <w:spacing w:after="0" w:line="241" w:lineRule="auto"/>
        <w:rPr>
          <w:sz w:val="20"/>
          <w:szCs w:val="20"/>
          <w:color w:val="auto"/>
        </w:rPr>
      </w:pPr>
      <w:r>
        <w:rPr>
          <w:rFonts w:ascii="Calibri" w:cs="Calibri" w:eastAsia="Calibri" w:hAnsi="Calibri"/>
          <w:sz w:val="15"/>
          <w:szCs w:val="15"/>
          <w:color w:val="auto"/>
        </w:rPr>
        <w:t>Amazon’s Fire Phone launch, served as the site lead for Audible’s Boston ofce and led teams that launched Audible on Alexa, FireTV, and Kindle. Mr. Quinn holds a Master of Science degree in Management from Emmanuel College and a Bachelor of Arts degree in Mathematcs and Computer Science from the College of the Holy Cross.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b w:val="1"/>
          <w:bCs w:val="1"/>
          <w:i w:val="1"/>
          <w:iCs w:val="1"/>
          <w:color w:val="auto"/>
        </w:rPr>
        <w:t xml:space="preserve">Dafna Sarnof. </w:t>
      </w:r>
      <w:r>
        <w:rPr>
          <w:rFonts w:ascii="Calibri" w:cs="Calibri" w:eastAsia="Calibri" w:hAnsi="Calibri"/>
          <w:sz w:val="15"/>
          <w:szCs w:val="15"/>
          <w:color w:val="auto"/>
        </w:rPr>
        <w:t>Ms. Sarnof has served as our Chief Marketng Ofcer since December 2021. Prior to joining CarGurus, Ms. Sarnof led marketng for several technology and</w:t>
      </w:r>
      <w:r>
        <w:rPr>
          <w:rFonts w:ascii="Calibri" w:cs="Calibri" w:eastAsia="Calibri" w:hAnsi="Calibri"/>
          <w:sz w:val="15"/>
          <w:szCs w:val="15"/>
          <w:b w:val="1"/>
          <w:bCs w:val="1"/>
          <w:i w:val="1"/>
          <w:iCs w:val="1"/>
          <w:color w:val="auto"/>
        </w:rPr>
        <w:t xml:space="preserve"> </w:t>
      </w:r>
      <w:r>
        <w:rPr>
          <w:rFonts w:ascii="Calibri" w:cs="Calibri" w:eastAsia="Calibri" w:hAnsi="Calibri"/>
          <w:sz w:val="15"/>
          <w:szCs w:val="15"/>
          <w:color w:val="auto"/>
        </w:rPr>
        <w:t>growth companies, including Aura Sub, LLC, a digital security innovator, from September 2020 to November 2021, Intersecton Parent, Inc., an experience-driven media and technology company, from August 2016 to September 2020, and Yodle, Inc., a digital marketng sofware-as-a-service business that was acquired by Web.Com Group, Inc. in 2016, from November 2012 to August 2016. Ms. Sarnof also held various leadership roles over ten years at American Express Company, a bank holding company and multnatonal fnancial services corporaton that specializes in payment cards, in both consumer and B2B marketng, afer startng her career at Bain &amp; Company, Inc. Ms. Sarnof holds a Master of Business Administraton degree from Harvard Business School and a Bachelor of Arts degree in Mathematcs from Dartmouth College.</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b w:val="1"/>
          <w:bCs w:val="1"/>
          <w:i w:val="1"/>
          <w:iCs w:val="1"/>
          <w:color w:val="auto"/>
        </w:rPr>
        <w:t xml:space="preserve">Samuel Zales. </w:t>
      </w:r>
      <w:r>
        <w:rPr>
          <w:rFonts w:ascii="Calibri" w:cs="Calibri" w:eastAsia="Calibri" w:hAnsi="Calibri"/>
          <w:sz w:val="15"/>
          <w:szCs w:val="15"/>
          <w:color w:val="auto"/>
        </w:rPr>
        <w:t>Mr. Zales has served as our Chief Operatng Ofcer since September 2017 and as our President since February 2019. Mr. Zales also served as our Chief Revenue</w:t>
      </w:r>
      <w:r>
        <w:rPr>
          <w:rFonts w:ascii="Calibri" w:cs="Calibri" w:eastAsia="Calibri" w:hAnsi="Calibri"/>
          <w:sz w:val="15"/>
          <w:szCs w:val="15"/>
          <w:b w:val="1"/>
          <w:bCs w:val="1"/>
          <w:i w:val="1"/>
          <w:iCs w:val="1"/>
          <w:color w:val="auto"/>
        </w:rPr>
        <w:t xml:space="preserve"> </w:t>
      </w:r>
      <w:r>
        <w:rPr>
          <w:rFonts w:ascii="Calibri" w:cs="Calibri" w:eastAsia="Calibri" w:hAnsi="Calibri"/>
          <w:sz w:val="15"/>
          <w:szCs w:val="15"/>
          <w:color w:val="auto"/>
        </w:rPr>
        <w:t>Ofcer from December 2015 to September 2017 and as our President of Dealer Operatons and Internatonal from November 2014 to December 2015. Prior to joining CarGurus, from January 2014 to October 2014, Mr. Zales was Executve Vice President of Zeta Interactve, a marketng sofware company that acquired ClickSquared, Inc., a marketng sofware company, in January 2014. From March 2013 to January 2014, Mr. Zales was Chief Executve Ofcer of ClickSquared. Prior to that, Mr. Zales was a consultant to multple technology and sofware companies and served on the boards of four venture-backed companies. From October 2008 to November 2011 Mr. Zales was President of Zoom Informaton, Inc., a sofware-as-a-service company, where he led day-to-day operatons and oversaw the company’s growth strategy into the marketng services and sales intelligence arenas. Prior to that, from January 2007 to October 2008, Mr. Zales was Chief Executve Ofcer of BuyerZone.com LLC, an online marketplace for business purchasing and a division of Reed Business Informaton, a business unit of Reed Elsevier PLC, which acquired BuyerZone.com in January 2007. From November 1999 to January 2007, Mr. Zales was President and Chief Executve Ofcer of BuyerZone.com, which he led to its acquisiton by Reed Business Informaton. Mr. Zales holds a Master of Business Administraton degree from the Kellogg Graduate School of Management at Northwestern University and a Bachelor of Arts degree from Dartmouth College.</w:t>
      </w:r>
    </w:p>
    <w:p>
      <w:pPr>
        <w:spacing w:after="0" w:line="186"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b w:val="1"/>
          <w:bCs w:val="1"/>
          <w:i w:val="1"/>
          <w:iCs w:val="1"/>
          <w:color w:val="auto"/>
        </w:rPr>
        <w:t xml:space="preserve">Javier Zamora. </w:t>
      </w:r>
      <w:r>
        <w:rPr>
          <w:rFonts w:ascii="Calibri" w:cs="Calibri" w:eastAsia="Calibri" w:hAnsi="Calibri"/>
          <w:sz w:val="15"/>
          <w:szCs w:val="15"/>
          <w:color w:val="auto"/>
        </w:rPr>
        <w:t>Mr. Zamora has served as our General Counsel and Corporate Secretary since August 2022. Prior to joining CarGurus, Mr. Zamora was VP, General Counsel &amp;</w:t>
      </w:r>
      <w:r>
        <w:rPr>
          <w:rFonts w:ascii="Calibri" w:cs="Calibri" w:eastAsia="Calibri" w:hAnsi="Calibri"/>
          <w:sz w:val="15"/>
          <w:szCs w:val="15"/>
          <w:b w:val="1"/>
          <w:bCs w:val="1"/>
          <w:i w:val="1"/>
          <w:iCs w:val="1"/>
          <w:color w:val="auto"/>
        </w:rPr>
        <w:t xml:space="preserve"> </w:t>
      </w:r>
      <w:r>
        <w:rPr>
          <w:rFonts w:ascii="Calibri" w:cs="Calibri" w:eastAsia="Calibri" w:hAnsi="Calibri"/>
          <w:sz w:val="15"/>
          <w:szCs w:val="15"/>
          <w:color w:val="auto"/>
        </w:rPr>
        <w:t>Corporate Secretary of Converse, Inc., a footwear and apparel company, from February 2021 to July 2022. From March 2008 to January 2021 he served as Assistant General Counsel at Nike, Inc., a global footwear and apparel company. Prior to that, Mr. Zamora practced corporate and securites law at a natonal law frm based in Chicago and was an ofcer in the military who served a tour of duty in Iraq. Mr. Zamora holds a Juris Doctor degree from DePaul University and a Bachelor of Arts degree in Politcal Science from the University of California, Los Angeles.</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b w:val="1"/>
          <w:bCs w:val="1"/>
          <w:color w:val="auto"/>
        </w:rPr>
        <w:t>Additonal Informaton</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The following flings are available on our investor relatons website afer we fle them with the U.S. Securites and Exchange Commission, or the SEC: Annual Reports on Form 10-K, Quarterly Reports on Form 10-Q, Current Reports on Form 8-K, Proxy Statements for our annual meetngs of stockholders and any amendments to those reports or statements. These flings are also available for download free of charge on our investor relatons website. Our investor relatons website is located at htp://investors.cargurus.com.</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We webcast our earnings calls and certain events that we partcipate in or host with members of the investment community on our investor relatons website. Additonally, we provide news and announcements regarding our fnancial performance, including SEC flings, investor events, and press and earnings releases, on our investor relatons website. Corporate governance informaton, including our policies concerning business conduct and ethics, is also available on our investor relatons website under the heading “Governance.” No content from any of our websites is incorporated by reference into this Annual Report or in any other report or document we fle with the SEC, and any reference to our websites is intended to be an inactve textual reference only.</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Calibri" w:cs="Calibri" w:eastAsia="Calibri" w:hAnsi="Calibri"/>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408940</wp:posOffset>
            </wp:positionV>
            <wp:extent cx="7178040" cy="400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3" w:right="319" w:bottom="1440" w:gutter="0" w:footer="0" w:header="0"/>
        </w:sectPr>
      </w:pPr>
    </w:p>
    <w:bookmarkStart w:id="25" w:name="page26"/>
    <w:bookmarkEnd w:id="25"/>
    <w:p>
      <w:pPr>
        <w:spacing w:after="0"/>
        <w:rPr>
          <w:sz w:val="20"/>
          <w:szCs w:val="20"/>
          <w:color w:val="auto"/>
        </w:rPr>
      </w:pPr>
      <w:r>
        <w:rPr>
          <w:rFonts w:ascii="Calibri" w:cs="Calibri" w:eastAsia="Calibri" w:hAnsi="Calibri"/>
          <w:sz w:val="15"/>
          <w:szCs w:val="15"/>
          <w:b w:val="1"/>
          <w:bCs w:val="1"/>
          <w:color w:val="auto"/>
        </w:rPr>
        <w:t>Item 1A. Risk Factors.</w:t>
      </w:r>
    </w:p>
    <w:p>
      <w:pPr>
        <w:spacing w:after="0" w:line="185" w:lineRule="exact"/>
        <w:rPr>
          <w:sz w:val="20"/>
          <w:szCs w:val="20"/>
          <w:color w:val="auto"/>
        </w:rPr>
      </w:pPr>
    </w:p>
    <w:p>
      <w:pPr>
        <w:jc w:val="both"/>
        <w:spacing w:after="0" w:line="307" w:lineRule="auto"/>
        <w:rPr>
          <w:sz w:val="20"/>
          <w:szCs w:val="20"/>
          <w:color w:val="auto"/>
        </w:rPr>
      </w:pPr>
      <w:r>
        <w:rPr>
          <w:rFonts w:ascii="MS PGothic" w:cs="MS PGothic" w:eastAsia="MS PGothic" w:hAnsi="MS PGothic"/>
          <w:sz w:val="15"/>
          <w:szCs w:val="15"/>
          <w:i w:val="1"/>
          <w:iCs w:val="1"/>
          <w:color w:val="auto"/>
        </w:rPr>
        <w:t>Investng in our Class A common stock involves a high degree of risk. You should carefully consider the risks and uncertaintes described below, some of which have previously occurred and any of which may occur in the future, together with all of the other informaton contained in this Annual Report, including “Management’s Discussion and Analysis of Financial Conditon and Results of Operatons” and our audited consolidated fnancial statements and related notes, before evaluatng our business. Our business, fnancial conditon, operatng results, cash fow, and prospects could be materially and adversely afected by any of these risks or uncertaintes. In that event, the trading price of our Class A common stock could decline. See “Special Note Regarding Forward‑Looking Statements.”</w:t>
      </w:r>
    </w:p>
    <w:p>
      <w:pPr>
        <w:spacing w:after="0" w:line="145" w:lineRule="exact"/>
        <w:rPr>
          <w:sz w:val="20"/>
          <w:szCs w:val="20"/>
          <w:color w:val="auto"/>
        </w:rPr>
      </w:pPr>
    </w:p>
    <w:p>
      <w:pPr>
        <w:spacing w:after="0"/>
        <w:rPr>
          <w:sz w:val="20"/>
          <w:szCs w:val="20"/>
          <w:color w:val="auto"/>
        </w:rPr>
      </w:pPr>
      <w:r>
        <w:rPr>
          <w:rFonts w:ascii="Calibri" w:cs="Calibri" w:eastAsia="Calibri" w:hAnsi="Calibri"/>
          <w:sz w:val="15"/>
          <w:szCs w:val="15"/>
          <w:b w:val="1"/>
          <w:bCs w:val="1"/>
          <w:color w:val="auto"/>
        </w:rPr>
        <w:t>Summary Risk Factors</w:t>
      </w:r>
    </w:p>
    <w:p>
      <w:pPr>
        <w:spacing w:after="0" w:line="185" w:lineRule="exact"/>
        <w:rPr>
          <w:sz w:val="20"/>
          <w:szCs w:val="20"/>
          <w:color w:val="auto"/>
        </w:rPr>
      </w:pPr>
    </w:p>
    <w:p>
      <w:pPr>
        <w:jc w:val="both"/>
        <w:spacing w:after="0" w:line="241" w:lineRule="auto"/>
        <w:rPr>
          <w:sz w:val="20"/>
          <w:szCs w:val="20"/>
          <w:color w:val="auto"/>
        </w:rPr>
      </w:pPr>
      <w:r>
        <w:rPr>
          <w:rFonts w:ascii="Calibri" w:cs="Calibri" w:eastAsia="Calibri" w:hAnsi="Calibri"/>
          <w:sz w:val="15"/>
          <w:szCs w:val="15"/>
          <w:color w:val="auto"/>
        </w:rPr>
        <w:t>Our business is subject to a number of risks, including risks that may prevent us from achieving our business objectves or may adversely afect our business, fnancial conditon, operatng results, cash fow, and prospects. These risks are discussed more fully below and include, but are not limited to, risks related to:</w:t>
      </w:r>
    </w:p>
    <w:p>
      <w:pPr>
        <w:spacing w:after="0" w:line="184" w:lineRule="exact"/>
        <w:rPr>
          <w:sz w:val="20"/>
          <w:szCs w:val="20"/>
          <w:color w:val="auto"/>
        </w:rPr>
      </w:pPr>
    </w:p>
    <w:p>
      <w:pPr>
        <w:spacing w:after="0"/>
        <w:rPr>
          <w:sz w:val="20"/>
          <w:szCs w:val="20"/>
          <w:color w:val="auto"/>
        </w:rPr>
      </w:pPr>
      <w:r>
        <w:rPr>
          <w:rFonts w:ascii="Calibri" w:cs="Calibri" w:eastAsia="Calibri" w:hAnsi="Calibri"/>
          <w:sz w:val="15"/>
          <w:szCs w:val="15"/>
          <w:b w:val="1"/>
          <w:bCs w:val="1"/>
          <w:color w:val="auto"/>
        </w:rPr>
        <w:t>Risks Related to Our Business and Industry</w:t>
      </w:r>
    </w:p>
    <w:p>
      <w:pPr>
        <w:spacing w:after="0" w:line="105" w:lineRule="exact"/>
        <w:rPr>
          <w:sz w:val="20"/>
          <w:szCs w:val="20"/>
          <w:color w:val="auto"/>
        </w:rPr>
      </w:pPr>
    </w:p>
    <w:p>
      <w:pPr>
        <w:ind w:left="1020" w:right="20" w:hanging="518"/>
        <w:spacing w:after="0" w:line="241" w:lineRule="auto"/>
        <w:tabs>
          <w:tab w:leader="none" w:pos="1020" w:val="left"/>
        </w:tabs>
        <w:numPr>
          <w:ilvl w:val="0"/>
          <w:numId w:val="18"/>
        </w:numPr>
        <w:rPr>
          <w:rFonts w:ascii="Times New Roman" w:cs="Times New Roman" w:eastAsia="Times New Roman" w:hAnsi="Times New Roman"/>
          <w:sz w:val="15"/>
          <w:szCs w:val="15"/>
          <w:color w:val="auto"/>
        </w:rPr>
      </w:pPr>
      <w:r>
        <w:rPr>
          <w:rFonts w:ascii="Calibri" w:cs="Calibri" w:eastAsia="Calibri" w:hAnsi="Calibri"/>
          <w:sz w:val="15"/>
          <w:szCs w:val="15"/>
          <w:color w:val="auto"/>
        </w:rPr>
        <w:t>Our business is substantally dependent on our relatonships with dealers. If a signifcant number of dealers terminate their subscripton agreements with us, and/or dealer closures or consolidatons occur that reduce demand for our products, our business and fnancial results would be materially and adversely afected.</w:t>
      </w:r>
    </w:p>
    <w:p>
      <w:pPr>
        <w:spacing w:after="0" w:line="103" w:lineRule="exact"/>
        <w:rPr>
          <w:rFonts w:ascii="Times New Roman" w:cs="Times New Roman" w:eastAsia="Times New Roman" w:hAnsi="Times New Roman"/>
          <w:sz w:val="15"/>
          <w:szCs w:val="15"/>
          <w:color w:val="auto"/>
        </w:rPr>
      </w:pPr>
    </w:p>
    <w:p>
      <w:pPr>
        <w:ind w:left="1020" w:hanging="518"/>
        <w:spacing w:after="0" w:line="241" w:lineRule="auto"/>
        <w:tabs>
          <w:tab w:leader="none" w:pos="1020" w:val="left"/>
        </w:tabs>
        <w:numPr>
          <w:ilvl w:val="0"/>
          <w:numId w:val="18"/>
        </w:numPr>
        <w:rPr>
          <w:rFonts w:ascii="Times New Roman" w:cs="Times New Roman" w:eastAsia="Times New Roman" w:hAnsi="Times New Roman"/>
          <w:sz w:val="15"/>
          <w:szCs w:val="15"/>
          <w:color w:val="auto"/>
        </w:rPr>
      </w:pPr>
      <w:r>
        <w:rPr>
          <w:rFonts w:ascii="Calibri" w:cs="Calibri" w:eastAsia="Calibri" w:hAnsi="Calibri"/>
          <w:sz w:val="15"/>
          <w:szCs w:val="15"/>
          <w:color w:val="auto"/>
        </w:rPr>
        <w:t>If we fail to maintain or increase the number of dealers that pay subscripton fees to us, or fail to maintain or increase the fees paid to us for subscriptons, our business and fnancial results would be materially and adversely afected.</w:t>
      </w:r>
    </w:p>
    <w:p>
      <w:pPr>
        <w:spacing w:after="0" w:line="103" w:lineRule="exact"/>
        <w:rPr>
          <w:rFonts w:ascii="Times New Roman" w:cs="Times New Roman" w:eastAsia="Times New Roman" w:hAnsi="Times New Roman"/>
          <w:sz w:val="15"/>
          <w:szCs w:val="15"/>
          <w:color w:val="auto"/>
        </w:rPr>
      </w:pPr>
    </w:p>
    <w:p>
      <w:pPr>
        <w:ind w:left="1020" w:hanging="518"/>
        <w:spacing w:after="0" w:line="241" w:lineRule="auto"/>
        <w:tabs>
          <w:tab w:leader="none" w:pos="1020" w:val="left"/>
        </w:tabs>
        <w:numPr>
          <w:ilvl w:val="0"/>
          <w:numId w:val="18"/>
        </w:numPr>
        <w:rPr>
          <w:rFonts w:ascii="Times New Roman" w:cs="Times New Roman" w:eastAsia="Times New Roman" w:hAnsi="Times New Roman"/>
          <w:sz w:val="15"/>
          <w:szCs w:val="15"/>
          <w:color w:val="auto"/>
        </w:rPr>
      </w:pPr>
      <w:r>
        <w:rPr>
          <w:rFonts w:ascii="Calibri" w:cs="Calibri" w:eastAsia="Calibri" w:hAnsi="Calibri"/>
          <w:sz w:val="15"/>
          <w:szCs w:val="15"/>
          <w:color w:val="auto"/>
        </w:rPr>
        <w:t>Our business is subject to risks related to the larger automotve industry ecosystem, which could have a material adverse efect on our business, revenue, results of operatons, and fnancial conditon.</w:t>
      </w:r>
    </w:p>
    <w:p>
      <w:pPr>
        <w:spacing w:after="0" w:line="103" w:lineRule="exact"/>
        <w:rPr>
          <w:rFonts w:ascii="Times New Roman" w:cs="Times New Roman" w:eastAsia="Times New Roman" w:hAnsi="Times New Roman"/>
          <w:sz w:val="15"/>
          <w:szCs w:val="15"/>
          <w:color w:val="auto"/>
        </w:rPr>
      </w:pPr>
    </w:p>
    <w:p>
      <w:pPr>
        <w:ind w:left="1020" w:hanging="518"/>
        <w:spacing w:after="0"/>
        <w:tabs>
          <w:tab w:leader="none" w:pos="1020" w:val="left"/>
        </w:tabs>
        <w:numPr>
          <w:ilvl w:val="0"/>
          <w:numId w:val="18"/>
        </w:numPr>
        <w:rPr>
          <w:rFonts w:ascii="Times New Roman" w:cs="Times New Roman" w:eastAsia="Times New Roman" w:hAnsi="Times New Roman"/>
          <w:sz w:val="15"/>
          <w:szCs w:val="15"/>
          <w:color w:val="auto"/>
        </w:rPr>
      </w:pPr>
      <w:r>
        <w:rPr>
          <w:rFonts w:ascii="Calibri" w:cs="Calibri" w:eastAsia="Calibri" w:hAnsi="Calibri"/>
          <w:sz w:val="15"/>
          <w:szCs w:val="15"/>
          <w:color w:val="auto"/>
        </w:rPr>
        <w:t>If the CarOfer business and/or our combined oferings do not grow, our revenue and business could be adversely afected.</w:t>
      </w:r>
    </w:p>
    <w:p>
      <w:pPr>
        <w:spacing w:after="0" w:line="104" w:lineRule="exact"/>
        <w:rPr>
          <w:rFonts w:ascii="Times New Roman" w:cs="Times New Roman" w:eastAsia="Times New Roman" w:hAnsi="Times New Roman"/>
          <w:sz w:val="15"/>
          <w:szCs w:val="15"/>
          <w:color w:val="auto"/>
        </w:rPr>
      </w:pPr>
    </w:p>
    <w:p>
      <w:pPr>
        <w:ind w:left="1020" w:right="20" w:hanging="518"/>
        <w:spacing w:after="0" w:line="241" w:lineRule="auto"/>
        <w:tabs>
          <w:tab w:leader="none" w:pos="1020" w:val="left"/>
        </w:tabs>
        <w:numPr>
          <w:ilvl w:val="0"/>
          <w:numId w:val="18"/>
        </w:numPr>
        <w:rPr>
          <w:rFonts w:ascii="Times New Roman" w:cs="Times New Roman" w:eastAsia="Times New Roman" w:hAnsi="Times New Roman"/>
          <w:sz w:val="15"/>
          <w:szCs w:val="15"/>
          <w:color w:val="auto"/>
        </w:rPr>
      </w:pPr>
      <w:r>
        <w:rPr>
          <w:rFonts w:ascii="Calibri" w:cs="Calibri" w:eastAsia="Calibri" w:hAnsi="Calibri"/>
          <w:sz w:val="15"/>
          <w:szCs w:val="15"/>
          <w:color w:val="auto"/>
        </w:rPr>
        <w:t>If we are unable to provide a compelling experience to consumers on our platorm, connectons between consumers and dealers using our marketplaces may decline and our business and fnancial results would be materially and adversely afected.</w:t>
      </w:r>
    </w:p>
    <w:p>
      <w:pPr>
        <w:spacing w:after="0" w:line="103" w:lineRule="exact"/>
        <w:rPr>
          <w:rFonts w:ascii="Times New Roman" w:cs="Times New Roman" w:eastAsia="Times New Roman" w:hAnsi="Times New Roman"/>
          <w:sz w:val="15"/>
          <w:szCs w:val="15"/>
          <w:color w:val="auto"/>
        </w:rPr>
      </w:pPr>
    </w:p>
    <w:p>
      <w:pPr>
        <w:ind w:left="1020" w:hanging="518"/>
        <w:spacing w:after="0" w:line="241" w:lineRule="auto"/>
        <w:tabs>
          <w:tab w:leader="none" w:pos="1020" w:val="left"/>
        </w:tabs>
        <w:numPr>
          <w:ilvl w:val="0"/>
          <w:numId w:val="18"/>
        </w:numPr>
        <w:rPr>
          <w:rFonts w:ascii="Times New Roman" w:cs="Times New Roman" w:eastAsia="Times New Roman" w:hAnsi="Times New Roman"/>
          <w:sz w:val="15"/>
          <w:szCs w:val="15"/>
          <w:color w:val="auto"/>
        </w:rPr>
      </w:pPr>
      <w:r>
        <w:rPr>
          <w:rFonts w:ascii="Calibri" w:cs="Calibri" w:eastAsia="Calibri" w:hAnsi="Calibri"/>
          <w:sz w:val="15"/>
          <w:szCs w:val="15"/>
          <w:color w:val="auto"/>
        </w:rPr>
        <w:t>Any inability by us to develop new products, adapt to new technologies, or achieve widespread consumer and dealer adopton of those products, could negatvely impact our business and fnancial results.</w:t>
      </w:r>
    </w:p>
    <w:p>
      <w:pPr>
        <w:spacing w:after="0" w:line="103" w:lineRule="exact"/>
        <w:rPr>
          <w:rFonts w:ascii="Times New Roman" w:cs="Times New Roman" w:eastAsia="Times New Roman" w:hAnsi="Times New Roman"/>
          <w:sz w:val="15"/>
          <w:szCs w:val="15"/>
          <w:color w:val="auto"/>
        </w:rPr>
      </w:pPr>
    </w:p>
    <w:p>
      <w:pPr>
        <w:ind w:left="1020" w:right="20" w:hanging="518"/>
        <w:spacing w:after="0" w:line="241" w:lineRule="auto"/>
        <w:tabs>
          <w:tab w:leader="none" w:pos="1020" w:val="left"/>
        </w:tabs>
        <w:numPr>
          <w:ilvl w:val="0"/>
          <w:numId w:val="18"/>
        </w:numPr>
        <w:rPr>
          <w:rFonts w:ascii="Times New Roman" w:cs="Times New Roman" w:eastAsia="Times New Roman" w:hAnsi="Times New Roman"/>
          <w:sz w:val="15"/>
          <w:szCs w:val="15"/>
          <w:color w:val="auto"/>
        </w:rPr>
      </w:pPr>
      <w:r>
        <w:rPr>
          <w:rFonts w:ascii="Calibri" w:cs="Calibri" w:eastAsia="Calibri" w:hAnsi="Calibri"/>
          <w:sz w:val="15"/>
          <w:szCs w:val="15"/>
          <w:color w:val="auto"/>
        </w:rPr>
        <w:t>We rely, in part, on internet search engines to drive trafc to our websites, and if we fail to appear prominently in the search results, our trafc would decline and our business would be adversely afected.</w:t>
      </w:r>
    </w:p>
    <w:p>
      <w:pPr>
        <w:spacing w:after="0" w:line="103" w:lineRule="exact"/>
        <w:rPr>
          <w:rFonts w:ascii="Times New Roman" w:cs="Times New Roman" w:eastAsia="Times New Roman" w:hAnsi="Times New Roman"/>
          <w:sz w:val="15"/>
          <w:szCs w:val="15"/>
          <w:color w:val="auto"/>
        </w:rPr>
      </w:pPr>
    </w:p>
    <w:p>
      <w:pPr>
        <w:ind w:left="1020" w:hanging="518"/>
        <w:spacing w:after="0"/>
        <w:tabs>
          <w:tab w:leader="none" w:pos="1020" w:val="left"/>
        </w:tabs>
        <w:numPr>
          <w:ilvl w:val="0"/>
          <w:numId w:val="18"/>
        </w:numPr>
        <w:rPr>
          <w:rFonts w:ascii="Times New Roman" w:cs="Times New Roman" w:eastAsia="Times New Roman" w:hAnsi="Times New Roman"/>
          <w:sz w:val="15"/>
          <w:szCs w:val="15"/>
          <w:color w:val="auto"/>
        </w:rPr>
      </w:pPr>
      <w:r>
        <w:rPr>
          <w:rFonts w:ascii="Calibri" w:cs="Calibri" w:eastAsia="Calibri" w:hAnsi="Calibri"/>
          <w:sz w:val="15"/>
          <w:szCs w:val="15"/>
          <w:color w:val="auto"/>
        </w:rPr>
        <w:t>Our revenue growth rate in the future is uncertain, including due to potental macroeconomic efects.</w:t>
      </w:r>
    </w:p>
    <w:p>
      <w:pPr>
        <w:spacing w:after="0" w:line="104" w:lineRule="exact"/>
        <w:rPr>
          <w:rFonts w:ascii="Times New Roman" w:cs="Times New Roman" w:eastAsia="Times New Roman" w:hAnsi="Times New Roman"/>
          <w:sz w:val="15"/>
          <w:szCs w:val="15"/>
          <w:color w:val="auto"/>
        </w:rPr>
      </w:pPr>
    </w:p>
    <w:p>
      <w:pPr>
        <w:ind w:left="1020" w:hanging="518"/>
        <w:spacing w:after="0" w:line="241" w:lineRule="auto"/>
        <w:tabs>
          <w:tab w:leader="none" w:pos="1020" w:val="left"/>
        </w:tabs>
        <w:numPr>
          <w:ilvl w:val="0"/>
          <w:numId w:val="18"/>
        </w:numPr>
        <w:rPr>
          <w:rFonts w:ascii="Times New Roman" w:cs="Times New Roman" w:eastAsia="Times New Roman" w:hAnsi="Times New Roman"/>
          <w:sz w:val="15"/>
          <w:szCs w:val="15"/>
          <w:color w:val="auto"/>
        </w:rPr>
      </w:pPr>
      <w:r>
        <w:rPr>
          <w:rFonts w:ascii="Calibri" w:cs="Calibri" w:eastAsia="Calibri" w:hAnsi="Calibri"/>
          <w:sz w:val="15"/>
          <w:szCs w:val="15"/>
          <w:color w:val="auto"/>
        </w:rPr>
        <w:t>We may require additonal capital to pursue our business objectves and respond to business opportunites, challenges, or unforeseen circumstances. If we are unable to generate sufcient cash fows or if capital is not available to us, our business, operatng results, fnancial conditon, and prospects could be adversely afected.</w:t>
      </w:r>
    </w:p>
    <w:p>
      <w:pPr>
        <w:spacing w:after="0" w:line="103" w:lineRule="exact"/>
        <w:rPr>
          <w:rFonts w:ascii="Times New Roman" w:cs="Times New Roman" w:eastAsia="Times New Roman" w:hAnsi="Times New Roman"/>
          <w:sz w:val="15"/>
          <w:szCs w:val="15"/>
          <w:color w:val="auto"/>
        </w:rPr>
      </w:pPr>
    </w:p>
    <w:p>
      <w:pPr>
        <w:ind w:left="1020" w:hanging="518"/>
        <w:spacing w:after="0" w:line="241" w:lineRule="auto"/>
        <w:tabs>
          <w:tab w:leader="none" w:pos="1020" w:val="left"/>
        </w:tabs>
        <w:numPr>
          <w:ilvl w:val="0"/>
          <w:numId w:val="18"/>
        </w:numPr>
        <w:rPr>
          <w:rFonts w:ascii="Times New Roman" w:cs="Times New Roman" w:eastAsia="Times New Roman" w:hAnsi="Times New Roman"/>
          <w:sz w:val="15"/>
          <w:szCs w:val="15"/>
          <w:color w:val="auto"/>
        </w:rPr>
      </w:pPr>
      <w:r>
        <w:rPr>
          <w:rFonts w:ascii="Calibri" w:cs="Calibri" w:eastAsia="Calibri" w:hAnsi="Calibri"/>
          <w:sz w:val="15"/>
          <w:szCs w:val="15"/>
          <w:color w:val="auto"/>
        </w:rPr>
        <w:t>We depend on key personnel to operate our business, and if we are unable to retain, atract, and integrate qualifed personnel, or if we experience turnover of our key personnel, our ability to develop and successfully grow our business could be materially and adversely afected.</w:t>
      </w:r>
    </w:p>
    <w:p>
      <w:pPr>
        <w:spacing w:after="0" w:line="103" w:lineRule="exact"/>
        <w:rPr>
          <w:rFonts w:ascii="Times New Roman" w:cs="Times New Roman" w:eastAsia="Times New Roman" w:hAnsi="Times New Roman"/>
          <w:sz w:val="15"/>
          <w:szCs w:val="15"/>
          <w:color w:val="auto"/>
        </w:rPr>
      </w:pPr>
    </w:p>
    <w:p>
      <w:pPr>
        <w:ind w:left="1020" w:hanging="518"/>
        <w:spacing w:after="0" w:line="241" w:lineRule="auto"/>
        <w:tabs>
          <w:tab w:leader="none" w:pos="1020" w:val="left"/>
        </w:tabs>
        <w:numPr>
          <w:ilvl w:val="0"/>
          <w:numId w:val="18"/>
        </w:numPr>
        <w:rPr>
          <w:rFonts w:ascii="Times New Roman" w:cs="Times New Roman" w:eastAsia="Times New Roman" w:hAnsi="Times New Roman"/>
          <w:sz w:val="15"/>
          <w:szCs w:val="15"/>
          <w:color w:val="auto"/>
        </w:rPr>
      </w:pPr>
      <w:r>
        <w:rPr>
          <w:rFonts w:ascii="Calibri" w:cs="Calibri" w:eastAsia="Calibri" w:hAnsi="Calibri"/>
          <w:sz w:val="15"/>
          <w:szCs w:val="15"/>
          <w:color w:val="auto"/>
        </w:rPr>
        <w:t>We may be subject to disputes regarding the accuracy of Instant Market Values, Deal Ratngs, Dealer Ratngs, New Car Price Guidance, and other features of our marketplaces.</w:t>
      </w:r>
    </w:p>
    <w:p>
      <w:pPr>
        <w:spacing w:after="0" w:line="103" w:lineRule="exact"/>
        <w:rPr>
          <w:rFonts w:ascii="Times New Roman" w:cs="Times New Roman" w:eastAsia="Times New Roman" w:hAnsi="Times New Roman"/>
          <w:sz w:val="15"/>
          <w:szCs w:val="15"/>
          <w:color w:val="auto"/>
        </w:rPr>
      </w:pPr>
    </w:p>
    <w:p>
      <w:pPr>
        <w:ind w:left="1020" w:hanging="518"/>
        <w:spacing w:after="0" w:line="241" w:lineRule="auto"/>
        <w:tabs>
          <w:tab w:leader="none" w:pos="1020" w:val="left"/>
        </w:tabs>
        <w:numPr>
          <w:ilvl w:val="0"/>
          <w:numId w:val="18"/>
        </w:numPr>
        <w:rPr>
          <w:rFonts w:ascii="Times New Roman" w:cs="Times New Roman" w:eastAsia="Times New Roman" w:hAnsi="Times New Roman"/>
          <w:sz w:val="15"/>
          <w:szCs w:val="15"/>
          <w:color w:val="auto"/>
        </w:rPr>
      </w:pPr>
      <w:r>
        <w:rPr>
          <w:rFonts w:ascii="Calibri" w:cs="Calibri" w:eastAsia="Calibri" w:hAnsi="Calibri"/>
          <w:sz w:val="15"/>
          <w:szCs w:val="15"/>
          <w:color w:val="auto"/>
        </w:rPr>
        <w:t>We are subject to a complex framework of laws and regulatons, many of which are unsetled, stll developing, and contradictory, which have in the past, and could in the future, subject us to claims, challenge our business model, or otherwise harm our business.</w:t>
      </w:r>
    </w:p>
    <w:p>
      <w:pPr>
        <w:spacing w:after="0" w:line="103" w:lineRule="exact"/>
        <w:rPr>
          <w:rFonts w:ascii="Times New Roman" w:cs="Times New Roman" w:eastAsia="Times New Roman" w:hAnsi="Times New Roman"/>
          <w:sz w:val="15"/>
          <w:szCs w:val="15"/>
          <w:color w:val="auto"/>
        </w:rPr>
      </w:pPr>
    </w:p>
    <w:p>
      <w:pPr>
        <w:ind w:left="1020" w:hanging="518"/>
        <w:spacing w:after="0" w:line="241" w:lineRule="auto"/>
        <w:tabs>
          <w:tab w:leader="none" w:pos="1020" w:val="left"/>
        </w:tabs>
        <w:numPr>
          <w:ilvl w:val="0"/>
          <w:numId w:val="18"/>
        </w:numPr>
        <w:rPr>
          <w:rFonts w:ascii="Times New Roman" w:cs="Times New Roman" w:eastAsia="Times New Roman" w:hAnsi="Times New Roman"/>
          <w:sz w:val="15"/>
          <w:szCs w:val="15"/>
          <w:color w:val="auto"/>
        </w:rPr>
      </w:pPr>
      <w:r>
        <w:rPr>
          <w:rFonts w:ascii="Calibri" w:cs="Calibri" w:eastAsia="Calibri" w:hAnsi="Calibri"/>
          <w:sz w:val="15"/>
          <w:szCs w:val="15"/>
          <w:color w:val="auto"/>
        </w:rPr>
        <w:t>A signifcant disrupton in service on our websites or mobile applicatons could damage our reputaton and result in a loss of consumers, which could harm our business, brands, operatng results, and fnancial conditon.</w:t>
      </w:r>
    </w:p>
    <w:p>
      <w:pPr>
        <w:spacing w:after="0" w:line="184" w:lineRule="exact"/>
        <w:rPr>
          <w:sz w:val="20"/>
          <w:szCs w:val="20"/>
          <w:color w:val="auto"/>
        </w:rPr>
      </w:pPr>
    </w:p>
    <w:p>
      <w:pPr>
        <w:jc w:val="center"/>
        <w:spacing w:after="0"/>
        <w:rPr>
          <w:sz w:val="20"/>
          <w:szCs w:val="20"/>
          <w:color w:val="auto"/>
        </w:rPr>
      </w:pPr>
      <w:r>
        <w:rPr>
          <w:rFonts w:ascii="Calibri" w:cs="Calibri" w:eastAsia="Calibri" w:hAnsi="Calibri"/>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408940</wp:posOffset>
            </wp:positionV>
            <wp:extent cx="7178040" cy="400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3" w:right="319" w:bottom="1440" w:gutter="0" w:footer="0" w:header="0"/>
        </w:sectPr>
      </w:pPr>
    </w:p>
    <w:bookmarkStart w:id="26" w:name="page27"/>
    <w:bookmarkEnd w:id="26"/>
    <w:p>
      <w:pPr>
        <w:jc w:val="both"/>
        <w:ind w:left="1020" w:hanging="518"/>
        <w:spacing w:after="0" w:line="241" w:lineRule="auto"/>
        <w:tabs>
          <w:tab w:leader="none" w:pos="1020" w:val="left"/>
        </w:tabs>
        <w:numPr>
          <w:ilvl w:val="0"/>
          <w:numId w:val="19"/>
        </w:numPr>
        <w:rPr>
          <w:rFonts w:ascii="Times New Roman" w:cs="Times New Roman" w:eastAsia="Times New Roman" w:hAnsi="Times New Roman"/>
          <w:sz w:val="15"/>
          <w:szCs w:val="15"/>
          <w:color w:val="auto"/>
        </w:rPr>
      </w:pPr>
      <w:r>
        <w:rPr>
          <w:rFonts w:ascii="Calibri" w:cs="Calibri" w:eastAsia="Calibri" w:hAnsi="Calibri"/>
          <w:sz w:val="15"/>
          <w:szCs w:val="15"/>
          <w:color w:val="auto"/>
        </w:rPr>
        <w:t>We and our third-party service providers collect, process, store, transfer, share, disclose, and use consumer informaton and other data, and the actual or perceived failure of us or our third-party service providers to protect such informaton and data or respect users’ privacy could expose us to liability and adversely afect our reputaton, brands, business, and operatng results.</w:t>
      </w:r>
    </w:p>
    <w:p>
      <w:pPr>
        <w:spacing w:after="0" w:line="104" w:lineRule="exact"/>
        <w:rPr>
          <w:rFonts w:ascii="Times New Roman" w:cs="Times New Roman" w:eastAsia="Times New Roman" w:hAnsi="Times New Roman"/>
          <w:sz w:val="15"/>
          <w:szCs w:val="15"/>
          <w:color w:val="auto"/>
        </w:rPr>
      </w:pPr>
    </w:p>
    <w:p>
      <w:pPr>
        <w:ind w:left="1020" w:right="20" w:hanging="518"/>
        <w:spacing w:after="0" w:line="241" w:lineRule="auto"/>
        <w:tabs>
          <w:tab w:leader="none" w:pos="1020" w:val="left"/>
        </w:tabs>
        <w:numPr>
          <w:ilvl w:val="0"/>
          <w:numId w:val="19"/>
        </w:numPr>
        <w:rPr>
          <w:rFonts w:ascii="Times New Roman" w:cs="Times New Roman" w:eastAsia="Times New Roman" w:hAnsi="Times New Roman"/>
          <w:sz w:val="15"/>
          <w:szCs w:val="15"/>
          <w:color w:val="auto"/>
        </w:rPr>
      </w:pPr>
      <w:r>
        <w:rPr>
          <w:rFonts w:ascii="Calibri" w:cs="Calibri" w:eastAsia="Calibri" w:hAnsi="Calibri"/>
          <w:sz w:val="15"/>
          <w:szCs w:val="15"/>
          <w:color w:val="auto"/>
        </w:rPr>
        <w:t>Our ability to atract consumers to our own websites and to provide certain services to our customers depends on the collecton of consumer data from various sources, which may be restricted by consumer choice, privacy restrictons, and developments in laws, regulatons, and industry standards.</w:t>
      </w:r>
    </w:p>
    <w:p>
      <w:pPr>
        <w:spacing w:after="0" w:line="103" w:lineRule="exact"/>
        <w:rPr>
          <w:rFonts w:ascii="Times New Roman" w:cs="Times New Roman" w:eastAsia="Times New Roman" w:hAnsi="Times New Roman"/>
          <w:sz w:val="15"/>
          <w:szCs w:val="15"/>
          <w:color w:val="auto"/>
        </w:rPr>
      </w:pPr>
    </w:p>
    <w:p>
      <w:pPr>
        <w:ind w:left="1020" w:hanging="518"/>
        <w:spacing w:after="0"/>
        <w:tabs>
          <w:tab w:leader="none" w:pos="1020" w:val="left"/>
        </w:tabs>
        <w:numPr>
          <w:ilvl w:val="0"/>
          <w:numId w:val="19"/>
        </w:numPr>
        <w:rPr>
          <w:rFonts w:ascii="Times New Roman" w:cs="Times New Roman" w:eastAsia="Times New Roman" w:hAnsi="Times New Roman"/>
          <w:sz w:val="15"/>
          <w:szCs w:val="15"/>
          <w:color w:val="auto"/>
        </w:rPr>
      </w:pPr>
      <w:r>
        <w:rPr>
          <w:rFonts w:ascii="Calibri" w:cs="Calibri" w:eastAsia="Calibri" w:hAnsi="Calibri"/>
          <w:sz w:val="15"/>
          <w:szCs w:val="15"/>
          <w:color w:val="auto"/>
        </w:rPr>
        <w:t>Failure to adequately protect our intellectual property could harm our business and operatng results.</w:t>
      </w:r>
    </w:p>
    <w:p>
      <w:pPr>
        <w:spacing w:after="0" w:line="104" w:lineRule="exact"/>
        <w:rPr>
          <w:rFonts w:ascii="Times New Roman" w:cs="Times New Roman" w:eastAsia="Times New Roman" w:hAnsi="Times New Roman"/>
          <w:sz w:val="15"/>
          <w:szCs w:val="15"/>
          <w:color w:val="auto"/>
        </w:rPr>
      </w:pPr>
    </w:p>
    <w:p>
      <w:pPr>
        <w:ind w:left="1020" w:hanging="518"/>
        <w:spacing w:after="0"/>
        <w:tabs>
          <w:tab w:leader="none" w:pos="1020" w:val="left"/>
        </w:tabs>
        <w:numPr>
          <w:ilvl w:val="0"/>
          <w:numId w:val="19"/>
        </w:numPr>
        <w:rPr>
          <w:rFonts w:ascii="Times New Roman" w:cs="Times New Roman" w:eastAsia="Times New Roman" w:hAnsi="Times New Roman"/>
          <w:sz w:val="15"/>
          <w:szCs w:val="15"/>
          <w:color w:val="auto"/>
        </w:rPr>
      </w:pPr>
      <w:r>
        <w:rPr>
          <w:rFonts w:ascii="Calibri" w:cs="Calibri" w:eastAsia="Calibri" w:hAnsi="Calibri"/>
          <w:sz w:val="15"/>
          <w:szCs w:val="15"/>
          <w:color w:val="auto"/>
        </w:rPr>
        <w:t>We may be unable to halt the operatons of websites that aggregate or misappropriate our data.</w:t>
      </w:r>
    </w:p>
    <w:p>
      <w:pPr>
        <w:spacing w:after="0" w:line="104" w:lineRule="exact"/>
        <w:rPr>
          <w:rFonts w:ascii="Times New Roman" w:cs="Times New Roman" w:eastAsia="Times New Roman" w:hAnsi="Times New Roman"/>
          <w:sz w:val="15"/>
          <w:szCs w:val="15"/>
          <w:color w:val="auto"/>
        </w:rPr>
      </w:pPr>
    </w:p>
    <w:p>
      <w:pPr>
        <w:ind w:left="1020" w:hanging="518"/>
        <w:spacing w:after="0"/>
        <w:tabs>
          <w:tab w:leader="none" w:pos="1020" w:val="left"/>
        </w:tabs>
        <w:numPr>
          <w:ilvl w:val="0"/>
          <w:numId w:val="19"/>
        </w:numPr>
        <w:rPr>
          <w:rFonts w:ascii="Times New Roman" w:cs="Times New Roman" w:eastAsia="Times New Roman" w:hAnsi="Times New Roman"/>
          <w:sz w:val="15"/>
          <w:szCs w:val="15"/>
          <w:color w:val="auto"/>
        </w:rPr>
      </w:pPr>
      <w:r>
        <w:rPr>
          <w:rFonts w:ascii="Calibri" w:cs="Calibri" w:eastAsia="Calibri" w:hAnsi="Calibri"/>
          <w:sz w:val="15"/>
          <w:szCs w:val="15"/>
          <w:color w:val="auto"/>
        </w:rPr>
        <w:t>Seasonality and other factors may cause fuctuatons in our operatng results and our marketng spend.</w:t>
      </w:r>
    </w:p>
    <w:p>
      <w:pPr>
        <w:spacing w:after="0" w:line="104" w:lineRule="exact"/>
        <w:rPr>
          <w:rFonts w:ascii="Times New Roman" w:cs="Times New Roman" w:eastAsia="Times New Roman" w:hAnsi="Times New Roman"/>
          <w:sz w:val="15"/>
          <w:szCs w:val="15"/>
          <w:color w:val="auto"/>
        </w:rPr>
      </w:pPr>
    </w:p>
    <w:p>
      <w:pPr>
        <w:ind w:left="1020" w:hanging="518"/>
        <w:spacing w:after="0"/>
        <w:tabs>
          <w:tab w:leader="none" w:pos="1020" w:val="left"/>
        </w:tabs>
        <w:numPr>
          <w:ilvl w:val="0"/>
          <w:numId w:val="19"/>
        </w:numPr>
        <w:rPr>
          <w:rFonts w:ascii="Times New Roman" w:cs="Times New Roman" w:eastAsia="Times New Roman" w:hAnsi="Times New Roman"/>
          <w:sz w:val="15"/>
          <w:szCs w:val="15"/>
          <w:color w:val="auto"/>
        </w:rPr>
      </w:pPr>
      <w:r>
        <w:rPr>
          <w:rFonts w:ascii="Calibri" w:cs="Calibri" w:eastAsia="Calibri" w:hAnsi="Calibri"/>
          <w:sz w:val="15"/>
          <w:szCs w:val="15"/>
          <w:color w:val="auto"/>
        </w:rPr>
        <w:t>Failure to deal efectvely with fraud or other illegal actvity could harm our business.</w:t>
      </w:r>
    </w:p>
    <w:p>
      <w:pPr>
        <w:spacing w:after="0" w:line="104" w:lineRule="exact"/>
        <w:rPr>
          <w:rFonts w:ascii="Times New Roman" w:cs="Times New Roman" w:eastAsia="Times New Roman" w:hAnsi="Times New Roman"/>
          <w:sz w:val="15"/>
          <w:szCs w:val="15"/>
          <w:color w:val="auto"/>
        </w:rPr>
      </w:pPr>
    </w:p>
    <w:p>
      <w:pPr>
        <w:ind w:left="1020" w:hanging="518"/>
        <w:spacing w:after="0" w:line="241" w:lineRule="auto"/>
        <w:tabs>
          <w:tab w:leader="none" w:pos="1020" w:val="left"/>
        </w:tabs>
        <w:numPr>
          <w:ilvl w:val="0"/>
          <w:numId w:val="19"/>
        </w:numPr>
        <w:rPr>
          <w:rFonts w:ascii="Times New Roman" w:cs="Times New Roman" w:eastAsia="Times New Roman" w:hAnsi="Times New Roman"/>
          <w:sz w:val="15"/>
          <w:szCs w:val="15"/>
          <w:color w:val="auto"/>
        </w:rPr>
      </w:pPr>
      <w:r>
        <w:rPr>
          <w:rFonts w:ascii="Calibri" w:cs="Calibri" w:eastAsia="Calibri" w:hAnsi="Calibri"/>
          <w:sz w:val="15"/>
          <w:szCs w:val="15"/>
          <w:color w:val="auto"/>
        </w:rPr>
        <w:t>We have identfed a material weakness in our internal control over fnancial reportng. If we are unable to remediate this material weakness, we may not be able to accurately or tmely report our fnancial conditon or results of operatons, which may adversely afect our business and the market price of our Class A common stock.</w:t>
      </w:r>
    </w:p>
    <w:p>
      <w:pPr>
        <w:spacing w:after="0" w:line="103" w:lineRule="exact"/>
        <w:rPr>
          <w:rFonts w:ascii="Times New Roman" w:cs="Times New Roman" w:eastAsia="Times New Roman" w:hAnsi="Times New Roman"/>
          <w:sz w:val="15"/>
          <w:szCs w:val="15"/>
          <w:color w:val="auto"/>
        </w:rPr>
      </w:pPr>
    </w:p>
    <w:p>
      <w:pPr>
        <w:ind w:left="1020" w:hanging="518"/>
        <w:spacing w:after="0"/>
        <w:tabs>
          <w:tab w:leader="none" w:pos="1020" w:val="left"/>
        </w:tabs>
        <w:numPr>
          <w:ilvl w:val="0"/>
          <w:numId w:val="19"/>
        </w:numPr>
        <w:rPr>
          <w:rFonts w:ascii="Times New Roman" w:cs="Times New Roman" w:eastAsia="Times New Roman" w:hAnsi="Times New Roman"/>
          <w:sz w:val="15"/>
          <w:szCs w:val="15"/>
          <w:color w:val="auto"/>
        </w:rPr>
      </w:pPr>
      <w:r>
        <w:rPr>
          <w:rFonts w:ascii="Calibri" w:cs="Calibri" w:eastAsia="Calibri" w:hAnsi="Calibri"/>
          <w:sz w:val="15"/>
          <w:szCs w:val="15"/>
          <w:color w:val="auto"/>
        </w:rPr>
        <w:t>If our goodwill or intangible assets become impaired, we may be required to record a signifcant charge to earnings.</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b w:val="1"/>
          <w:bCs w:val="1"/>
          <w:color w:val="auto"/>
        </w:rPr>
        <w:t>Risks Related to Our Class A Common Stock</w:t>
      </w:r>
    </w:p>
    <w:p>
      <w:pPr>
        <w:spacing w:after="0" w:line="105" w:lineRule="exact"/>
        <w:rPr>
          <w:sz w:val="20"/>
          <w:szCs w:val="20"/>
          <w:color w:val="auto"/>
        </w:rPr>
      </w:pPr>
    </w:p>
    <w:p>
      <w:pPr>
        <w:ind w:left="1020" w:right="20" w:hanging="518"/>
        <w:spacing w:after="0" w:line="241" w:lineRule="auto"/>
        <w:tabs>
          <w:tab w:leader="none" w:pos="1020" w:val="left"/>
        </w:tabs>
        <w:numPr>
          <w:ilvl w:val="0"/>
          <w:numId w:val="20"/>
        </w:numPr>
        <w:rPr>
          <w:rFonts w:ascii="Times New Roman" w:cs="Times New Roman" w:eastAsia="Times New Roman" w:hAnsi="Times New Roman"/>
          <w:sz w:val="15"/>
          <w:szCs w:val="15"/>
          <w:color w:val="auto"/>
        </w:rPr>
      </w:pPr>
      <w:r>
        <w:rPr>
          <w:rFonts w:ascii="Calibri" w:cs="Calibri" w:eastAsia="Calibri" w:hAnsi="Calibri"/>
          <w:sz w:val="15"/>
          <w:szCs w:val="15"/>
          <w:color w:val="auto"/>
        </w:rPr>
        <w:t>Our founder controls a majority of the votng power of our outstanding capital stock, and, therefore, has control over key decision-making and could control our actons in a manner that conficts with the interests of other stockholders.</w:t>
      </w:r>
    </w:p>
    <w:p>
      <w:pPr>
        <w:spacing w:after="0" w:line="103" w:lineRule="exact"/>
        <w:rPr>
          <w:rFonts w:ascii="Times New Roman" w:cs="Times New Roman" w:eastAsia="Times New Roman" w:hAnsi="Times New Roman"/>
          <w:sz w:val="15"/>
          <w:szCs w:val="15"/>
          <w:color w:val="auto"/>
        </w:rPr>
      </w:pPr>
    </w:p>
    <w:p>
      <w:pPr>
        <w:ind w:left="1020" w:hanging="518"/>
        <w:spacing w:after="0"/>
        <w:tabs>
          <w:tab w:leader="none" w:pos="1020" w:val="left"/>
        </w:tabs>
        <w:numPr>
          <w:ilvl w:val="0"/>
          <w:numId w:val="20"/>
        </w:numPr>
        <w:rPr>
          <w:rFonts w:ascii="Times New Roman" w:cs="Times New Roman" w:eastAsia="Times New Roman" w:hAnsi="Times New Roman"/>
          <w:sz w:val="15"/>
          <w:szCs w:val="15"/>
          <w:color w:val="auto"/>
        </w:rPr>
      </w:pPr>
      <w:r>
        <w:rPr>
          <w:rFonts w:ascii="Calibri" w:cs="Calibri" w:eastAsia="Calibri" w:hAnsi="Calibri"/>
          <w:sz w:val="15"/>
          <w:szCs w:val="15"/>
          <w:color w:val="auto"/>
        </w:rPr>
        <w:t>The trading price of our Class A common stock has been and may contnue to be volatle and the value of our stockholders’ investment in our stock could decline.</w:t>
      </w:r>
    </w:p>
    <w:p>
      <w:pPr>
        <w:spacing w:after="0" w:line="104" w:lineRule="exact"/>
        <w:rPr>
          <w:rFonts w:ascii="Times New Roman" w:cs="Times New Roman" w:eastAsia="Times New Roman" w:hAnsi="Times New Roman"/>
          <w:sz w:val="15"/>
          <w:szCs w:val="15"/>
          <w:color w:val="auto"/>
        </w:rPr>
      </w:pPr>
    </w:p>
    <w:p>
      <w:pPr>
        <w:ind w:left="1020" w:hanging="518"/>
        <w:spacing w:after="0" w:line="241" w:lineRule="auto"/>
        <w:tabs>
          <w:tab w:leader="none" w:pos="1020" w:val="left"/>
        </w:tabs>
        <w:numPr>
          <w:ilvl w:val="0"/>
          <w:numId w:val="20"/>
        </w:numPr>
        <w:rPr>
          <w:rFonts w:ascii="Times New Roman" w:cs="Times New Roman" w:eastAsia="Times New Roman" w:hAnsi="Times New Roman"/>
          <w:sz w:val="15"/>
          <w:szCs w:val="15"/>
          <w:color w:val="auto"/>
        </w:rPr>
      </w:pPr>
      <w:r>
        <w:rPr>
          <w:rFonts w:ascii="Calibri" w:cs="Calibri" w:eastAsia="Calibri" w:hAnsi="Calibri"/>
          <w:sz w:val="15"/>
          <w:szCs w:val="15"/>
          <w:color w:val="auto"/>
        </w:rPr>
        <w:t>We cannot guarantee that our share repurchase program will be fully implemented or that it will enhance stockholder value, and share repurchases could afect the price of our Class A common stock.</w:t>
      </w:r>
    </w:p>
    <w:p>
      <w:pPr>
        <w:spacing w:after="0" w:line="184" w:lineRule="exact"/>
        <w:rPr>
          <w:sz w:val="20"/>
          <w:szCs w:val="20"/>
          <w:color w:val="auto"/>
        </w:rPr>
      </w:pPr>
    </w:p>
    <w:p>
      <w:pPr>
        <w:spacing w:after="0"/>
        <w:rPr>
          <w:sz w:val="20"/>
          <w:szCs w:val="20"/>
          <w:color w:val="auto"/>
        </w:rPr>
      </w:pPr>
      <w:r>
        <w:rPr>
          <w:rFonts w:ascii="Calibri" w:cs="Calibri" w:eastAsia="Calibri" w:hAnsi="Calibri"/>
          <w:sz w:val="15"/>
          <w:szCs w:val="15"/>
          <w:b w:val="1"/>
          <w:bCs w:val="1"/>
          <w:color w:val="auto"/>
        </w:rPr>
        <w:t>General Risk Factors</w:t>
      </w:r>
    </w:p>
    <w:p>
      <w:pPr>
        <w:spacing w:after="0" w:line="105" w:lineRule="exact"/>
        <w:rPr>
          <w:sz w:val="20"/>
          <w:szCs w:val="20"/>
          <w:color w:val="auto"/>
        </w:rPr>
      </w:pPr>
    </w:p>
    <w:p>
      <w:pPr>
        <w:ind w:left="1020" w:hanging="518"/>
        <w:spacing w:after="0"/>
        <w:tabs>
          <w:tab w:leader="none" w:pos="1020" w:val="left"/>
        </w:tabs>
        <w:numPr>
          <w:ilvl w:val="0"/>
          <w:numId w:val="21"/>
        </w:numPr>
        <w:rPr>
          <w:rFonts w:ascii="Times New Roman" w:cs="Times New Roman" w:eastAsia="Times New Roman" w:hAnsi="Times New Roman"/>
          <w:sz w:val="15"/>
          <w:szCs w:val="15"/>
          <w:color w:val="auto"/>
        </w:rPr>
      </w:pPr>
      <w:r>
        <w:rPr>
          <w:rFonts w:ascii="Calibri" w:cs="Calibri" w:eastAsia="Calibri" w:hAnsi="Calibri"/>
          <w:sz w:val="15"/>
          <w:szCs w:val="15"/>
          <w:color w:val="auto"/>
        </w:rPr>
        <w:t>We partcipate in a highly compettve market, and pressure from existng and new companies may adversely afect our business and operatng results.</w:t>
      </w:r>
    </w:p>
    <w:p>
      <w:pPr>
        <w:spacing w:after="0" w:line="104" w:lineRule="exact"/>
        <w:rPr>
          <w:rFonts w:ascii="Times New Roman" w:cs="Times New Roman" w:eastAsia="Times New Roman" w:hAnsi="Times New Roman"/>
          <w:sz w:val="15"/>
          <w:szCs w:val="15"/>
          <w:color w:val="auto"/>
        </w:rPr>
      </w:pPr>
    </w:p>
    <w:p>
      <w:pPr>
        <w:ind w:left="1020" w:hanging="518"/>
        <w:spacing w:after="0" w:line="241" w:lineRule="auto"/>
        <w:tabs>
          <w:tab w:leader="none" w:pos="1020" w:val="left"/>
        </w:tabs>
        <w:numPr>
          <w:ilvl w:val="0"/>
          <w:numId w:val="21"/>
        </w:numPr>
        <w:rPr>
          <w:rFonts w:ascii="Times New Roman" w:cs="Times New Roman" w:eastAsia="Times New Roman" w:hAnsi="Times New Roman"/>
          <w:sz w:val="15"/>
          <w:szCs w:val="15"/>
          <w:color w:val="auto"/>
        </w:rPr>
      </w:pPr>
      <w:r>
        <w:rPr>
          <w:rFonts w:ascii="Calibri" w:cs="Calibri" w:eastAsia="Calibri" w:hAnsi="Calibri"/>
          <w:sz w:val="15"/>
          <w:szCs w:val="15"/>
          <w:color w:val="auto"/>
        </w:rPr>
        <w:t>We must maintain proper and efectve internal control over fnancial reportng and any failure to maintain the adequacy of these internal controls may adversely afect investor confdence in us and, as a result, the value of our Class A common stock.</w:t>
      </w:r>
    </w:p>
    <w:p>
      <w:pPr>
        <w:spacing w:after="0" w:line="103" w:lineRule="exact"/>
        <w:rPr>
          <w:rFonts w:ascii="Times New Roman" w:cs="Times New Roman" w:eastAsia="Times New Roman" w:hAnsi="Times New Roman"/>
          <w:sz w:val="15"/>
          <w:szCs w:val="15"/>
          <w:color w:val="auto"/>
        </w:rPr>
      </w:pPr>
    </w:p>
    <w:p>
      <w:pPr>
        <w:ind w:left="1020" w:hanging="518"/>
        <w:spacing w:after="0"/>
        <w:tabs>
          <w:tab w:leader="none" w:pos="1020" w:val="left"/>
        </w:tabs>
        <w:numPr>
          <w:ilvl w:val="0"/>
          <w:numId w:val="21"/>
        </w:numPr>
        <w:rPr>
          <w:rFonts w:ascii="Times New Roman" w:cs="Times New Roman" w:eastAsia="Times New Roman" w:hAnsi="Times New Roman"/>
          <w:sz w:val="15"/>
          <w:szCs w:val="15"/>
          <w:color w:val="auto"/>
        </w:rPr>
      </w:pPr>
      <w:r>
        <w:rPr>
          <w:rFonts w:ascii="Calibri" w:cs="Calibri" w:eastAsia="Calibri" w:hAnsi="Calibri"/>
          <w:sz w:val="15"/>
          <w:szCs w:val="15"/>
          <w:color w:val="auto"/>
        </w:rPr>
        <w:t>We expect our results of operatons to fuctuate on a quarterly and annual basis.</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b w:val="1"/>
          <w:bCs w:val="1"/>
          <w:color w:val="auto"/>
        </w:rPr>
        <w:t>Risks Related to Our Business and Industry</w:t>
      </w:r>
    </w:p>
    <w:p>
      <w:pPr>
        <w:spacing w:after="0" w:line="185" w:lineRule="exact"/>
        <w:rPr>
          <w:sz w:val="20"/>
          <w:szCs w:val="20"/>
          <w:color w:val="auto"/>
        </w:rPr>
      </w:pPr>
    </w:p>
    <w:p>
      <w:pPr>
        <w:jc w:val="both"/>
        <w:ind w:right="20"/>
        <w:spacing w:after="0" w:line="241" w:lineRule="auto"/>
        <w:rPr>
          <w:sz w:val="20"/>
          <w:szCs w:val="20"/>
          <w:color w:val="auto"/>
        </w:rPr>
      </w:pPr>
      <w:r>
        <w:rPr>
          <w:rFonts w:ascii="Calibri" w:cs="Calibri" w:eastAsia="Calibri" w:hAnsi="Calibri"/>
          <w:sz w:val="15"/>
          <w:szCs w:val="15"/>
          <w:b w:val="1"/>
          <w:bCs w:val="1"/>
          <w:i w:val="1"/>
          <w:iCs w:val="1"/>
          <w:color w:val="auto"/>
        </w:rPr>
        <w:t>Our business is substantally dependent on our relatonships with dealers. If a signifcant number of dealers terminate their subscripton agreements with us, and/or dealer closures or consolidatons occur that reduce demand for our products, our business and fnancial results would be materially and adversely afected.</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A signifcant source of our revenue consists of subscripton fees paid to us by dealers for access to enhanced features on our automotve marketplaces. Our subscripton agreements with dealers generally may be terminated by us with 30 days’ notce and by dealers with 30 days’ advance notce prior to the commencement of the applicable renewal term. The majority of our contracts with dealers currently provide for one-month commited terms and do not contain contractual obligatons requiring a dealer to maintain its relatonship with us beyond the commited term. A dealer may be infuenced by several factors to cancel its subscripton with us, including natonal and regional dealership associatons, natonal and local regulators, automotve manufacturers, consumer groups, and consolidated dealer groups. If any of these infuental groups indicate that dealers should not enter into or maintain subscripton agreements with us, dealers could share this belief and we may lose a number of our paying dealers. If a signifcant number of our paying dealers terminate their subscriptons with us, our business and fnancial</w:t>
      </w:r>
    </w:p>
    <w:p>
      <w:pPr>
        <w:spacing w:after="0" w:line="186" w:lineRule="exact"/>
        <w:rPr>
          <w:sz w:val="20"/>
          <w:szCs w:val="20"/>
          <w:color w:val="auto"/>
        </w:rPr>
      </w:pPr>
    </w:p>
    <w:p>
      <w:pPr>
        <w:jc w:val="center"/>
        <w:spacing w:after="0"/>
        <w:rPr>
          <w:sz w:val="20"/>
          <w:szCs w:val="20"/>
          <w:color w:val="auto"/>
        </w:rPr>
      </w:pPr>
      <w:r>
        <w:rPr>
          <w:rFonts w:ascii="Calibri" w:cs="Calibri" w:eastAsia="Calibri" w:hAnsi="Calibri"/>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408940</wp:posOffset>
            </wp:positionV>
            <wp:extent cx="7178040" cy="400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053" w:right="319" w:bottom="1440" w:gutter="0" w:footer="0" w:header="0"/>
        </w:sectPr>
      </w:pPr>
    </w:p>
    <w:bookmarkStart w:id="27" w:name="page28"/>
    <w:bookmarkEnd w:id="27"/>
    <w:p>
      <w:pPr>
        <w:spacing w:after="0"/>
        <w:rPr>
          <w:sz w:val="20"/>
          <w:szCs w:val="20"/>
          <w:color w:val="auto"/>
        </w:rPr>
      </w:pPr>
      <w:r>
        <w:rPr>
          <w:rFonts w:ascii="Calibri" w:cs="Calibri" w:eastAsia="Calibri" w:hAnsi="Calibri"/>
          <w:sz w:val="15"/>
          <w:szCs w:val="15"/>
          <w:color w:val="auto"/>
        </w:rPr>
        <w:t>results would be materially and adversely afected.</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Additonally, in the past, the number of U.S. dealers has declined due to dealership closures and consolidatons as a result of industry dynamics and macroeconomic issues. When dealers consolidate, the services they previously purchased separately are ofen purchased by the combined entty in a lesser quantty or for a lower aggregate price than before, leading to volume compression and loss of revenue. Further dealership consolidatons or closures could reduce the aggregate demand for our products and services. If dealership closures and consolidatons occur in the future, our business and fnancial results would be materially and adversely afected.</w:t>
      </w:r>
    </w:p>
    <w:p>
      <w:pPr>
        <w:spacing w:after="0" w:line="185" w:lineRule="exact"/>
        <w:rPr>
          <w:sz w:val="20"/>
          <w:szCs w:val="20"/>
          <w:color w:val="auto"/>
        </w:rPr>
      </w:pPr>
    </w:p>
    <w:p>
      <w:pPr>
        <w:jc w:val="both"/>
        <w:spacing w:after="0" w:line="241" w:lineRule="auto"/>
        <w:rPr>
          <w:sz w:val="20"/>
          <w:szCs w:val="20"/>
          <w:color w:val="auto"/>
        </w:rPr>
      </w:pPr>
      <w:r>
        <w:rPr>
          <w:rFonts w:ascii="Calibri" w:cs="Calibri" w:eastAsia="Calibri" w:hAnsi="Calibri"/>
          <w:sz w:val="15"/>
          <w:szCs w:val="15"/>
          <w:b w:val="1"/>
          <w:bCs w:val="1"/>
          <w:i w:val="1"/>
          <w:iCs w:val="1"/>
          <w:color w:val="auto"/>
        </w:rPr>
        <w:t>If we fail to maintain or increase the number of dealers that pay subscripton fees to us, or fail to maintain or increase the fees paid to us for subscriptons, our business and fnancial results would be materially and adversely afected.</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If paying dealers do not receive the volume of consumer connectons that they expect during their subscripton period, do not experience the level of car sales they expect from those connectons, or fail to atribute consumer connectons or sales to our platorm, they may terminate their subscriptons prior to the commencement of the applicable renewal term. If we fail to maintain or increase the number of paying dealers or fail to maintain or increase the level of fees that we receive from them, our business and fnancial results would be materially and adversely afected.</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We allow dealers to list their inventory in our marketplaces for free; however, we impose certain limitatons on such free listngs. In the future, we may decide to impose additonal restrictons on Restricted Listngs or modify the services available to non-paying dealers. These changes to our Restricted Listngs product may result in less inventory being displayed to consumers, which may impair our eforts to atract consumers, and cause paying and non-paying dealers to receive fewer leads and connectons, which may make it more difcult for us to convert non-paying dealers to paying dealers or maintain or increase the number of paying dealers. If dealers do not subscribe to our paid oferings at the rates we expect, our business and fnancial results would be materially and adversely afected.</w:t>
      </w:r>
    </w:p>
    <w:p>
      <w:pPr>
        <w:spacing w:after="0" w:line="185" w:lineRule="exact"/>
        <w:rPr>
          <w:sz w:val="20"/>
          <w:szCs w:val="20"/>
          <w:color w:val="auto"/>
        </w:rPr>
      </w:pPr>
    </w:p>
    <w:p>
      <w:pPr>
        <w:jc w:val="both"/>
        <w:spacing w:after="0" w:line="241" w:lineRule="auto"/>
        <w:rPr>
          <w:sz w:val="20"/>
          <w:szCs w:val="20"/>
          <w:color w:val="auto"/>
        </w:rPr>
      </w:pPr>
      <w:r>
        <w:rPr>
          <w:rFonts w:ascii="Calibri" w:cs="Calibri" w:eastAsia="Calibri" w:hAnsi="Calibri"/>
          <w:sz w:val="15"/>
          <w:szCs w:val="15"/>
          <w:b w:val="1"/>
          <w:bCs w:val="1"/>
          <w:i w:val="1"/>
          <w:iCs w:val="1"/>
          <w:color w:val="auto"/>
        </w:rPr>
        <w:t>Our business is subject to risks related to the larger automotve industry ecosystem, which could have a material adverse efect on our business, revenue, results of operatons, and fnancial conditon.</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Decreases in consumer demand could adversely afect the market for automobile purchases and, in turn, reduce the number of consumers using our platorm. Consumer purchases of new and used automobiles generally decline during recessionary periods and other periods in which disposable income is adversely afected. Purchases of new and used automobiles are typically discretonary for consumers and have been, and may contnue to be, afected by negatve trends in the economy, including the cost of energy and gasoline; the availability and cost of credit; increased interest rates; reductons in business and consumer confdence; stock market volatlity; unemployment; and the lingering efects of the COVID-19 pandemic.</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Further, in recent years the market for motor vehicles has experienced rapid changes in technology and consumer demands. Self-driving technology, ride sharing, transportaton networks, and other fundamental changes in transportaton could impact consumer demand for the purchase of automobiles. A reducton in the number of automobiles purchased by consumers could adversely afect dealers and car manufacturers and lead to a reducton in other spending by these groups, including targeted incentve programs.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In additon, our business has been and may contnue to be negatvely afected by challenges to the larger automotve industry ecosystem, including global supply chain challenges, labor, disruptons, work stoppages, or strikes, changes to trade policies, including tarif rates and customs dutes, trade relatons between the U.S. and China, and other macroeconomic issues, including increased interest rates and the lingering efects of the COVID-19 pandemic. Increasing global infaton rates have spurred a cycle of monetary policy tghtening, including through central bank increases to key short-term lending rates. Both the availability and cost of credit are factors afectng consumer confdence, which is a critcal driver of vehicle sales for our consumers and dealers. Additonally, vehicle afordability for our consumers is becoming more challenging due to a combinaton of factors, including elevated vehicle pricing resultng from infatonary cost increases and vehicle producton constraints, rising vehicle fnance costs due to increased interest rates, declines in inventory supply, and increases in wholesale aucton prices and the prices that dealers charge consumers for vehicles. These factors could have a material adverse efect on our business, revenue, results of operatons, and fnancial conditon.</w:t>
      </w:r>
    </w:p>
    <w:p>
      <w:pPr>
        <w:spacing w:after="0" w:line="186" w:lineRule="exact"/>
        <w:rPr>
          <w:sz w:val="20"/>
          <w:szCs w:val="20"/>
          <w:color w:val="auto"/>
        </w:rPr>
      </w:pPr>
    </w:p>
    <w:p>
      <w:pPr>
        <w:jc w:val="center"/>
        <w:spacing w:after="0"/>
        <w:rPr>
          <w:sz w:val="20"/>
          <w:szCs w:val="20"/>
          <w:color w:val="auto"/>
        </w:rPr>
      </w:pPr>
      <w:r>
        <w:rPr>
          <w:rFonts w:ascii="Calibri" w:cs="Calibri" w:eastAsia="Calibri" w:hAnsi="Calibri"/>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408940</wp:posOffset>
            </wp:positionV>
            <wp:extent cx="7178040" cy="400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3" w:right="319" w:bottom="1440" w:gutter="0" w:footer="0" w:header="0"/>
        </w:sectPr>
      </w:pPr>
    </w:p>
    <w:bookmarkStart w:id="28" w:name="page29"/>
    <w:bookmarkEnd w:id="28"/>
    <w:p>
      <w:pPr>
        <w:spacing w:after="0"/>
        <w:rPr>
          <w:sz w:val="20"/>
          <w:szCs w:val="20"/>
          <w:color w:val="auto"/>
        </w:rPr>
      </w:pPr>
      <w:r>
        <w:rPr>
          <w:rFonts w:ascii="Calibri" w:cs="Calibri" w:eastAsia="Calibri" w:hAnsi="Calibri"/>
          <w:sz w:val="15"/>
          <w:szCs w:val="15"/>
          <w:b w:val="1"/>
          <w:bCs w:val="1"/>
          <w:i w:val="1"/>
          <w:iCs w:val="1"/>
          <w:color w:val="auto"/>
        </w:rPr>
        <w:t>If the CarOfer business and/or our combined oferings do not grow, our revenue and business could be adversely afected.</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Contnued achievement of our transacton synergies and our ability to grow the CarOfer business and the revenue associated with it depends on a number of factors, including our ability to expand the number of dealers engaging on the CarOfer platorm; retain existng customers and increase the share of wholesale transactons that they complete on the CarOfer platorm; atract prospectve customers who have historically purchased or sold vehicles through physical auctons and may choose not to transact online; and successfully compete with compettors, including other online vehicle aucton companies and large, natonal ofine vehicle aucton companies that are expanding into the online channel and have launched online auctons in connecton with their physical auctons. Additonally, our ability to grow IMCO and the revenue associated with it also depends on a number of factors, including our ability to contnue to efectvely scale and market IMCO; atract prospectve consumers to sell their vehicles online through IMCO; and successfully compete with compettors, including online dealerships. If our antcipated transacton synergies do not fully materialize, or the CarOfer business and/or IMCO fail to grow at the rate we expect, our revenue and business could be adversely afected.</w:t>
      </w:r>
    </w:p>
    <w:p>
      <w:pPr>
        <w:spacing w:after="0" w:line="186"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Industry conditons such as a signifcant change in retail vehicle prices or a decline in the used vehicle inventory supply coming to the wholesale market could also adversely impact CarOfer’s business and growth. For example, if retail prices for used vehicles rise relatve to retail prices for new vehicles, it could make buying a new vehicle more atractve to consumers than buying a used vehicle, which could result in reduced used vehicle wholesale sales on the CarOfer platorm. Used vehicle dealers may also decide to retail more of their vehicles on their own, which could adversely impact the volume of vehicles ofered for sale on the CarOfer platorm. In additon, the decline in the supply of inventory has also led to an increase in wholesale aucton prices and the prices that dealers charge consumers for automobiles. We also face inventory risk in connecton with vehicles acquired by CarOfer via arbitraton, including the risk of inventory obsolescence, a decline in values, and signifcant inventory write-downs or write-ofs. Such inventory risk would be higher if arbitratons increase, which is more likely to occur in connecton with declining wholesale market conditons.</w:t>
      </w:r>
    </w:p>
    <w:p>
      <w:pPr>
        <w:spacing w:after="0" w:line="186"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Furthermore, actvity on the CarOfer platorm has in the past fuctuated, and may again in the future fuctuate, from period to period based on macroeconomic conditons and changing demand requirements, which could adversely impact our revenue, results of operatons, and fnancial conditon for such period(s). Macroeconomic issues, including increased interest rates and lower consumer confdence, could also adversely impact dealer demand for sourcing inventory and therefore lead to a reducton in the number of vehicle wholesale sales on the CarOfer platorm and/or transacted via IMCO, which would adversely impact CarOfer’s business and fnancial results. Additonally, inventory challenges in the automotve industry have contributed and could contnue to contribute to a decrease in the supply of vehicles coming to the wholesale market and reduce the number of vehicles sold on the CarOfer platorm and/or transacted via IMCO. An inability by CarOfer to retain customers and/or increase or fnd alternatve sources of vehicle supply could adversely impact our revenue and business.</w:t>
      </w:r>
    </w:p>
    <w:p>
      <w:pPr>
        <w:spacing w:after="0" w:line="186" w:lineRule="exact"/>
        <w:rPr>
          <w:sz w:val="20"/>
          <w:szCs w:val="20"/>
          <w:color w:val="auto"/>
        </w:rPr>
      </w:pPr>
    </w:p>
    <w:p>
      <w:pPr>
        <w:jc w:val="both"/>
        <w:ind w:right="20"/>
        <w:spacing w:after="0" w:line="241" w:lineRule="auto"/>
        <w:rPr>
          <w:sz w:val="20"/>
          <w:szCs w:val="20"/>
          <w:color w:val="auto"/>
        </w:rPr>
      </w:pPr>
      <w:r>
        <w:rPr>
          <w:rFonts w:ascii="Calibri" w:cs="Calibri" w:eastAsia="Calibri" w:hAnsi="Calibri"/>
          <w:sz w:val="15"/>
          <w:szCs w:val="15"/>
          <w:b w:val="1"/>
          <w:bCs w:val="1"/>
          <w:i w:val="1"/>
          <w:iCs w:val="1"/>
          <w:color w:val="auto"/>
        </w:rPr>
        <w:t>We may fail to successfully integrate CarOfer and/or fail to fully realize all of the antcipated benefts of the 2023 CarOfer Transacton, which could harm our business, brands, operatng results, and fnancial conditon.</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On December 1, 2023, we completed the 2023 CarOfer Transacton. Successful integraton of CarOfer’s operatons and personnel into our existng operatons places an additonal burden on management and other internal resources. The integraton process could distract our management, disrupt our ongoing business, or result in inconsistencies in our services, standards, controls, procedures, and policies, any of which could adversely afect our ability to maintain relatonships with customers and employees or to achieve the antcipated benefts of the 2023 CarOfer Transacton, which could, in turn, harm our business, brands, operatng results, and fnancial conditon.</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b w:val="1"/>
          <w:bCs w:val="1"/>
          <w:i w:val="1"/>
          <w:iCs w:val="1"/>
          <w:color w:val="auto"/>
        </w:rPr>
        <w:t>If dealers or other advertsers reduce their spending with us, our advertsing revenue and business and our fnancial results would be harmed.</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A porton of our revenue is derived from advertsing revenue generated primarily through short-term advertsing sales, including on-site advertsing and audience targetng services, to dealers, auto manufacturers, and other auto-related brand advertsers. We compete for this advertsing revenue with other online automotve marketplaces and with television, print media, and other traditonal advertsing channels. Our ability to atract and retain advertsers and to generate advertsing revenue depends on a number of factors, including our ability to increase the number of consumers using our marketplaces; compete efectvely for advertsing spending with other online automotve marketplaces; contnue to develop our advertsing products; keep pace with changes in technology and the practces and oferings of our compettors, including the use of AI; and</w:t>
      </w:r>
    </w:p>
    <w:p>
      <w:pPr>
        <w:spacing w:after="0" w:line="185" w:lineRule="exact"/>
        <w:rPr>
          <w:sz w:val="20"/>
          <w:szCs w:val="20"/>
          <w:color w:val="auto"/>
        </w:rPr>
      </w:pPr>
    </w:p>
    <w:p>
      <w:pPr>
        <w:jc w:val="center"/>
        <w:spacing w:after="0"/>
        <w:rPr>
          <w:sz w:val="20"/>
          <w:szCs w:val="20"/>
          <w:color w:val="auto"/>
        </w:rPr>
      </w:pPr>
      <w:r>
        <w:rPr>
          <w:rFonts w:ascii="Calibri" w:cs="Calibri" w:eastAsia="Calibri" w:hAnsi="Calibri"/>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408940</wp:posOffset>
            </wp:positionV>
            <wp:extent cx="7178040" cy="400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3" w:right="319" w:bottom="1440" w:gutter="0" w:footer="0" w:header="0"/>
        </w:sectPr>
      </w:pPr>
    </w:p>
    <w:bookmarkStart w:id="29" w:name="page30"/>
    <w:bookmarkEnd w:id="29"/>
    <w:p>
      <w:pPr>
        <w:spacing w:after="0"/>
        <w:rPr>
          <w:sz w:val="20"/>
          <w:szCs w:val="20"/>
          <w:color w:val="auto"/>
        </w:rPr>
      </w:pPr>
      <w:r>
        <w:rPr>
          <w:rFonts w:ascii="Calibri" w:cs="Calibri" w:eastAsia="Calibri" w:hAnsi="Calibri"/>
          <w:sz w:val="15"/>
          <w:szCs w:val="15"/>
          <w:color w:val="auto"/>
        </w:rPr>
        <w:t>ofer an atractve ROI to our advertsers for their advertsing spend with us.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As a result of the efects of the COVID-19 pandemic, some advertsers canceled or reduced their advertsing with us and it is possible that advertsing customers will cancel or reduce their advertsing with us in the future for a variety of reasons, including macroeconomic issues, such as increased interest rates and other maters that infuence consumer spending. In additon, the year-over-year decline in the number of consumer visits to our sites as a result of the COVID-19 pandemic or otherwise resulted in the delivery of fewer impressions for our advertsing customers than antcipated year-over-year for the years ended December 31, 2022, 2021, and 2020, which caused, and may contnue to cause, an adverse impact on our advertsing revenue. We may not succeed in capturing a greater share of our advertsers’ spending if we are unable to convince advertsers of the efectveness or superiority of our advertsing oferings as compared to alternatve channels. If current advertsers reduce their advertsing spending with us and we are unable to replace such reduced advertsing spending, our advertsing revenue and business and fnancial results would be harmed.</w:t>
      </w:r>
    </w:p>
    <w:p>
      <w:pPr>
        <w:spacing w:after="0" w:line="186" w:lineRule="exact"/>
        <w:rPr>
          <w:sz w:val="20"/>
          <w:szCs w:val="20"/>
          <w:color w:val="auto"/>
        </w:rPr>
      </w:pPr>
    </w:p>
    <w:p>
      <w:pPr>
        <w:jc w:val="both"/>
        <w:spacing w:after="0" w:line="241" w:lineRule="auto"/>
        <w:rPr>
          <w:sz w:val="20"/>
          <w:szCs w:val="20"/>
          <w:color w:val="auto"/>
        </w:rPr>
      </w:pPr>
      <w:r>
        <w:rPr>
          <w:rFonts w:ascii="Calibri" w:cs="Calibri" w:eastAsia="Calibri" w:hAnsi="Calibri"/>
          <w:sz w:val="15"/>
          <w:szCs w:val="15"/>
          <w:b w:val="1"/>
          <w:bCs w:val="1"/>
          <w:i w:val="1"/>
          <w:iCs w:val="1"/>
          <w:color w:val="auto"/>
        </w:rPr>
        <w:t>If we are unable to provide a compelling experience to consumers on our platorm, connectons between consumers and dealers using our marketplaces may decline and our business and fnancial results would be materially and adversely afected.</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If we fail to provide a compelling vehicle search experience to consumers, the number of connectons between consumers and dealers through our marketplaces could decline, which, in turn, could lead dealers to suspend listng their inventory in our marketplaces, cancel their subscriptons, or reduce their spending with us. If dealers pause or cancel listng their inventory in our marketplaces, we may not be able to atract a large consumer audience, which may cause other dealers to pause or cancel their use of our marketplaces. This reducton in the number of dealers using our marketplaces would materially and adversely afect our marketplaces and our business and fnancial results. We believe that our ability to provide a compelling vehicle search experience, both on desktop computers and through mobile devices, is subject to a number of factors, including our ability to maintain atractve marketplaces for consumers and dealers; contnue to innovate and introduce products for our marketplaces; antcipate or adapt to new and changing technologies, including the use of AI, and consumer requirements on a tmely basis; launch new products that are efectve and have a high degree of consumer engagement; display a wide variety of automobile inventory to atract more consumers to our websites; provide mobile applicatons that engage consumers; maintain the compatbility of our mobile applicatons with operatng systems, such as iOS and Android, and with popular mobile devices running such operatng systems; and access and analyze a sufcient amount of data to enable us to provide relevant informaton to consumers, including pricing informaton and accurate vehicle details.</w:t>
      </w:r>
    </w:p>
    <w:p>
      <w:pPr>
        <w:spacing w:after="0" w:line="186" w:lineRule="exact"/>
        <w:rPr>
          <w:sz w:val="20"/>
          <w:szCs w:val="20"/>
          <w:color w:val="auto"/>
        </w:rPr>
      </w:pPr>
    </w:p>
    <w:p>
      <w:pPr>
        <w:jc w:val="both"/>
        <w:spacing w:after="0" w:line="241" w:lineRule="auto"/>
        <w:rPr>
          <w:sz w:val="20"/>
          <w:szCs w:val="20"/>
          <w:color w:val="auto"/>
        </w:rPr>
      </w:pPr>
      <w:r>
        <w:rPr>
          <w:rFonts w:ascii="Calibri" w:cs="Calibri" w:eastAsia="Calibri" w:hAnsi="Calibri"/>
          <w:sz w:val="15"/>
          <w:szCs w:val="15"/>
          <w:b w:val="1"/>
          <w:bCs w:val="1"/>
          <w:i w:val="1"/>
          <w:iCs w:val="1"/>
          <w:color w:val="auto"/>
        </w:rPr>
        <w:t>Any inability by us to develop new products, adapt to new technologies, or achieve widespread consumer and dealer adopton of those products, could negatvely impact our business and fnancial results.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Our success depends on our contnued innovaton to provide products that make our marketplaces, websites, and mobile applicatons useful for consumers and dealers or that otherwise provide value to consumers and dealers. For example, we contnue to develop digital retail oferings, including those that expand a dealer’s geographic footprint and others that bring additonal elements of the car buying experience online through our websites. A failure by us to capture the benefts that we expect from these digital retail investments could negatvely impact our business and fnancial results.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We also antcipate that over tme our investments in our current products may become less productve and the growth of our revenue will require more focus on developing new products. These new products must be widely adopted by consumers and dealers in order for us to contnue to atract consumers to our marketplaces and dealers to our products and services. Accordingly, we must contnually invest resources in product, technology, and development to improve the atractveness of our marketplaces and adapt to new and changing technologies and consumer requirements. Our ability to engage in these actvites may decline as a result of macroeconomic efects and any cost-savings initatves on our business. These product, technology, and development expenses may include costs of hiring additonal personnel and retaining our current employees, engaging third-party service providers, and conductng other research and development actvites. There can be no assurance that innovatons to our products like IMCO or TDO, or the development of future products, will increase consumer or dealer engagement, achieve market acceptance, create additonal revenue, or become proftable. There can also be no assurance that our future products will meet consumer expectatons in light of new technologies ofered by others in the marketplace. In additon, revenue relatng to new products is typically unpredictable and our new products may have lower gross margins, lower retenton rates, and higher marketng and sales costs than our existng products. We are likely to contnue to modify our pricing models for both existng and new products so that our prices for our oferings refect the value those oferings are providing to consumers and dealers. Our pricing models may not efectvely refect the value of products to dealers, and, if we are unable to</w:t>
      </w:r>
    </w:p>
    <w:p>
      <w:pPr>
        <w:spacing w:after="0" w:line="186" w:lineRule="exact"/>
        <w:rPr>
          <w:sz w:val="20"/>
          <w:szCs w:val="20"/>
          <w:color w:val="auto"/>
        </w:rPr>
      </w:pPr>
    </w:p>
    <w:p>
      <w:pPr>
        <w:jc w:val="center"/>
        <w:spacing w:after="0"/>
        <w:rPr>
          <w:sz w:val="20"/>
          <w:szCs w:val="20"/>
          <w:color w:val="auto"/>
        </w:rPr>
      </w:pPr>
      <w:r>
        <w:rPr>
          <w:rFonts w:ascii="Calibri" w:cs="Calibri" w:eastAsia="Calibri" w:hAnsi="Calibri"/>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408940</wp:posOffset>
            </wp:positionV>
            <wp:extent cx="7178040" cy="400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3" w:right="319" w:bottom="1440" w:gutter="0" w:footer="0" w:header="0"/>
        </w:sectPr>
      </w:pPr>
    </w:p>
    <w:bookmarkStart w:id="30" w:name="page31"/>
    <w:bookmarkEnd w:id="30"/>
    <w:p>
      <w:pPr>
        <w:jc w:val="both"/>
        <w:spacing w:after="0" w:line="241" w:lineRule="auto"/>
        <w:rPr>
          <w:sz w:val="20"/>
          <w:szCs w:val="20"/>
          <w:color w:val="auto"/>
        </w:rPr>
      </w:pPr>
      <w:r>
        <w:rPr>
          <w:rFonts w:ascii="Calibri" w:cs="Calibri" w:eastAsia="Calibri" w:hAnsi="Calibri"/>
          <w:sz w:val="15"/>
          <w:szCs w:val="15"/>
          <w:color w:val="auto"/>
        </w:rPr>
        <w:t>provide marketplaces and products that consumers and dealers want to use, they may reduce or cease the use of our marketplaces and products. Without innovatve marketplaces and related products, we may be unable to atract additonal, unique consumers or retain current consumers, which could afect the number of dealers that become paying dealers and the number of advertsers that want to advertse in our marketplaces, as well as the amounts that they are willing to pay for our products, which could, in turn, negatvely impact our business and fnancial results.</w:t>
      </w:r>
    </w:p>
    <w:p>
      <w:pPr>
        <w:spacing w:after="0" w:line="185" w:lineRule="exact"/>
        <w:rPr>
          <w:sz w:val="20"/>
          <w:szCs w:val="20"/>
          <w:color w:val="auto"/>
        </w:rPr>
      </w:pPr>
    </w:p>
    <w:p>
      <w:pPr>
        <w:jc w:val="both"/>
        <w:spacing w:after="0" w:line="241" w:lineRule="auto"/>
        <w:rPr>
          <w:sz w:val="20"/>
          <w:szCs w:val="20"/>
          <w:color w:val="auto"/>
        </w:rPr>
      </w:pPr>
      <w:r>
        <w:rPr>
          <w:rFonts w:ascii="Calibri" w:cs="Calibri" w:eastAsia="Calibri" w:hAnsi="Calibri"/>
          <w:sz w:val="15"/>
          <w:szCs w:val="15"/>
          <w:b w:val="1"/>
          <w:bCs w:val="1"/>
          <w:i w:val="1"/>
          <w:iCs w:val="1"/>
          <w:color w:val="auto"/>
        </w:rPr>
        <w:t>We rely, in part, on internet search engines to drive trafc to our websites, and if we fail to appear prominently in the search results, our trafc would decline and our business would be adversely afected.</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We rely, in part, on internet search engines such as Google, Bing, and Yahoo! to drive trafc to our websites. The number of consumers we atract to our marketplaces from search engines is due in part to how and where our websites rank in unpaid search results. These rankings can be afected by a number of factors, many of which are not under our direct control and may change frequently. For example, when a consumer searches for a vehicle in an internet search engine, we rely on a high organic search ranking of our webpages to refer the consumer to our websites. Our compettors’ internet search engine optmizaton eforts may result in their websites receiving higher search result rankings than ours, or internet search engines could change their methodologies and/or introduce competng products in a way that would adversely afect our search result rankings. If internet search engines modify their methodologies in ways that are detrimental to us, as they have done from tme to tme, or if our eforts to improve our search engine optmizaton are unsuccessful or less successful than our compettors’ eforts, our ability to atract a large consumer audience could diminish, trafc to our marketplaces could decline, and the number of leads that we send to our dealers could be adversely impacted. Additonally, competng products from internet search engine providers, such as those that provide dealer and vehicle pricing and other informaton directly in search results or decreases in consumer use of search engines, for example, as a result of the contnued development of AI technology, could also adversely impact trafc to our websites and the number of leads that we are able to send to our dealers. Our business would also be adversely afected if internet search engine providers choose to align with our compettors. Reductons in our own search advertsing spend or more aggressive spending by our compettors could also cause us to incur higher advertsing costs and/or reduce our market visibility to prospectve users. Our websites have experienced fuctuatons in organic and paid search result rankings in the past, and we antcipate fuctuatons in the future. Any reducton in the number of consumers directed to our websites through internet search engines would harm our business and operatng results.</w:t>
      </w:r>
    </w:p>
    <w:p>
      <w:pPr>
        <w:spacing w:after="0" w:line="187" w:lineRule="exact"/>
        <w:rPr>
          <w:sz w:val="20"/>
          <w:szCs w:val="20"/>
          <w:color w:val="auto"/>
        </w:rPr>
      </w:pPr>
    </w:p>
    <w:p>
      <w:pPr>
        <w:jc w:val="both"/>
        <w:ind w:right="20"/>
        <w:spacing w:after="0" w:line="241" w:lineRule="auto"/>
        <w:rPr>
          <w:sz w:val="20"/>
          <w:szCs w:val="20"/>
          <w:color w:val="auto"/>
        </w:rPr>
      </w:pPr>
      <w:r>
        <w:rPr>
          <w:rFonts w:ascii="Calibri" w:cs="Calibri" w:eastAsia="Calibri" w:hAnsi="Calibri"/>
          <w:sz w:val="15"/>
          <w:szCs w:val="15"/>
          <w:b w:val="1"/>
          <w:bCs w:val="1"/>
          <w:i w:val="1"/>
          <w:iCs w:val="1"/>
          <w:color w:val="auto"/>
        </w:rPr>
        <w:t>We may be unable to maintain or grow relatonships with data providers, or may experience interruptons in the data they provide, which may create a less valuable or transparent shopping experience and negatvely afect our business and operatng results.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We obtain data from many third-party data providers, including inventory management systems, automotve website providers, customer relatonship management systems, dealer management systems, governmental enttes, and third-party data licensors. Our business relies on our ability to obtain data for the beneft of consumers and dealers using our marketplaces. For example, our success in each market is dependent in part upon our ability to obtain and maintain inventory data and other vehicle informaton for those markets. The loss or interrupton of such inventory data or other vehicle informaton could decrease the number of consumers using our marketplaces. We could experience interruptons in our data access for a number of reasons, including difcultes in renewing our agreements with data providers, changes to the sofware used by data providers, eforts by industry partcipants to restrict access to data, and increased fees we may be charged by data providers. Our marketplaces could be negatvely afected if any current provider terminates its relatonship with us or our service from any provider is interrupted. If there is a material disrupton in the data provided to us, the informaton that we provide to consumers and dealers using our marketplaces may be limited. In additon, the quality, accuracy, and tmeliness of this informaton may sufer, which may lead to a less valuable or transparent shopping experience for consumers using our marketplaces and could negatvely afect our business and operatng results.</w:t>
      </w:r>
    </w:p>
    <w:p>
      <w:pPr>
        <w:spacing w:after="0" w:line="186" w:lineRule="exact"/>
        <w:rPr>
          <w:sz w:val="20"/>
          <w:szCs w:val="20"/>
          <w:color w:val="auto"/>
        </w:rPr>
      </w:pPr>
    </w:p>
    <w:p>
      <w:pPr>
        <w:jc w:val="both"/>
        <w:ind w:right="20"/>
        <w:spacing w:after="0" w:line="241" w:lineRule="auto"/>
        <w:rPr>
          <w:sz w:val="20"/>
          <w:szCs w:val="20"/>
          <w:color w:val="auto"/>
        </w:rPr>
      </w:pPr>
      <w:r>
        <w:rPr>
          <w:rFonts w:ascii="Calibri" w:cs="Calibri" w:eastAsia="Calibri" w:hAnsi="Calibri"/>
          <w:sz w:val="15"/>
          <w:szCs w:val="15"/>
          <w:b w:val="1"/>
          <w:bCs w:val="1"/>
          <w:i w:val="1"/>
          <w:iCs w:val="1"/>
          <w:color w:val="auto"/>
        </w:rPr>
        <w:t>The failure to build, maintain, and protect our brands would harm our ability to atract a large consumer audience and to expand the use of our marketplaces by consumers and dealers.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Maintaining and enhancing our brands will depend largely on the success of our eforts to maintain the trust of consumers and dealers and to deliver value to each consumer and dealer using our marketplaces. Our ability to protect our brands is also impacted by the success of our eforts to optmize our signifcant brand spend and overcome the intense competton in brand marketng across our industry, including compettors that may imitate our messaging. In additon, we have reduced our brand spend in comparison to our pre-COVID-19 pandemic levels, and it is possible that we may in the future decide to further suppress</w:t>
      </w:r>
    </w:p>
    <w:p>
      <w:pPr>
        <w:spacing w:after="0" w:line="185" w:lineRule="exact"/>
        <w:rPr>
          <w:sz w:val="20"/>
          <w:szCs w:val="20"/>
          <w:color w:val="auto"/>
        </w:rPr>
      </w:pPr>
    </w:p>
    <w:p>
      <w:pPr>
        <w:jc w:val="center"/>
        <w:spacing w:after="0"/>
        <w:rPr>
          <w:sz w:val="20"/>
          <w:szCs w:val="20"/>
          <w:color w:val="auto"/>
        </w:rPr>
      </w:pPr>
      <w:r>
        <w:rPr>
          <w:rFonts w:ascii="Calibri" w:cs="Calibri" w:eastAsia="Calibri" w:hAnsi="Calibri"/>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408940</wp:posOffset>
            </wp:positionV>
            <wp:extent cx="7178040" cy="400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4" w:right="319" w:bottom="1440" w:gutter="0" w:footer="0" w:header="0"/>
        </w:sectPr>
      </w:pPr>
    </w:p>
    <w:bookmarkStart w:id="31" w:name="page32"/>
    <w:bookmarkEnd w:id="31"/>
    <w:p>
      <w:pPr>
        <w:jc w:val="both"/>
        <w:spacing w:after="0" w:line="241" w:lineRule="auto"/>
        <w:rPr>
          <w:sz w:val="20"/>
          <w:szCs w:val="20"/>
          <w:color w:val="auto"/>
        </w:rPr>
      </w:pPr>
      <w:r>
        <w:rPr>
          <w:rFonts w:ascii="Calibri" w:cs="Calibri" w:eastAsia="Calibri" w:hAnsi="Calibri"/>
          <w:sz w:val="15"/>
          <w:szCs w:val="15"/>
          <w:color w:val="auto"/>
        </w:rPr>
        <w:t>such spend depending on macroeconomic conditons. If consumers believe that we are not focused on providing them with a beter automobile shopping experience, or if we fail to overcome brand marketng competton and maintain a diferentated value propositon in consumers’ minds, our reputaton and the strength of our brands may be adversely afected.</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Complaints or negatve publicity about our business practces and culture, our management team and employees, our marketng and advertsing campaigns, our compliance with applicable laws and regulatons, the integrity of the data that we provide to consumers, data privacy and security issues, third party content and conduct on our websites, and other aspects of our business, irrespectve of their validity, could diminish consumers’ and dealers’ confdence and partcipaton in our marketplaces and could adversely afect our brands. There can be no assurance that we will be able to maintain or enhance our brands, and failure to do so would harm our business growth prospects and operatng results.</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b w:val="1"/>
          <w:bCs w:val="1"/>
          <w:i w:val="1"/>
          <w:iCs w:val="1"/>
          <w:color w:val="auto"/>
        </w:rPr>
        <w:t>Our revenue growth rate in the future is uncertain, including due to potental macroeconomic efects.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Our revenue decreased to $914.2 million for the year ended December 31, 2023 from $1,655.0 million for the year ended December 31, 2022, representng a 45% decrease between such periods. Our revenue in the future is uncertain and could potentally be impacted by macroeconomic issues, such as declining wholesale vehicle prices, increased interest rates, lower consumer confdence, labor, disruptons, work stoppages, or strikes, consumer debt levels, the war in Ukraine and Russian sanctons, the confict in Israel and surrounding areas and the possible expansion of such confict, and other maters that infuence consumer spending and preferences. We will also not be able to grow as expected, or at all, if we fail to increase the number of consumers using our marketplaces; atract new consumers to sell their vehicles online through IMCO; maintain and expand the number of dealers that subscribe to our marketplaces and maintain and increase the fees that they are paying; expand the number of dealers engaging on the CarOfer platorm and increase the share of wholesale transactons which they complete on such platorm; atract and retain advertsers placing advertsements in our marketplaces; further improve the quality of our marketplaces and introduce high quality new products; and increase the number of connectons between consumers and dealers using our marketplaces and connectons to paying dealers. If our revenue declines or fails to grow, investors’ perceptons of our business may be adversely afected, and the market price of our Class A common stock could decline.</w:t>
      </w:r>
    </w:p>
    <w:p>
      <w:pPr>
        <w:spacing w:after="0" w:line="186" w:lineRule="exact"/>
        <w:rPr>
          <w:sz w:val="20"/>
          <w:szCs w:val="20"/>
          <w:color w:val="auto"/>
        </w:rPr>
      </w:pPr>
    </w:p>
    <w:p>
      <w:pPr>
        <w:jc w:val="both"/>
        <w:ind w:right="20"/>
        <w:spacing w:after="0" w:line="241" w:lineRule="auto"/>
        <w:rPr>
          <w:sz w:val="20"/>
          <w:szCs w:val="20"/>
          <w:color w:val="auto"/>
        </w:rPr>
      </w:pPr>
      <w:r>
        <w:rPr>
          <w:rFonts w:ascii="Calibri" w:cs="Calibri" w:eastAsia="Calibri" w:hAnsi="Calibri"/>
          <w:sz w:val="15"/>
          <w:szCs w:val="15"/>
          <w:b w:val="1"/>
          <w:bCs w:val="1"/>
          <w:i w:val="1"/>
          <w:iCs w:val="1"/>
          <w:color w:val="auto"/>
        </w:rPr>
        <w:t>We may require additonal capital to pursue our business objectves and respond to business opportunites, challenges, or unforeseen circumstances. If we are unable to generate sufcient cash fows or if capital is not available to us, our business, operatng results, fnancial conditon, and prospects could be adversely afected.</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If we are unable to generate sufcient cash fows, we would require additonal capital to pursue our business objectves and respond to business opportunites, challenges, or unforeseen circumstances, including the efects of macroeconomic issues, as well as to make marketng expenditures to improve our brand awareness, develop new products, further improve our platorm and existng products, enhance our operatng infrastructure, and acquire complementary businesses and technologies. We may need to engage in equity or debt fnancings to secure additonal funds, in additon to our revolving credit facility associated with the Credit Agreement (as defned below), which we refer to as the 2022 Revolver. Additonal funds may not be available when we need them on terms that are acceptable to us or at all. Volatlity in the equity and credit markets, including heightened infaton and interest rate and currency rate fuctuaton, may also have an adverse efect on our ability to obtain equity or debt fnancing. An inability to obtain adequate fnancing or fnancing on terms satsfactory to us when we require it could signifcantly limit our ability to contnue to pursue our business objectves and to respond to business opportunites, challenges, or unforeseen circumstances, and could adversely afect our business, operatng results, fnancial conditon, and prospects.</w:t>
      </w:r>
    </w:p>
    <w:p>
      <w:pPr>
        <w:spacing w:after="0" w:line="186" w:lineRule="exact"/>
        <w:rPr>
          <w:sz w:val="20"/>
          <w:szCs w:val="20"/>
          <w:color w:val="auto"/>
        </w:rPr>
      </w:pPr>
    </w:p>
    <w:p>
      <w:pPr>
        <w:spacing w:after="0"/>
        <w:rPr>
          <w:sz w:val="20"/>
          <w:szCs w:val="20"/>
          <w:color w:val="auto"/>
        </w:rPr>
      </w:pPr>
      <w:r>
        <w:rPr>
          <w:rFonts w:ascii="Calibri" w:cs="Calibri" w:eastAsia="Calibri" w:hAnsi="Calibri"/>
          <w:sz w:val="15"/>
          <w:szCs w:val="15"/>
          <w:b w:val="1"/>
          <w:bCs w:val="1"/>
          <w:i w:val="1"/>
          <w:iCs w:val="1"/>
          <w:color w:val="auto"/>
        </w:rPr>
        <w:t>Our internatonal operatons involve risks that may difer from, or are in additon to, our domestc operatonal risks.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In additon to the U.S., we operate marketplaces in the U.K. and Canada, which are less familiar compettve environments and involve various risks, including the need to invest signifcant resources and the likelihood that returns on such investments will not be achieved for several years, or possibly at all. We have incurred losses in prior periods in the U.K. and Canada and may incur losses there again in the future. We also face various other challenges in those jurisdictons. Our compettors may be more established or otherwise beter positoned than we are to succeed in the U.K. and Canada. Our compettors may ofer services to dealers that make dealers dependent on them, such as hostng dealers’ websites and providing inventory feeds for dealers, which would make it difcult to atract dealers to our marketplaces. Any of these barriers could impede our operatons in our internatonal markets, which could afect our business and potental growth.</w:t>
      </w:r>
    </w:p>
    <w:p>
      <w:pPr>
        <w:spacing w:after="0" w:line="185" w:lineRule="exact"/>
        <w:rPr>
          <w:sz w:val="20"/>
          <w:szCs w:val="20"/>
          <w:color w:val="auto"/>
        </w:rPr>
      </w:pPr>
    </w:p>
    <w:p>
      <w:pPr>
        <w:jc w:val="center"/>
        <w:spacing w:after="0"/>
        <w:rPr>
          <w:sz w:val="20"/>
          <w:szCs w:val="20"/>
          <w:color w:val="auto"/>
        </w:rPr>
      </w:pPr>
      <w:r>
        <w:rPr>
          <w:rFonts w:ascii="Calibri" w:cs="Calibri" w:eastAsia="Calibri" w:hAnsi="Calibri"/>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408940</wp:posOffset>
            </wp:positionV>
            <wp:extent cx="7178040" cy="400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4" w:right="319" w:bottom="1440" w:gutter="0" w:footer="0" w:header="0"/>
        </w:sectPr>
      </w:pPr>
    </w:p>
    <w:bookmarkStart w:id="32" w:name="page33"/>
    <w:bookmarkEnd w:id="32"/>
    <w:p>
      <w:pPr>
        <w:jc w:val="both"/>
        <w:ind w:firstLine="511"/>
        <w:spacing w:after="0" w:line="241" w:lineRule="auto"/>
        <w:rPr>
          <w:sz w:val="20"/>
          <w:szCs w:val="20"/>
          <w:color w:val="auto"/>
        </w:rPr>
      </w:pPr>
      <w:r>
        <w:rPr>
          <w:rFonts w:ascii="Calibri" w:cs="Calibri" w:eastAsia="Calibri" w:hAnsi="Calibri"/>
          <w:sz w:val="15"/>
          <w:szCs w:val="15"/>
          <w:color w:val="auto"/>
        </w:rPr>
        <w:t>Our ability to manage our business and conduct our operatons internatonally requires considerable management atenton and resources, and is subject to the partcular challenges of supportng a business in an environment of multple cultures, customs, legal and regulatory systems, alternatve dispute resoluton systems, and commercial infrastructures. Operatng internatonally may subject us to diferent risks or increase our exposure in connecton with current risks, including adaptng our websites and mobile applicatons to conform to local consumer behavior; increased competton from local providers and potental preferences by local populatons for local providers; compliance with applicable foreign laws and regulatons, including diferent privacy, censorship, and liability standards and regulatons, and diferent intellectual property laws; the enforceability of our intellectual property rights; credit risk and higher levels of payment fraud; compliance with ant-bribery laws, including compliance with currency exchange rate fuctuatons; adverse changes in trade relatonships among foreign countries and/or between the U.S. and such countries; double taxaton of our internatonal earnings and potentally adverse tax consequences arising from the tax laws of the U.S. or the foreign jurisdictons in which we operate; and higher costs of doing business internatonally.</w:t>
      </w:r>
    </w:p>
    <w:p>
      <w:pPr>
        <w:spacing w:after="0" w:line="186" w:lineRule="exact"/>
        <w:rPr>
          <w:sz w:val="20"/>
          <w:szCs w:val="20"/>
          <w:color w:val="auto"/>
        </w:rPr>
      </w:pPr>
    </w:p>
    <w:p>
      <w:pPr>
        <w:jc w:val="both"/>
        <w:ind w:right="20"/>
        <w:spacing w:after="0" w:line="241" w:lineRule="auto"/>
        <w:rPr>
          <w:sz w:val="20"/>
          <w:szCs w:val="20"/>
          <w:color w:val="auto"/>
        </w:rPr>
      </w:pPr>
      <w:r>
        <w:rPr>
          <w:rFonts w:ascii="Calibri" w:cs="Calibri" w:eastAsia="Calibri" w:hAnsi="Calibri"/>
          <w:sz w:val="15"/>
          <w:szCs w:val="15"/>
          <w:b w:val="1"/>
          <w:bCs w:val="1"/>
          <w:i w:val="1"/>
          <w:iCs w:val="1"/>
          <w:color w:val="auto"/>
        </w:rPr>
        <w:t>We depend on key personnel to operate our business, and if we are unable to retain, atract, and integrate qualifed personnel, or if we experience turnover of our key personnel, our ability to develop and successfully grow our business could be materially and adversely afected.</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We believe our success has depended, and contnues to depend, on our contnuing ability to atract, develop, motvate, and retain highly qualifed and skilled employees. We have encountered intense competton for retaining and atractng qualifed and skilled employees. Accordingly, we have incurred, and we may contnue to incur, signifcant costs to atract new employees and retain existng ones, and we may in the future become less compettve in atractng and retaining employees as a result of any expense reducton eforts that we may initate. If we do not succeed in atractng well-qualifed employees or retaining and motvatng existng employees, our business could be materially and adversely afected.</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In additon, any unplanned turnover, reduced involvement, or our failure to develop an adequate succession plan for any of our executve ofcers or key employees, or the reducton in their involvement in the management of our business, could materially adversely afect our ability to execute our business plan and strategy, and we may not be able to fnd adequate replacements on a tmely basis, or at all. Our executve ofcers and other employees are at-will, which means they may terminate their employment relatonships with us at any tme. We cannot ensure that we will be able to retain the services of any members of our senior management or other key employees. Furthermore, changes in our senior management team and other key employees have the potental to disrupt our business, and any such disrupton could adversely afect our operatons, growth, fnancial conditon, or results of operatons.</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b w:val="1"/>
          <w:bCs w:val="1"/>
          <w:i w:val="1"/>
          <w:iCs w:val="1"/>
          <w:color w:val="auto"/>
        </w:rPr>
        <w:t>We may be subject to disputes regarding the accuracy of Instant Market Values, Deal Ratngs, Dealer Ratngs, New Car Price Guidance, and other features of our marketplaces.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We provide consumers using our CarGurus platorm and dealers using our CarOfer platorm with our proprietary IMV, Deal Ratngs, and Dealer Ratngs, as well as other features to help them evaluate vehicle listngs, including price guidance for new car listngs, or New Car Price Guidance. Our valuaton models depend on the inventory listed on our websites as well as public informaton regarding automotve sales. If the inventory on our websites declines signifcantly, or if the number of automotve sales declines signifcantly or used car sales prices become volatle, whether as a result of macroeconomic efects or otherwise, our valuaton models may not perform as expected. Revisions to or errors in our automated valuaton models, or the algorithms that underlie them, may cause the IMV, the Deal Ratng, New Car Price Guidance, or other features to vary from our expectatons regarding the accuracy of these tools. In additon, from tme to tme, regulators, consumers, dealers, and other industry partcipants may queston or disagree with our IMV, Deal Ratng, Dealer Ratng, or New Car Price Guidance. Any such questons or disagreements could result in distracton from our business or potentally harm our reputaton, could result in a decline in consumers’ confdence in, or use of, our marketplaces, and could result in legal disputes.</w:t>
      </w:r>
    </w:p>
    <w:p>
      <w:pPr>
        <w:spacing w:after="0" w:line="186" w:lineRule="exact"/>
        <w:rPr>
          <w:sz w:val="20"/>
          <w:szCs w:val="20"/>
          <w:color w:val="auto"/>
        </w:rPr>
      </w:pPr>
    </w:p>
    <w:p>
      <w:pPr>
        <w:jc w:val="both"/>
        <w:ind w:right="20"/>
        <w:spacing w:after="0" w:line="241" w:lineRule="auto"/>
        <w:rPr>
          <w:sz w:val="20"/>
          <w:szCs w:val="20"/>
          <w:color w:val="auto"/>
        </w:rPr>
      </w:pPr>
      <w:r>
        <w:rPr>
          <w:rFonts w:ascii="Calibri" w:cs="Calibri" w:eastAsia="Calibri" w:hAnsi="Calibri"/>
          <w:sz w:val="15"/>
          <w:szCs w:val="15"/>
          <w:b w:val="1"/>
          <w:bCs w:val="1"/>
          <w:i w:val="1"/>
          <w:iCs w:val="1"/>
          <w:color w:val="auto"/>
        </w:rPr>
        <w:t>We are subject to a complex framework of laws and regulatons, many of which are unsetled, stll developing, and contradictory, which have in the past, and could in the future, subject us to claims, challenge our business model, or otherwise harm our business.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Various aspects of our business are, may become, or may be viewed by regulators from tme to tme as subject, directly or indirectly, to U.S. federal, state, and local laws and regulatons, and to foreign laws and regulatons.</w:t>
      </w:r>
    </w:p>
    <w:p>
      <w:pPr>
        <w:spacing w:after="0" w:line="184" w:lineRule="exact"/>
        <w:rPr>
          <w:sz w:val="20"/>
          <w:szCs w:val="20"/>
          <w:color w:val="auto"/>
        </w:rPr>
      </w:pPr>
    </w:p>
    <w:p>
      <w:pPr>
        <w:jc w:val="center"/>
        <w:spacing w:after="0"/>
        <w:rPr>
          <w:sz w:val="20"/>
          <w:szCs w:val="20"/>
          <w:color w:val="auto"/>
        </w:rPr>
      </w:pPr>
      <w:r>
        <w:rPr>
          <w:rFonts w:ascii="Calibri" w:cs="Calibri" w:eastAsia="Calibri" w:hAnsi="Calibri"/>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408940</wp:posOffset>
            </wp:positionV>
            <wp:extent cx="7178040" cy="400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4" w:right="319" w:bottom="1440" w:gutter="0" w:footer="0" w:header="0"/>
        </w:sectPr>
      </w:pPr>
    </w:p>
    <w:bookmarkStart w:id="33" w:name="page34"/>
    <w:bookmarkEnd w:id="33"/>
    <w:p>
      <w:pPr>
        <w:spacing w:after="0"/>
        <w:rPr>
          <w:sz w:val="20"/>
          <w:szCs w:val="20"/>
          <w:color w:val="auto"/>
        </w:rPr>
      </w:pPr>
      <w:r>
        <w:rPr>
          <w:rFonts w:ascii="Calibri" w:cs="Calibri" w:eastAsia="Calibri" w:hAnsi="Calibri"/>
          <w:sz w:val="15"/>
          <w:szCs w:val="15"/>
          <w:i w:val="1"/>
          <w:iCs w:val="1"/>
          <w:color w:val="auto"/>
        </w:rPr>
        <w:t>Local Motor Vehicle Sales, Advertsing and Brokering, and Consumer Protecton Laws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The advertsing and sale of new and used motor vehicles is highly regulated by the jurisdictons in which we do business. Regulatory authorites or third partes could take the positon that some of the laws or regulatons applicable to dealers or to the manner in which motor vehicles are advertsed and sold generally are directly applicable to our business. If our marketplaces and related products are determined to not comply with relevant regulatory requirements, we or dealers could be subject to civil and criminal penaltes, including fnes, or the award of signifcant damages in class actons or other civil litgaton, as well as orders interfering with our ability to contnue providing our marketplaces and related products and services in certain jurisdictons. In additon, even absent such a determinaton, to the extent dealers are uncertain about the applicability of such laws and regulatons to our business, we may lose, or have difculty increasing the number of paying dealers, which would afect our future growth.</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If regulators or other third partes take the positon that our marketplaces or related products violate applicable dealer licensing, brokering, bird-dog, consumer protecton, consumer fnance, or advertsing laws or regulatons, responding to such allegatons could be costly, could require us to pay signifcant sums in setlements, could require us to pay civil and criminal penaltes, including fnes, could interfere with our ability to contnue providing our marketplaces and related products in certain jurisdictons, or could require us to make adjustments to our marketplaces and related products or the manner in which we derive revenue from dealers using our platorm, any or all of which could result in substantal adverse publicity, terminaton of subscriptons by dealers, decreased revenue, distracton for our employees, increased expenses, and decreased proftability.</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i w:val="1"/>
          <w:iCs w:val="1"/>
          <w:color w:val="auto"/>
        </w:rPr>
        <w:t>Federal Laws and Regulatons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The Federal Trade Commission, or the FTC, has the authority to take actons to remedy or prevent acts or practces that it considers to be unfair or deceptve and that afect commerce in the U.S. For example, in December 2023 the FTC issued the Combatng Auto Retail Scams Rule, or the CARS Rule. The CARS Rule sets a framework to ensure transparency throughout the vehicle selling process and could have an impact on our services. If the FTC takes the positon in the future that any aspect of our business, including our advertsing and privacy practces, consttutes an unfair or deceptve act or practce, responding to such allegatons could require us to defend our practces and pay signifcant damages, setlements, and civil penaltes, or could require us to make adjustments to our marketplaces and related products and services, any or all of which could result in substantal adverse publicity, distracton for our employees, loss of partcipatng dealers, lost revenue, increased expenses, and decreased proftability.</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Our platorms enable us, dealers, and users to send and receive text messages and other mobile phone communicatons. The TCPA, as interpreted and implemented by the FCC and federal and state courts, impose signifcant restrictons on utlizaton of telephone calls and text messages to residental and mobile telephone numbers as a means of communicaton, partcularly if the prior express consent of the person being contacted has not been obtained. Violatons of the TCPA may be enforced by the FCC, by state atorneys general, or by others through litgaton, including class actons. Furthermore, several provisions of the TCPA, as well as applicable rules and orders, are open to multple interpretatons, and compliance may involve fact-specifc analyses.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Any failure by us, or the third partes on which we rely, to adhere to, or successfully implement, appropriate processes and procedures in response to existng or future laws and regulatons could result in legal and monetary liability, fnes, and penaltes, or damage to our reputaton in the marketplace, any of which could have a material adverse efect on our business, fnancial conditon, and results of operatons. Even if the claims are meritless, we may be required to expend resources and pay costs to defend against regulatory actons or third-party claims. Additonally, any change to applicable laws or their interpretatons that further restricts the way consumers and dealers interact through our platorms, or any governmental or private enforcement actons related thereto, could adversely afect our ability to atract customers and could harm our business, fnancial conditon, results of operatons, and cash fows.</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i w:val="1"/>
          <w:iCs w:val="1"/>
          <w:color w:val="auto"/>
        </w:rPr>
        <w:t>Anttrust and Other Laws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Anttrust and competton laws prohibit, among other things, any joint conduct among compettors that would lessen competton in the marketplace. A governmental or private civil acton alleging unlawful or antcompettve actvity could be costly to defend and could harm our business, results of operatons, fnancial conditon, and cash fows.</w:t>
      </w:r>
    </w:p>
    <w:p>
      <w:pPr>
        <w:spacing w:after="0" w:line="184" w:lineRule="exact"/>
        <w:rPr>
          <w:sz w:val="20"/>
          <w:szCs w:val="20"/>
          <w:color w:val="auto"/>
        </w:rPr>
      </w:pPr>
    </w:p>
    <w:p>
      <w:pPr>
        <w:jc w:val="center"/>
        <w:spacing w:after="0"/>
        <w:rPr>
          <w:sz w:val="20"/>
          <w:szCs w:val="20"/>
          <w:color w:val="auto"/>
        </w:rPr>
      </w:pPr>
      <w:r>
        <w:rPr>
          <w:rFonts w:ascii="Calibri" w:cs="Calibri" w:eastAsia="Calibri" w:hAnsi="Calibri"/>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408940</wp:posOffset>
            </wp:positionV>
            <wp:extent cx="7178040" cy="400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3" w:right="319" w:bottom="1440" w:gutter="0" w:footer="0" w:header="0"/>
        </w:sectPr>
      </w:pPr>
    </w:p>
    <w:bookmarkStart w:id="34" w:name="page35"/>
    <w:bookmarkEnd w:id="34"/>
    <w:p>
      <w:pPr>
        <w:jc w:val="both"/>
        <w:ind w:firstLine="511"/>
        <w:spacing w:after="0" w:line="241" w:lineRule="auto"/>
        <w:rPr>
          <w:sz w:val="20"/>
          <w:szCs w:val="20"/>
          <w:color w:val="auto"/>
        </w:rPr>
      </w:pPr>
      <w:r>
        <w:rPr>
          <w:rFonts w:ascii="Calibri" w:cs="Calibri" w:eastAsia="Calibri" w:hAnsi="Calibri"/>
          <w:sz w:val="15"/>
          <w:szCs w:val="15"/>
          <w:color w:val="auto"/>
        </w:rPr>
        <w:t>Claims could be made against us under both U.S. and foreign laws, including claims for defamaton, libel, invasion of privacy, false advertsing, or intellectual property infringement, or claims based on other theories related to the nature and content of the materials disseminated by our marketplaces and on portons of our websites. Our defense against any of these actons could be costly and involve signifcant tme and atenton of our management and other resources. If we become liable for informaton transmited in our marketplaces, we could be directly harmed and we may be forced to implement new measures to reduce our exposure to this liability.</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The foregoing descripton of laws and regulatons to which we are or may be subject is not exhaustve, and the regulatory framework governing our operatons is subject to contnuous change. We are, and we will contnue to be, exposed to legal and regulatory risks including with respect to privacy, tax, law enforcement, content, intellectual property, competton, and other maters. The enactment of new laws and regulatons or the interpretaton of existng laws and regulatons, both domestcally and internatonally, may afect the operaton of our business, directly or indirectly, which could result in substantal regulatory compliance costs, civil or criminal penaltes, including fnes, adverse publicity, loss of subscribing dealers, lost revenue, increased expenses, and decreased proftability. Further, investgatons by governmental agencies, including the FTC, into allegedly antcompettve, unfair, deceptve, or other business practces by us or dealers using our marketplaces, could cause us to incur additonal expenses and, if adversely concluded, could result in substantal civil or criminal penaltes and signifcant legal liability, or orders requiring us to make adjustments to our marketplaces and related products and services.</w:t>
      </w:r>
    </w:p>
    <w:p>
      <w:pPr>
        <w:spacing w:after="0" w:line="186" w:lineRule="exact"/>
        <w:rPr>
          <w:sz w:val="20"/>
          <w:szCs w:val="20"/>
          <w:color w:val="auto"/>
        </w:rPr>
      </w:pPr>
    </w:p>
    <w:p>
      <w:pPr>
        <w:jc w:val="both"/>
        <w:spacing w:after="0" w:line="241" w:lineRule="auto"/>
        <w:rPr>
          <w:sz w:val="20"/>
          <w:szCs w:val="20"/>
          <w:color w:val="auto"/>
        </w:rPr>
      </w:pPr>
      <w:r>
        <w:rPr>
          <w:rFonts w:ascii="Calibri" w:cs="Calibri" w:eastAsia="Calibri" w:hAnsi="Calibri"/>
          <w:sz w:val="15"/>
          <w:szCs w:val="15"/>
          <w:b w:val="1"/>
          <w:bCs w:val="1"/>
          <w:i w:val="1"/>
          <w:iCs w:val="1"/>
          <w:color w:val="auto"/>
        </w:rPr>
        <w:t>We rely on third-party service providers and strategic partners for many aspects of our business, and any failure to maintain these relatonships or to successfully integrate certain third-party platorms could harm our business.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Our success depends upon our relatonships with third partes, including our transacton processor; our data center hosts; our informaton technology providers; our data providers for inventory and vehicle informaton; and our partners for vehicle transportaton, inspecton, and other logistcs associated with our CarOfer business and IMCO. If these third partes experience difculty meetng our requirements or standards, have adverse audit results, violate the terms of our agreements or applicable law, fail to obtain or maintain applicable licenses, or if the relatonships we have established with such third partes expire or otherwise terminate, it could make it difcult for us to operate some aspects of our business, which could damage our business and reputaton. In additon, if such third-party service providers or strategic partners were to cease operatons, temporarily or permanently, face fnancial distress or other business disruptons, increase their fees, or if our relatonships with these providers or partners deteriorate or terminate, whether as a result of macroeconomic conditons or otherwise, we could sufer increased costs and we may be unable to provide similar services untl an equivalent provider could be found or we could develop replacement technology or operatons. For example, primarily in connecton with our Dealer-to-Dealer transactons, we utlize a single third-party transacton processor that collects customer payments on our behalf and remits them to us, provides payments in advance for certain selling dealers, provides ttling services for transactons, and holds aucton licenses. If our relatonship with this third-party transacton processor were to deteriorate or terminate, we would have to identfy a succeeding transacton processor or assume in-house facilitaton of these services, which would disrupt our business and could adversely afect our revenue, results of operatons, and fnancial conditon. Furthermore, if we are unsuccessful in identfying or fnding high-quality partners, if we fail to negotate cost-efectve relatonships with them, or if we inefectvely manage these relatonships, it could have an adverse impact on our business and fnancial results.</w:t>
      </w:r>
    </w:p>
    <w:p>
      <w:pPr>
        <w:spacing w:after="0" w:line="187"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Our enterprise systems require that we integrate the platorms hosted by certain third-party service providers. We are responsible for integratng these platorms and updatng them to maintain proper functonality. Issues with these integratons, our failure to properly update third-party platorms, or any interruptons to our internal enterprise systems could harm our business by causing delays in our ability to quote, actvate service, and bill new and existng customers on our platorm.</w:t>
      </w:r>
    </w:p>
    <w:p>
      <w:pPr>
        <w:spacing w:after="0" w:line="185" w:lineRule="exact"/>
        <w:rPr>
          <w:sz w:val="20"/>
          <w:szCs w:val="20"/>
          <w:color w:val="auto"/>
        </w:rPr>
      </w:pPr>
    </w:p>
    <w:p>
      <w:pPr>
        <w:jc w:val="both"/>
        <w:ind w:right="20"/>
        <w:spacing w:after="0" w:line="241" w:lineRule="auto"/>
        <w:rPr>
          <w:sz w:val="20"/>
          <w:szCs w:val="20"/>
          <w:color w:val="auto"/>
        </w:rPr>
      </w:pPr>
      <w:r>
        <w:rPr>
          <w:rFonts w:ascii="Calibri" w:cs="Calibri" w:eastAsia="Calibri" w:hAnsi="Calibri"/>
          <w:sz w:val="15"/>
          <w:szCs w:val="15"/>
          <w:b w:val="1"/>
          <w:bCs w:val="1"/>
          <w:i w:val="1"/>
          <w:iCs w:val="1"/>
          <w:color w:val="auto"/>
        </w:rPr>
        <w:t>A signifcant disrupton in service on our websites or mobile applicatons could damage our reputaton and result in a loss of consumers, which could harm our business, brands, operatng results, and fnancial conditon.</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Our brands, reputaton, and ability to atract consumers, dealers, and advertsers depend on the reliable performance of our technology infrastructure and content delivery. We have experienced, and we may in the future experience, interruptons with our systems. Interruptons in these systems could afect the security or availability of our marketplaces, and prevent or inhibit the ability of dealers and consumers to access our marketplaces. For example, past disruptons have impacted our ability to actvate customer accounts and manage our billing actvites in a tmely manner. Such interruptons have resulted, and may in the future result, in third partes accessing our confdental and proprietary informaton, including our intellectual property. Problems with the reliability or security of our systems could harm our reputaton, harm our ability to protect our confdental</w:t>
      </w:r>
    </w:p>
    <w:p>
      <w:pPr>
        <w:spacing w:after="0" w:line="185" w:lineRule="exact"/>
        <w:rPr>
          <w:sz w:val="20"/>
          <w:szCs w:val="20"/>
          <w:color w:val="auto"/>
        </w:rPr>
      </w:pPr>
    </w:p>
    <w:p>
      <w:pPr>
        <w:jc w:val="center"/>
        <w:spacing w:after="0"/>
        <w:rPr>
          <w:sz w:val="20"/>
          <w:szCs w:val="20"/>
          <w:color w:val="auto"/>
        </w:rPr>
      </w:pPr>
      <w:r>
        <w:rPr>
          <w:rFonts w:ascii="Calibri" w:cs="Calibri" w:eastAsia="Calibri" w:hAnsi="Calibri"/>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408940</wp:posOffset>
            </wp:positionV>
            <wp:extent cx="7178040" cy="400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4" w:right="319" w:bottom="1440" w:gutter="0" w:footer="0" w:header="0"/>
        </w:sectPr>
      </w:pPr>
    </w:p>
    <w:bookmarkStart w:id="35" w:name="page36"/>
    <w:bookmarkEnd w:id="35"/>
    <w:p>
      <w:pPr>
        <w:spacing w:after="0"/>
        <w:rPr>
          <w:sz w:val="20"/>
          <w:szCs w:val="20"/>
          <w:color w:val="auto"/>
        </w:rPr>
      </w:pPr>
      <w:r>
        <w:rPr>
          <w:rFonts w:ascii="Calibri" w:cs="Calibri" w:eastAsia="Calibri" w:hAnsi="Calibri"/>
          <w:sz w:val="15"/>
          <w:szCs w:val="15"/>
          <w:color w:val="auto"/>
        </w:rPr>
        <w:t>and proprietary informaton, result in a loss of consumers and dealers, and result in additonal costs.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Substantally all of the communicatons, network, and computer hardware used to operate our platorms is located in the Eastern region of the U.S., and internatonally near each of London, England; Dublin, Ireland; and Frankfurt, Germany. These facilites include hostng through Amazon Web Services, a provider of cloud infrastructure services. Although we can host our U.S. CarGurus’ marketplace from two alternatve locatons and we believe our systems are redundant, there may be exceptons for certain hardware or sofware. In additon, we do not own or control the operaton of these facilites. Any disruptons or other operatonal performance problems with these facilites or problems faced by their operators, including our cloud infrastructure service provider, could result in material interruptons in our services, adversely afect our reputaton and results of operatons, and subject us to liability. We also use third-party hostng services to back up some data but do not maintain redundant systems or facilites for some of the services. A disrupton to one or more of these systems has caused, and may in the future cause, us to experience an extended period of system unavailability, which could negatvely impact our relatonship with consumers, customers, and advertsers. Our systems and operatons are vulnerable to damage or interrupton from fre, food, extreme weather conditons, power loss, telecommunicatons failure, terrorist atacks, acts of war, electronic breaches, cyber-atacks, phishing atempts, errors by employees, physical break-ins, computer viruses, earthquakes, and similar events. The occurrence of any of these events could result in damage to our systems and hardware or could cause them to fail. In additon, we may not have sufcient protecton or recovery plans in certain circumstances.</w:t>
      </w:r>
    </w:p>
    <w:p>
      <w:pPr>
        <w:spacing w:after="0" w:line="370"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Any errors, defects, disruptons, or other performance or reliability problems with our network operatons could cause interruptons in access to our marketplaces as well as delays and additonal expense in arranging new facilites and services and fxing or replacing any afected systems or hardware and could harm our reputaton, business, brands, operatng results, and fnancial conditon. Although we carry insurance, it may not be sufcient to compensate us for the potentally signifcant losses, including the potental harm to the future growth of our business, that may result from interruptons in our service as a result of system failures.</w:t>
      </w:r>
    </w:p>
    <w:p>
      <w:pPr>
        <w:spacing w:after="0" w:line="185" w:lineRule="exact"/>
        <w:rPr>
          <w:sz w:val="20"/>
          <w:szCs w:val="20"/>
          <w:color w:val="auto"/>
        </w:rPr>
      </w:pPr>
    </w:p>
    <w:p>
      <w:pPr>
        <w:jc w:val="both"/>
        <w:spacing w:after="0" w:line="241" w:lineRule="auto"/>
        <w:rPr>
          <w:sz w:val="20"/>
          <w:szCs w:val="20"/>
          <w:color w:val="auto"/>
        </w:rPr>
      </w:pPr>
      <w:r>
        <w:rPr>
          <w:rFonts w:ascii="Calibri" w:cs="Calibri" w:eastAsia="Calibri" w:hAnsi="Calibri"/>
          <w:sz w:val="15"/>
          <w:szCs w:val="15"/>
          <w:b w:val="1"/>
          <w:bCs w:val="1"/>
          <w:i w:val="1"/>
          <w:iCs w:val="1"/>
          <w:color w:val="auto"/>
        </w:rPr>
        <w:t>We and our third-party service providers collect, process, store, transfer, share, disclose, and use consumer informaton and other data, and the actual or perceived failure of us or our third-party service providers to protect such informaton and data or respect users’ privacy could expose us to liability and adversely afect our reputaton, brands, business, and operatng results.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Some functons of our marketplaces involve the storage and transmission of consumers’ informaton, such as IP addresses, contact informaton of users who connect with dealers, credit applicatons and other fnancial data, and profle informaton of users who create accounts on our marketplaces, as well as dealers’ informaton. We also process and store personal and confdental informaton of our vendors, partners, and employees, and we employ third-party service providers, such as payment processing providers, who also regularly have access to customer and consumer data. Some of this informaton may be private, and security breaches, including the unauthorized acquisiton or access, compromise, or loss of such informaton, against us or our third-party service providers could expose us to a risk of loss or exposure of this informaton, which could result in potental liability, litgaton, and remediaton costs. For example, hackers could steal our users’ profle passwords, names, email addresses, phone numbers, and other personal informaton. We rely on encrypton and authentcaton technology licensed from third partes to efect secure transmission of such informaton, and we also rely on our third-party service providers to use sufcient security measures to protect such informaton. Despite all of our eforts to protect this informaton and data, none of our security measures or those of our third-party service providers provide absolute security, and they may not be efectve in preventng a future failure of our systems. Like all informaton systems and technology, our websites, mobile applicatons, and informaton systems, and those of our third-party service providers, are subject to computer viruses, break-ins, phishing atacks, atempts to overload the systems with denial-of-service or other atacks, ransomware, and similar incidents or disruptons from unauthorized use of our or our third-party service providers’ computer systems, any of which could lead to interruptons, delays, or website shutdowns, and could cause loss of critcal data and the unauthorized disclosure, access, acquisiton, alteraton, and use of personal or other confdental informaton. If we or our third-party service providers experience compromises to data security that result in website or mobile applicaton performance or availability problems, the complete shutdown of our websites or mobile applicatons, or the loss or unauthorized disclosure, access, acquisiton, alteraton, or use of confdental informaton, consumers, customers, advertsers, partners, vendors, and employees may lose trust and confdence in us, and consumers may decrease the use of our websites or stop using our websites entrely, dealers may stop or decrease their subscriptons with us, and advertsers may decrease or stop advertsing on our websites.</w:t>
      </w:r>
    </w:p>
    <w:p>
      <w:pPr>
        <w:spacing w:after="0" w:line="187" w:lineRule="exact"/>
        <w:rPr>
          <w:sz w:val="20"/>
          <w:szCs w:val="20"/>
          <w:color w:val="auto"/>
        </w:rPr>
      </w:pPr>
    </w:p>
    <w:p>
      <w:pPr>
        <w:ind w:left="500"/>
        <w:spacing w:after="0"/>
        <w:rPr>
          <w:sz w:val="20"/>
          <w:szCs w:val="20"/>
          <w:color w:val="auto"/>
        </w:rPr>
      </w:pPr>
      <w:r>
        <w:rPr>
          <w:rFonts w:ascii="Calibri" w:cs="Calibri" w:eastAsia="Calibri" w:hAnsi="Calibri"/>
          <w:sz w:val="15"/>
          <w:szCs w:val="15"/>
          <w:color w:val="auto"/>
        </w:rPr>
        <w:t>Further, outside partes have atempted and will likely contnue to atempt to fraudulently induce employees, consumers,</w:t>
      </w:r>
    </w:p>
    <w:p>
      <w:pPr>
        <w:spacing w:after="0" w:line="185" w:lineRule="exact"/>
        <w:rPr>
          <w:sz w:val="20"/>
          <w:szCs w:val="20"/>
          <w:color w:val="auto"/>
        </w:rPr>
      </w:pPr>
    </w:p>
    <w:p>
      <w:pPr>
        <w:jc w:val="center"/>
        <w:spacing w:after="0"/>
        <w:rPr>
          <w:sz w:val="20"/>
          <w:szCs w:val="20"/>
          <w:color w:val="auto"/>
        </w:rPr>
      </w:pPr>
      <w:r>
        <w:rPr>
          <w:rFonts w:ascii="Calibri" w:cs="Calibri" w:eastAsia="Calibri" w:hAnsi="Calibri"/>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408940</wp:posOffset>
            </wp:positionV>
            <wp:extent cx="7178040" cy="400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3" w:right="319" w:bottom="1440" w:gutter="0" w:footer="0" w:header="0"/>
        </w:sectPr>
      </w:pPr>
    </w:p>
    <w:bookmarkStart w:id="36" w:name="page37"/>
    <w:bookmarkEnd w:id="36"/>
    <w:p>
      <w:pPr>
        <w:jc w:val="both"/>
        <w:spacing w:after="0" w:line="241" w:lineRule="auto"/>
        <w:rPr>
          <w:sz w:val="20"/>
          <w:szCs w:val="20"/>
          <w:color w:val="auto"/>
        </w:rPr>
      </w:pPr>
      <w:r>
        <w:rPr>
          <w:rFonts w:ascii="Calibri" w:cs="Calibri" w:eastAsia="Calibri" w:hAnsi="Calibri"/>
          <w:sz w:val="15"/>
          <w:szCs w:val="15"/>
          <w:color w:val="auto"/>
        </w:rPr>
        <w:t>or advertsers to disclose sensitve informaton in order to gain access to our informaton or our consumers’, dealers’, advertsers’, and employees’ informaton. As cyber-atacks increase in frequency and sophistcaton, our cyber-security and disaster recovery plans may not be efectve in antcipatng, preventng, and efectvely responding to all potental cyber-risk exposures. In additon, because the techniques used to obtain unauthorized access, disable or degrade service, or sabotage systems constantly evolve, ofen are not recognized untl afer having been launched against a target, and may originate from less regulated and remote areas around the world, we may be unable to proactvely address these techniques or to implement adequate measures for preventon and detecton. For example, as AI contnues to evolve, cyber-atackers could also use AI to develop malicious code and sophistcated phishing atempts.</w:t>
      </w:r>
    </w:p>
    <w:p>
      <w:pPr>
        <w:spacing w:after="0" w:line="369"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Any or all of the issues above could adversely afect our brand reputaton, negatvely impact our ability to atract new consumers and increase engagement by existng consumers, cause existng consumers to reduce or stop the use of our marketplaces or close their accounts, cause existng dealers and advertsers to cancel their contracts, cause employees to terminate their employment, cause employment candidates to be unwilling to pursue employment opportunites or accept employment ofers, and/or subject us to governmental or third-party lawsuits, investgatons, regulatory fnes, or other actons or liability, thereby harming our business, results of operatons, and fnancial conditon. Although we carry privacy, data breach and network security liability insurance, we cannot be certain that our coverage will be adequate for liabilites actually incurred or sufcient to compensate us for the potentally signifcant losses, or that insurance will contnue to be available to us on economically reasonable terms or at all.</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There are numerous federal, natonal, state, and local laws and regulatons in the U.S. and around the world regarding privacy and the collecton, processing, storage, sharing, disclosure, use, cross-border transfer, and protecton of personal informaton and other data. These laws and regulatons are evolving, are subject to difering interpretatons, may be costly to comply with, may result in regulatory fnes or penaltes, may subject us to third-party lawsuits, may be inconsistent between countries and jurisdictons, and may confict with other requirements. We seek to comply with industry standards and are subject to the terms of our privacy policies and privacy-related obligatons to third partes, as well as all applicable laws and regulatons relatng to privacy and data protecton. However, it is possible that these obligatons may be interpreted and applied in new ways or in a manner that is inconsistent from one jurisdicton to another and may confict with other rules or our practces and that new regulatons could be enacted. Several proposals have recently become efectve or are pending, as applicable, before federal, state, local, and foreign legislatve and regulatory bodies that could signifcantly afect our business, which we refer to collectvely as the Privacy Regulatons. The Privacy Regulatons include the European Union's, or EU, General Data Protecton Regulaton and the California Consumer Privacy Act. Certain of the Privacy Regulatons have already required, and certain others may further require, us to change our policies and procedures and may in the future require us to make changes to our marketplaces and other products. These and other requirements could reduce demand for our marketplaces and other oferings, require us to take on more onerous obligatons in our contracts and restrict our ability to store, transfer, and process data, which may seriously harm our business. Similarly, Brexit and the Schrems II decision of the Court of Justce of the EU, which efectvely invalided the EU-U.S. Privacy Shield Framework, may require us to change our policies and procedures and, if we are not in compliance, may also seriously harm our business. We may not be entrely successful in our eforts to comply with the evolving regulatons to which we are subject due to various factors within our control, such as limited internal resource allocaton, or outside our control, such as a lack of vendor cooperaton, new regulatory interpretatons, or lack of regulatory guidance in respect of certain Privacy Regulatons and other statutory requirements.</w:t>
      </w:r>
    </w:p>
    <w:p>
      <w:pPr>
        <w:spacing w:after="0" w:line="187"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Any failure or perceived failure by us to comply with U.S. and internatonal data protecton laws and regulatons, our privacy policies, or our privacy-related obligatons to consumers, customers, employees, and other third partes, or any compromise of security that results in the unauthorized release or transfer of data, which could include personal informaton or other user data, may result in governmental investgatons, enforcement actons, regulatory fnes, litgaton, criminal penaltes, or public statements against us by consumer advocacy groups or others, and could cause consumers and dealers to lose trust in us, which could signifcantly impact our brand reputaton and have an adverse efect on our business. Additonally, if any third party that we share informaton with experiences a security breach or fails to comply with its privacy-related legal obligatons or commitments to us, such maters may put employee, consumer, or dealer informaton at risk and could, in turn, expose us to claims for damages or regulatory fnes or penaltes and harm our reputaton, business, and operatng results.</w:t>
      </w:r>
    </w:p>
    <w:p>
      <w:pPr>
        <w:spacing w:after="0" w:line="186" w:lineRule="exact"/>
        <w:rPr>
          <w:sz w:val="20"/>
          <w:szCs w:val="20"/>
          <w:color w:val="auto"/>
        </w:rPr>
      </w:pPr>
    </w:p>
    <w:p>
      <w:pPr>
        <w:ind w:left="500"/>
        <w:spacing w:after="0"/>
        <w:rPr>
          <w:sz w:val="20"/>
          <w:szCs w:val="20"/>
          <w:color w:val="auto"/>
        </w:rPr>
      </w:pPr>
      <w:r>
        <w:rPr>
          <w:rFonts w:ascii="Calibri" w:cs="Calibri" w:eastAsia="Calibri" w:hAnsi="Calibri"/>
          <w:sz w:val="15"/>
          <w:szCs w:val="15"/>
          <w:color w:val="auto"/>
        </w:rPr>
        <w:t>For informaton on our cybersecurity risk management, strategy, and governance, see the “Cybersecurity” secton of this Annual Report.</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b w:val="1"/>
          <w:bCs w:val="1"/>
          <w:i w:val="1"/>
          <w:iCs w:val="1"/>
          <w:color w:val="auto"/>
        </w:rPr>
        <w:t>Our ability to atract consumers to our own websites and to provide certain services to our customers depends on the</w:t>
      </w:r>
    </w:p>
    <w:p>
      <w:pPr>
        <w:spacing w:after="0" w:line="185" w:lineRule="exact"/>
        <w:rPr>
          <w:sz w:val="20"/>
          <w:szCs w:val="20"/>
          <w:color w:val="auto"/>
        </w:rPr>
      </w:pPr>
    </w:p>
    <w:p>
      <w:pPr>
        <w:jc w:val="center"/>
        <w:spacing w:after="0"/>
        <w:rPr>
          <w:sz w:val="20"/>
          <w:szCs w:val="20"/>
          <w:color w:val="auto"/>
        </w:rPr>
      </w:pPr>
      <w:r>
        <w:rPr>
          <w:rFonts w:ascii="Calibri" w:cs="Calibri" w:eastAsia="Calibri" w:hAnsi="Calibri"/>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408940</wp:posOffset>
            </wp:positionV>
            <wp:extent cx="7178040" cy="400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4" w:right="319" w:bottom="1440" w:gutter="0" w:footer="0" w:header="0"/>
        </w:sectPr>
      </w:pPr>
    </w:p>
    <w:bookmarkStart w:id="37" w:name="page38"/>
    <w:bookmarkEnd w:id="37"/>
    <w:p>
      <w:pPr>
        <w:spacing w:after="0"/>
        <w:rPr>
          <w:sz w:val="20"/>
          <w:szCs w:val="20"/>
          <w:color w:val="auto"/>
        </w:rPr>
      </w:pPr>
      <w:r>
        <w:rPr>
          <w:rFonts w:ascii="Calibri" w:cs="Calibri" w:eastAsia="Calibri" w:hAnsi="Calibri"/>
          <w:sz w:val="15"/>
          <w:szCs w:val="15"/>
          <w:b w:val="1"/>
          <w:bCs w:val="1"/>
          <w:i w:val="1"/>
          <w:iCs w:val="1"/>
          <w:color w:val="auto"/>
        </w:rPr>
        <w:t>collecton of consumer data from various sources, which may be restricted by consumer choice, privacy restrictons, and developments in laws, regulatons, and industry standards.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The success of our consumer marketng and the delivery of internet advertsements for our customers depends on our ability to leverage data, including data that we collect from our customers, data we receive from our publisher partners and third partes, and data from our operatons. Using cookies and non-cookie-based technologies, such as mobile advertsing identfers, we collect informaton about the interactons of users with our customers’ and publishers’ digital propertes (including, for example, informaton about the placement of advertsements and users’ shopping or other interactons with our customers’ websites or advertsements). Our ability to successfully leverage such data depends on our contnued ability to access and use such data, which could be restricted by a number of factors, including increasing consumer adopton of “do not track” mechanisms as a result of legislaton; privacy restrictons imposed by web browser developers, advertsing partners, or other sofware developers that impair our ability to understand the preferences of consumers by limitng the use of third-party cookies or other tracking technologies or data indicatng or predictng consumer preferences; and new developments in, or new interpretatons of, privacy laws, regulatons, and industry standards. Each of these developments could materially impact our ability to collect consumer data and deliver relevant internet advertsements to atract consumers to our websites or to deliver targeted advertsing for our advertsing customers. If we are unsuccessful in evolving our advertsing and marketng strategies to adapt to and mitgate these evolving consumer data limitatons, our business could be materially impacted.</w:t>
      </w:r>
    </w:p>
    <w:p>
      <w:pPr>
        <w:spacing w:after="0" w:line="186" w:lineRule="exact"/>
        <w:rPr>
          <w:sz w:val="20"/>
          <w:szCs w:val="20"/>
          <w:color w:val="auto"/>
        </w:rPr>
      </w:pPr>
    </w:p>
    <w:p>
      <w:pPr>
        <w:spacing w:after="0"/>
        <w:rPr>
          <w:sz w:val="20"/>
          <w:szCs w:val="20"/>
          <w:color w:val="auto"/>
        </w:rPr>
      </w:pPr>
      <w:r>
        <w:rPr>
          <w:rFonts w:ascii="Calibri" w:cs="Calibri" w:eastAsia="Calibri" w:hAnsi="Calibri"/>
          <w:sz w:val="15"/>
          <w:szCs w:val="15"/>
          <w:b w:val="1"/>
          <w:bCs w:val="1"/>
          <w:i w:val="1"/>
          <w:iCs w:val="1"/>
          <w:color w:val="auto"/>
        </w:rPr>
        <w:t>We have been, and may again be, subject to intellectual property disputes, which are costly to defend and could harm our business and operatng results.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We have been, and may in the future be, subject to claims and litgaton alleging that we or content on our websites infringe others’ intellectual property rights, including the trademarks, copyrights, patents, and other intellectual property rights of third partes, including from our compettors or non-practcing enttes. We may also learn of possible infringement to our trademarks, copyrights, patents, and other intellectual property. Patent and other intellectual property litgaton may be protracted and expensive, and the results are difcult to predict and may result in signifcant setlement costs or payment of substantal damages. Many potental litgants, including patent holding companies, have the ability to dedicate substantally greater resources to enforce their intellectual property rights and to defend claims that may be brought against them. Furthermore, a successful claimant could secure a judgment that requires us to stop ofering some features or prevents us from conductng our business as we have historically done or may desire to do in the future. We might also be required to seek a license and pay royaltes for the use of such intellectual property, which may not be available on commercially acceptable terms, or at all. Alternatvely, we may be required to modify our marketplaces and features, which could require signifcant efort and expense and may ultmately not be successful.</w:t>
      </w:r>
    </w:p>
    <w:p>
      <w:pPr>
        <w:spacing w:after="0" w:line="186"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In additon, we use open source sofware in our platorm and will use open source sofware in the future. From tme to tme, we may face claims regarding ownership of, or demanding release of, the source code, the open source sofware, or derivatve works that were developed using such sofware, or otherwise seeking to enforce the terms of the applicable open source license. These claims could also result in litgaton, require us to purchase a costly license, or require us to devote additonal product, technology, and development resources to change our platorms or services, any of which would have a negatve efect on our business and operatng results. Even if these maters do not result in litgaton or are resolved in our favor or without signifcant cash setlements, these maters, and the tme and resources necessary to litgate or resolve them, could harm our business, our operatng results, and our reputaton.</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b w:val="1"/>
          <w:bCs w:val="1"/>
          <w:i w:val="1"/>
          <w:iCs w:val="1"/>
          <w:color w:val="auto"/>
        </w:rPr>
        <w:t>Failure to adequately protect our intellectual property could harm our business and operatng results.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Our business depends on our intellectual property, the protecton of which is crucial to the success of our business. We rely on a combinaton of patent, trademark, trade secret, and copyright law and contractual restrictons to protect our intellectual property. In additon, we atempt to protect our intellectual property, technology, and confdental informaton by requiring our employees and consultants to enter into confdentality and assignment of inventons agreements and third partes to enter into nondisclosure agreements as we deem appropriate. Despite our eforts to protect our proprietary rights, unauthorized partes may atempt to copy aspects of our platorm’s features, sofware, and functonality or obtain and use informaton that we consider proprietary.</w:t>
      </w:r>
    </w:p>
    <w:p>
      <w:pPr>
        <w:spacing w:after="0" w:line="185" w:lineRule="exact"/>
        <w:rPr>
          <w:sz w:val="20"/>
          <w:szCs w:val="20"/>
          <w:color w:val="auto"/>
        </w:rPr>
      </w:pPr>
    </w:p>
    <w:p>
      <w:pPr>
        <w:jc w:val="both"/>
        <w:ind w:right="20" w:firstLine="511"/>
        <w:spacing w:after="0" w:line="241" w:lineRule="auto"/>
        <w:rPr>
          <w:sz w:val="20"/>
          <w:szCs w:val="20"/>
          <w:color w:val="auto"/>
        </w:rPr>
      </w:pPr>
      <w:r>
        <w:rPr>
          <w:rFonts w:ascii="Calibri" w:cs="Calibri" w:eastAsia="Calibri" w:hAnsi="Calibri"/>
          <w:sz w:val="15"/>
          <w:szCs w:val="15"/>
          <w:color w:val="auto"/>
        </w:rPr>
        <w:t>Compettors may adopt trademarks or trade names similar to ours, thereby harming our ability to build brand identty and possibly leading to user confusion. In additon, there could be potental trade name or trademark infringement claims</w:t>
      </w:r>
    </w:p>
    <w:p>
      <w:pPr>
        <w:spacing w:after="0" w:line="184" w:lineRule="exact"/>
        <w:rPr>
          <w:sz w:val="20"/>
          <w:szCs w:val="20"/>
          <w:color w:val="auto"/>
        </w:rPr>
      </w:pPr>
    </w:p>
    <w:p>
      <w:pPr>
        <w:jc w:val="center"/>
        <w:spacing w:after="0"/>
        <w:rPr>
          <w:sz w:val="20"/>
          <w:szCs w:val="20"/>
          <w:color w:val="auto"/>
        </w:rPr>
      </w:pPr>
      <w:r>
        <w:rPr>
          <w:rFonts w:ascii="Calibri" w:cs="Calibri" w:eastAsia="Calibri" w:hAnsi="Calibri"/>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408940</wp:posOffset>
            </wp:positionV>
            <wp:extent cx="7178040" cy="400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3" w:right="319" w:bottom="1440" w:gutter="0" w:footer="0" w:header="0"/>
        </w:sectPr>
      </w:pPr>
    </w:p>
    <w:bookmarkStart w:id="38" w:name="page39"/>
    <w:bookmarkEnd w:id="38"/>
    <w:p>
      <w:pPr>
        <w:jc w:val="both"/>
        <w:ind w:right="20"/>
        <w:spacing w:after="0" w:line="241" w:lineRule="auto"/>
        <w:rPr>
          <w:sz w:val="20"/>
          <w:szCs w:val="20"/>
          <w:color w:val="auto"/>
        </w:rPr>
      </w:pPr>
      <w:r>
        <w:rPr>
          <w:rFonts w:ascii="Calibri" w:cs="Calibri" w:eastAsia="Calibri" w:hAnsi="Calibri"/>
          <w:sz w:val="15"/>
          <w:szCs w:val="15"/>
          <w:color w:val="auto"/>
        </w:rPr>
        <w:t>asserted against us by owners of other registered or unregistered trademarks logos or slogans, for our use of registered or unregistered trademarks, logos or slogans, or third-party trademarks that incorporate variatons of our trademarks.</w:t>
      </w:r>
    </w:p>
    <w:p>
      <w:pPr>
        <w:spacing w:after="0" w:line="185" w:lineRule="exact"/>
        <w:rPr>
          <w:sz w:val="20"/>
          <w:szCs w:val="20"/>
          <w:color w:val="auto"/>
        </w:rPr>
      </w:pPr>
    </w:p>
    <w:p>
      <w:pPr>
        <w:jc w:val="both"/>
        <w:ind w:right="20" w:firstLine="511"/>
        <w:spacing w:after="0" w:line="241" w:lineRule="auto"/>
        <w:rPr>
          <w:sz w:val="20"/>
          <w:szCs w:val="20"/>
          <w:color w:val="auto"/>
        </w:rPr>
      </w:pPr>
      <w:r>
        <w:rPr>
          <w:rFonts w:ascii="Calibri" w:cs="Calibri" w:eastAsia="Calibri" w:hAnsi="Calibri"/>
          <w:sz w:val="15"/>
          <w:szCs w:val="15"/>
          <w:color w:val="auto"/>
        </w:rPr>
        <w:t>We currently hold various internet domain names relatng to our brands. The regulaton of domain names is subject to change. Regulatory bodies could establish additonal top-level domains, appoint additonal domain name registrars, or modify the requirements for holding domain names. As a result, we may not be able to acquire or maintain all domain names that use the names of our brands. In additon, third partes have created and may in the future create copycat or squater domains to deceive consumers, which could harm our brands, interfere with our ability to register domain names, and result in additonal costs.</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b w:val="1"/>
          <w:bCs w:val="1"/>
          <w:i w:val="1"/>
          <w:iCs w:val="1"/>
          <w:color w:val="auto"/>
        </w:rPr>
        <w:t>We may be unable to halt the operatons of websites that aggregate or misappropriate our data.</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From tme to tme, third partes may misappropriate our data through website scraping, robots, or other means and aggregate this data with data from other sources. In additon, copycat websites may misappropriate data in our marketplaces and atempt to imitate our brands or the functonality of our websites. We may be unable to detect and remedy all such actvites in a tmely and adequate manner. Regardless of whether we can successfully enforce our rights against these third partes, any measures that we may take could require us to expend signifcant fnancial or other resources, which could harm our business, results of operatons, and fnancial conditon. In additon, to the extent that such actvity creates confusion among consumers or advertsers, our brands and business could be harmed.</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b w:val="1"/>
          <w:bCs w:val="1"/>
          <w:i w:val="1"/>
          <w:iCs w:val="1"/>
          <w:color w:val="auto"/>
        </w:rPr>
        <w:t>Seasonality and other factors may cause fuctuatons in our operatng results and our marketng spend.</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Across the retail automotve industry, consumer purchases are typically greatest in the frst three quarters of each year, due in part to the introducton of new vehicle models from manufacturers and the seasonal nature of consumer spending, and our consumer-marketng spend generally fuctuates accordingly. In additon, any reducton of our marketng spend in response to macroeconomic-related expense management or otherwise, and shifs in demand from dealers and consumers could impact the efciency of our marketng spend. As our growth rates moderate or cease, the impact of these seasonality trends and other infuences on our results of operatons could become more pronounced. In additon, the volume of wholesale vehicle sales can fuctuate from quarter to quarter as a result of macroeconomic issues, which may have a corresponding impact on our results of operatons. This variability is due to several factors including the tming of used vehicles available for sale from selling customers, the seasonality of the retail market for used vehicles, and/or inventory challenges in the automotve industry, which afect the demand side of the wholesale industry. This variability has afected our Digital Wholesale segment in the past, and may contnue to in the future.</w:t>
      </w:r>
    </w:p>
    <w:p>
      <w:pPr>
        <w:spacing w:after="0" w:line="186" w:lineRule="exact"/>
        <w:rPr>
          <w:sz w:val="20"/>
          <w:szCs w:val="20"/>
          <w:color w:val="auto"/>
        </w:rPr>
      </w:pPr>
    </w:p>
    <w:p>
      <w:pPr>
        <w:spacing w:after="0"/>
        <w:rPr>
          <w:sz w:val="20"/>
          <w:szCs w:val="20"/>
          <w:color w:val="auto"/>
        </w:rPr>
      </w:pPr>
      <w:r>
        <w:rPr>
          <w:rFonts w:ascii="Calibri" w:cs="Calibri" w:eastAsia="Calibri" w:hAnsi="Calibri"/>
          <w:sz w:val="15"/>
          <w:szCs w:val="15"/>
          <w:b w:val="1"/>
          <w:bCs w:val="1"/>
          <w:i w:val="1"/>
          <w:iCs w:val="1"/>
          <w:color w:val="auto"/>
        </w:rPr>
        <w:t>Failure to deal efectvely with fraud or other illegal actvity could harm our business.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We are exposed to potental fraudulent and illegal actvity in our marketplaces, including listngs of automobiles that are not owned by the purported dealer or that the dealer has no intenton of selling at the listed price; receipt of fraudulent leads that we may send to our dealers; and deceptve practces in our peer-to-peer marketplace. The measures we have in place to detect and limit the occurrence of such fraudulent and illegal actvity in our marketplaces may not always be efectve or account for all types of fraudulent or other illegal actvity now or in the future. Failure to limit the impact of fraudulent and illegal actvity on our websites could lead to potental legal liability, harm our business, cause us to lose paying dealer customers, and adversely afect our reputaton, fnancial performance, and growth prospects.</w:t>
      </w:r>
    </w:p>
    <w:p>
      <w:pPr>
        <w:spacing w:after="0" w:line="185" w:lineRule="exact"/>
        <w:rPr>
          <w:sz w:val="20"/>
          <w:szCs w:val="20"/>
          <w:color w:val="auto"/>
        </w:rPr>
      </w:pPr>
    </w:p>
    <w:p>
      <w:pPr>
        <w:jc w:val="both"/>
        <w:ind w:right="20"/>
        <w:spacing w:after="0" w:line="241" w:lineRule="auto"/>
        <w:rPr>
          <w:sz w:val="20"/>
          <w:szCs w:val="20"/>
          <w:color w:val="auto"/>
        </w:rPr>
      </w:pPr>
      <w:r>
        <w:rPr>
          <w:rFonts w:ascii="Calibri" w:cs="Calibri" w:eastAsia="Calibri" w:hAnsi="Calibri"/>
          <w:sz w:val="15"/>
          <w:szCs w:val="15"/>
          <w:b w:val="1"/>
          <w:bCs w:val="1"/>
          <w:i w:val="1"/>
          <w:iCs w:val="1"/>
          <w:color w:val="auto"/>
        </w:rPr>
        <w:t>We have identfed a material weakness in our internal control over fnancial reportng. If we are unable to remediate this material weakness, we may not be able to accurately or tmely report our fnancial conditon or results of operatons, which may adversely afect our business and the market price of our Class A common stock.</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We have identfed a material weakness in our internal control over fnancial reportng. A material weakness is a defciency, or a combinaton of defciencies, in internal control over fnancial reportng, such that there is a reasonable possibility that a material misstatement of a company's annual or interim fnancial statements will not be prevented or detected on a tmely basis. We have identfed defciencies in controls at our CarOfer subsidiary. The defciencies include IT general control defciencies over certain informaton technology systems. Consequently, we were not able to have consistent, efectve operaton of manual business controls that rely on data produced by and maintained within these afected informaton technology systems, which in the aggregate consttute a material weakness. While this material weakness did not result in a</w:t>
      </w:r>
    </w:p>
    <w:p>
      <w:pPr>
        <w:spacing w:after="0" w:line="185" w:lineRule="exact"/>
        <w:rPr>
          <w:sz w:val="20"/>
          <w:szCs w:val="20"/>
          <w:color w:val="auto"/>
        </w:rPr>
      </w:pPr>
    </w:p>
    <w:p>
      <w:pPr>
        <w:jc w:val="center"/>
        <w:spacing w:after="0"/>
        <w:rPr>
          <w:sz w:val="20"/>
          <w:szCs w:val="20"/>
          <w:color w:val="auto"/>
        </w:rPr>
      </w:pPr>
      <w:r>
        <w:rPr>
          <w:rFonts w:ascii="Calibri" w:cs="Calibri" w:eastAsia="Calibri" w:hAnsi="Calibri"/>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408940</wp:posOffset>
            </wp:positionV>
            <wp:extent cx="7178040" cy="400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4" w:right="319" w:bottom="1440" w:gutter="0" w:footer="0" w:header="0"/>
        </w:sectPr>
      </w:pPr>
    </w:p>
    <w:bookmarkStart w:id="39" w:name="page40"/>
    <w:bookmarkEnd w:id="39"/>
    <w:p>
      <w:pPr>
        <w:jc w:val="both"/>
        <w:spacing w:after="0" w:line="241" w:lineRule="auto"/>
        <w:rPr>
          <w:sz w:val="20"/>
          <w:szCs w:val="20"/>
          <w:color w:val="auto"/>
        </w:rPr>
      </w:pPr>
      <w:r>
        <w:rPr>
          <w:rFonts w:ascii="Calibri" w:cs="Calibri" w:eastAsia="Calibri" w:hAnsi="Calibri"/>
          <w:sz w:val="15"/>
          <w:szCs w:val="15"/>
          <w:color w:val="auto"/>
        </w:rPr>
        <w:t>material misstatement of our consolidated fnancial statements, it could impact the efectveness of our segregaton of dutes controls, as well as the efectveness of IT-dependent controls, which could result in misstatement(s) impactng fnancial statement accounts and disclosures, resultng in a material misstatement of our annual or interim fnancial statements that we would have failed to prevent or detect. As a result of this material weakness, our management concluded that our disclosure controls and procedures were not efectve as of December 31, 2023.</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We have implemented a remediaton plan designed to improve our internal control over fnancial reportng to remediate this material weakness. We cannot assure you that the measures we have taken to date, and actons we may take in the future, will be sufcient to remediate the control defciencies that led to the material weakness in our internal control over fnancial reportng or that they will prevent or avoid potental future material weaknesses. If we are unable to successfully remediate the material weakness in our internal control over fnancial reportng, the accuracy and tming of our fnancial reportng may be adversely afected, investors could lose confdence in the accuracy and completeness of our fnancial reports, the market price of our Class A common stock could decline, we could be subject to sanctons or investgatons by Nasdaq, the SEC, or other regulatory authorites, and our ability to access the capital markets could be limited.</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b w:val="1"/>
          <w:bCs w:val="1"/>
          <w:i w:val="1"/>
          <w:iCs w:val="1"/>
          <w:color w:val="auto"/>
        </w:rPr>
        <w:t>The 2022 Revolver contains certain covenants and other restrictons on our actons that may limit our operatonal fexibility or otherwise adversely afect our results of operatons.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The 2022 Revolver includes a number of covenants that limit our ability to, among other things, grant or incur liens, incur additonal indebtedness, make certain restricted investments or payments, enter into certain mergers and acquisitons, or engage in certain asset sales, subject in each case to certain exceptons. The 2022 Revolver also subjects us to fnancial covenants in respect of minimum liquidity and requires that we maintain a net leverage rato. The 2022 Revolver may restrict our current and future operatons and could adversely afect our ability to fnance our future operatons or capital needs. Complying with these covenants may make it more difcult for us to successfully execute our business strategy and compete against companies which are not subject to such restrictons. Further, interest rate fuctuatons may materially adversely afect our results of operatons and fnancial conditons due to the variable interest rate on the 2022 Revolver, in the event that we draw down funds thereunder.</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A failure by us to comply with the covenants or payment requirements specifed in the 2022 Revolver could result in an event of default, which would give the lenders the right to terminate their commitments to provide loans under the 2022 Revolver and to declare any borrowings outstanding, together with any accrued and unpaid interest and fees, to be immediately due and payable. If any debt under the 2022 Revolver were to be accelerated, we may not have sufcient cash or be able to borrow sufcient funds to refnance the debt or sell sufcient assets to repay the debt, which could immediately adversely afect our business, cash fows, results of operatons, and fnancial conditon. Even if we were able to obtain new fnancing, it may not be on commercially reasonable terms or on terms that are acceptable to us. As of December 31, 2023, there were no borrowings and $9.6 million in leters of credit outstanding under the 2022 Revolver.</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b w:val="1"/>
          <w:bCs w:val="1"/>
          <w:i w:val="1"/>
          <w:iCs w:val="1"/>
          <w:color w:val="auto"/>
        </w:rPr>
        <w:t>If our goodwill or intangible assets become impaired, we may be required to record a signifcant charge to earnings.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We evaluate the recoverability of recorded goodwill amounts annually or when evidence of potental impairment exists. Intangible assets are reviewed for impairment at least annually and whenever events or changes in circumstances indicate that the carrying value of the asset may not be recoverable. These impairment tests are based on several factors requiring management’s judgment, including identfcaton of triggering events for reassessment and determinaton of the fair value of related assets. If such goodwill or intangible assets are deemed to be impaired, an impairment loss equal to the amount by which the carrying amount exceeds the fair value of the assets would be recognized. We may be required to record a signifcant charge in our consolidated fnancial statements during the period in which any impairment of our goodwill or intangible assets is determined, which would negatvely afect our results of operatons.</w:t>
      </w:r>
    </w:p>
    <w:p>
      <w:pPr>
        <w:spacing w:after="0" w:line="185" w:lineRule="exact"/>
        <w:rPr>
          <w:sz w:val="20"/>
          <w:szCs w:val="20"/>
          <w:color w:val="auto"/>
        </w:rPr>
      </w:pPr>
    </w:p>
    <w:p>
      <w:pPr>
        <w:jc w:val="both"/>
        <w:spacing w:after="0" w:line="241" w:lineRule="auto"/>
        <w:rPr>
          <w:sz w:val="20"/>
          <w:szCs w:val="20"/>
          <w:color w:val="auto"/>
        </w:rPr>
      </w:pPr>
      <w:r>
        <w:rPr>
          <w:rFonts w:ascii="Calibri" w:cs="Calibri" w:eastAsia="Calibri" w:hAnsi="Calibri"/>
          <w:sz w:val="15"/>
          <w:szCs w:val="15"/>
          <w:b w:val="1"/>
          <w:bCs w:val="1"/>
          <w:i w:val="1"/>
          <w:iCs w:val="1"/>
          <w:color w:val="auto"/>
        </w:rPr>
        <w:t>Expectatons relatng to environmental, social, and governance consideratons expose us to potental liabilites, increased costs, reputatonal harm, and other adverse efects on our business.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Many governments, regulators, investors, employees, customers, and other stakeholders are increasingly focused on environmental, social, and governance, or ESG, consideratons relatng to our business, including climate change and greenhouse gas emissions, human capital, and diversity, equity, and inclusion. We make statements about our ESG goals and initatves through informaton provided on our website. Responding to these ESG consideratons and implementaton of these</w:t>
      </w:r>
    </w:p>
    <w:p>
      <w:pPr>
        <w:spacing w:after="0" w:line="185" w:lineRule="exact"/>
        <w:rPr>
          <w:sz w:val="20"/>
          <w:szCs w:val="20"/>
          <w:color w:val="auto"/>
        </w:rPr>
      </w:pPr>
    </w:p>
    <w:p>
      <w:pPr>
        <w:jc w:val="center"/>
        <w:spacing w:after="0"/>
        <w:rPr>
          <w:sz w:val="20"/>
          <w:szCs w:val="20"/>
          <w:color w:val="auto"/>
        </w:rPr>
      </w:pPr>
      <w:r>
        <w:rPr>
          <w:rFonts w:ascii="Calibri" w:cs="Calibri" w:eastAsia="Calibri" w:hAnsi="Calibri"/>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408940</wp:posOffset>
            </wp:positionV>
            <wp:extent cx="7178040" cy="400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4" w:right="319" w:bottom="1440" w:gutter="0" w:footer="0" w:header="0"/>
        </w:sectPr>
      </w:pPr>
    </w:p>
    <w:bookmarkStart w:id="40" w:name="page41"/>
    <w:bookmarkEnd w:id="40"/>
    <w:p>
      <w:pPr>
        <w:jc w:val="both"/>
        <w:spacing w:after="0" w:line="241" w:lineRule="auto"/>
        <w:rPr>
          <w:sz w:val="20"/>
          <w:szCs w:val="20"/>
          <w:color w:val="auto"/>
        </w:rPr>
      </w:pPr>
      <w:r>
        <w:rPr>
          <w:rFonts w:ascii="Calibri" w:cs="Calibri" w:eastAsia="Calibri" w:hAnsi="Calibri"/>
          <w:sz w:val="15"/>
          <w:szCs w:val="15"/>
          <w:color w:val="auto"/>
        </w:rPr>
        <w:t>goals and initatves involves risks and uncertaintes, requires investments, and are impacted by factors that may be outside our control. In additon, some stakeholders may disagree with our ESG goals and initatves and the focus of stakeholders may change and evolve over tme. Stakeholders also may have very diferent views on where ESG focus should be placed, including difering views of regulators in various jurisdictons in which we operate. Any failure, or perceived failure, by us to achieve our ESG goals, further our initatves, adhere to our public statements, comply with federal, state, or internatonal ESG laws and regulatons, or meet evolving and varied stakeholder expectatons and standards could result in legal and regulatory proceedings against us and materially adversely afect our business, reputaton, results of operatons, fnancial conditon, and stock price. Additonally, meetng evolving and varied stakeholder expectatons and standards may require management tme and expense and may result in a signifcant increase in costs, which may negatvely impact our business and fnancial results.</w:t>
      </w:r>
    </w:p>
    <w:p>
      <w:pPr>
        <w:spacing w:after="0" w:line="186" w:lineRule="exact"/>
        <w:rPr>
          <w:sz w:val="20"/>
          <w:szCs w:val="20"/>
          <w:color w:val="auto"/>
        </w:rPr>
      </w:pPr>
    </w:p>
    <w:p>
      <w:pPr>
        <w:spacing w:after="0"/>
        <w:rPr>
          <w:sz w:val="20"/>
          <w:szCs w:val="20"/>
          <w:color w:val="auto"/>
        </w:rPr>
      </w:pPr>
      <w:r>
        <w:rPr>
          <w:rFonts w:ascii="Calibri" w:cs="Calibri" w:eastAsia="Calibri" w:hAnsi="Calibri"/>
          <w:sz w:val="15"/>
          <w:szCs w:val="15"/>
          <w:b w:val="1"/>
          <w:bCs w:val="1"/>
          <w:color w:val="auto"/>
        </w:rPr>
        <w:t>Risks Related to Our Class A Common Stock</w:t>
      </w:r>
    </w:p>
    <w:p>
      <w:pPr>
        <w:spacing w:after="0" w:line="185" w:lineRule="exact"/>
        <w:rPr>
          <w:sz w:val="20"/>
          <w:szCs w:val="20"/>
          <w:color w:val="auto"/>
        </w:rPr>
      </w:pPr>
    </w:p>
    <w:p>
      <w:pPr>
        <w:jc w:val="both"/>
        <w:ind w:right="20"/>
        <w:spacing w:after="0" w:line="241" w:lineRule="auto"/>
        <w:rPr>
          <w:sz w:val="20"/>
          <w:szCs w:val="20"/>
          <w:color w:val="auto"/>
        </w:rPr>
      </w:pPr>
      <w:r>
        <w:rPr>
          <w:rFonts w:ascii="Calibri" w:cs="Calibri" w:eastAsia="Calibri" w:hAnsi="Calibri"/>
          <w:sz w:val="15"/>
          <w:szCs w:val="15"/>
          <w:b w:val="1"/>
          <w:bCs w:val="1"/>
          <w:i w:val="1"/>
          <w:iCs w:val="1"/>
          <w:color w:val="auto"/>
        </w:rPr>
        <w:t>Our founder controls a majority of the votng power of our outstanding capital stock, and, therefore, has control over key decision-making and could control our actons in a manner that conficts with the interests of other stockholders.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Primarily by virtue of his holdings in shares of our Class B common stock, which has a ten-to-one votng rato compared to our Class A common stock, Langley Steinert, our founder and Executve Chair, is able to exercise votng rights with respect to a majority of the votng power of our outstanding capital stock and therefore has the ability to control the outcome of maters submited to our stockholders for approval, including the electon of directors and any merger, consolidaton, or sale of all or substantally all of our assets. This concentrated control could delay, defer, or prevent a change of control, merger, consolidaton, or sale of all or substantally all of our assets that our other stockholders support, or conversely this concentrated control could result in the consummaton of such a transacton that our other stockholders do not support. This concentrated control could also discourage a potental investor from acquiring our Class A common stock, which might harm the trading price of our Class A common stock. In additon, Mr. Steinert has signifcant infuence in the management and major strategic investments of our company as a result of his positon as Executve Chair, and his ability to control the electon or replacement of our directors. As our Executve Chair, Mr. Steinert owes a fduciary duty to our stockholders and must act in good faith in a manner he reasonably believes to be in the best interests of our stockholders. If Mr. Steinert’s status as an ofcer and a director is terminated, his fduciary dutes to our stockholders will also terminate, but his votng power as a stockholder will not be reduced as a result of such terminaton unless such terminaton is either made voluntarily by Mr. Steinert or due to Mr. Steinert’s death, or if the sum of the number of shares of our capital stock held by Mr. Steinert, by any Family Member of Mr. Steinert, and by any Permited Entty of Mr. Steinert (as such capitalized terms are defned in our amended and restated certfcate of incorporaton, included as Exhibit 3.1 to this Annual Report), assuming the exercise and setlement in full of all outstanding optons and convertble securites and calculated on an as-converted to Class A common stock basis, is less than 9,091,484 shares. As a stockholder, even a controlling stockholder, Mr. Steinert is enttled to vote his shares in his own interests, which may not always be aligned with the interests of our other stockholders.</w:t>
      </w:r>
    </w:p>
    <w:p>
      <w:pPr>
        <w:spacing w:after="0" w:line="187"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In the event that Mr. Steinert no longer controls a majority of the votng power, whether as a result of the dispositon of some or all his shares of Class A or Class B common stock, the conversion of the Class B common stock into Class A common stock in accordance with its terms, or otherwise, our business or the trading price of our Class A common stock may be adversely afected.</w:t>
      </w:r>
    </w:p>
    <w:p>
      <w:pPr>
        <w:spacing w:after="0" w:line="185" w:lineRule="exact"/>
        <w:rPr>
          <w:sz w:val="20"/>
          <w:szCs w:val="20"/>
          <w:color w:val="auto"/>
        </w:rPr>
      </w:pPr>
    </w:p>
    <w:p>
      <w:pPr>
        <w:jc w:val="both"/>
        <w:spacing w:after="0" w:line="241" w:lineRule="auto"/>
        <w:rPr>
          <w:sz w:val="20"/>
          <w:szCs w:val="20"/>
          <w:color w:val="auto"/>
        </w:rPr>
      </w:pPr>
      <w:r>
        <w:rPr>
          <w:rFonts w:ascii="Calibri" w:cs="Calibri" w:eastAsia="Calibri" w:hAnsi="Calibri"/>
          <w:sz w:val="15"/>
          <w:szCs w:val="15"/>
          <w:b w:val="1"/>
          <w:bCs w:val="1"/>
          <w:i w:val="1"/>
          <w:iCs w:val="1"/>
          <w:color w:val="auto"/>
        </w:rPr>
        <w:t>The multple class structure of our common stock has the efect of concentratng votng control with our founder and certain other holders of our Class B common stock, which will limit or preclude the ability of our stockholders to infuence corporate maters.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Our Class B common stock has ten votes per share and our Class A common stock has one vote per share. Our founder and certain of his afliates hold a substantal number of the outstanding shares of our Class B common stock and therefore hold a substantal majority of the votng power of our outstanding capital stock. Because of the ten-to-one votng rato between our Class B and Class A common stock, the holders of our Class B common stock collectvely control a majority of the combined votng power of our common stock and therefore are able to control all maters submited to our stockholders for approval so long as the shares of Class B common stock represent at least 9.1% of all outstanding shares of our Class A and Class B common stock. This concentrated control will limit or preclude the ability of our other stockholders to infuence corporate maters for the foreseeable future. Additonally, transfers by holders of Class B common stock will generally result in those transferred shares convertng into Class A common stock, subject to limited exceptons, such as certain transfers efected for estate planning or charitable purposes. The conversion of Class B common stock into Class A common stock has had and will contnue to have</w:t>
      </w:r>
    </w:p>
    <w:p>
      <w:pPr>
        <w:spacing w:after="0" w:line="186" w:lineRule="exact"/>
        <w:rPr>
          <w:sz w:val="20"/>
          <w:szCs w:val="20"/>
          <w:color w:val="auto"/>
        </w:rPr>
      </w:pPr>
    </w:p>
    <w:p>
      <w:pPr>
        <w:jc w:val="center"/>
        <w:spacing w:after="0"/>
        <w:rPr>
          <w:sz w:val="20"/>
          <w:szCs w:val="20"/>
          <w:color w:val="auto"/>
        </w:rPr>
      </w:pPr>
      <w:r>
        <w:rPr>
          <w:rFonts w:ascii="Calibri" w:cs="Calibri" w:eastAsia="Calibri" w:hAnsi="Calibri"/>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408940</wp:posOffset>
            </wp:positionV>
            <wp:extent cx="7178040" cy="400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4" w:right="319" w:bottom="1440" w:gutter="0" w:footer="0" w:header="0"/>
        </w:sectPr>
      </w:pPr>
    </w:p>
    <w:bookmarkStart w:id="41" w:name="page42"/>
    <w:bookmarkEnd w:id="41"/>
    <w:p>
      <w:pPr>
        <w:jc w:val="both"/>
        <w:ind w:right="20"/>
        <w:spacing w:after="0" w:line="241" w:lineRule="auto"/>
        <w:rPr>
          <w:sz w:val="20"/>
          <w:szCs w:val="20"/>
          <w:color w:val="auto"/>
        </w:rPr>
      </w:pPr>
      <w:r>
        <w:rPr>
          <w:rFonts w:ascii="Calibri" w:cs="Calibri" w:eastAsia="Calibri" w:hAnsi="Calibri"/>
          <w:sz w:val="15"/>
          <w:szCs w:val="15"/>
          <w:color w:val="auto"/>
        </w:rPr>
        <w:t>the efect, over tme, of increasing the relatve votng power of those holders of Class B common stock who retain such shares. If, for example, Mr. Steinert retains a signifcant porton of his holdings of Class B common stock, he could contnue to control a majority of the combined votng power of our outstanding capital stock.</w:t>
      </w:r>
    </w:p>
    <w:p>
      <w:pPr>
        <w:spacing w:after="0" w:line="184" w:lineRule="exact"/>
        <w:rPr>
          <w:sz w:val="20"/>
          <w:szCs w:val="20"/>
          <w:color w:val="auto"/>
        </w:rPr>
      </w:pPr>
    </w:p>
    <w:p>
      <w:pPr>
        <w:spacing w:after="0"/>
        <w:rPr>
          <w:sz w:val="20"/>
          <w:szCs w:val="20"/>
          <w:color w:val="auto"/>
        </w:rPr>
      </w:pPr>
      <w:r>
        <w:rPr>
          <w:rFonts w:ascii="Calibri" w:cs="Calibri" w:eastAsia="Calibri" w:hAnsi="Calibri"/>
          <w:sz w:val="15"/>
          <w:szCs w:val="15"/>
          <w:b w:val="1"/>
          <w:bCs w:val="1"/>
          <w:i w:val="1"/>
          <w:iCs w:val="1"/>
          <w:color w:val="auto"/>
        </w:rPr>
        <w:t>Our status as a “controlled company” could make our Class A common stock less atractve to some investors or otherwise harm the trading price of our Class A common stock.</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More than 50% of our votng power is held by Mr. Steinert. As a result, we are a “controlled company” under the corporate governance rules for Nasdaq-listed companies and may elect not to comply with certain Nasdaq corporate governance requirements. We rely and have relied on certain or all of these exemptons. Accordingly, should the interests of our controlling stockholder difer from those of other stockholders, the other stockholders may not have the same protectons aforded to stockholders of companies that are subject to all of the corporate governance rules for Nasdaq-listed companies. Our status as a controlled company could make our Class A common stock less atractve to some investors or otherwise harm our stock price.</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b w:val="1"/>
          <w:bCs w:val="1"/>
          <w:i w:val="1"/>
          <w:iCs w:val="1"/>
          <w:color w:val="auto"/>
        </w:rPr>
        <w:t>The trading price of our Class A common stock has been and may contnue to be volatle and the value of our stockholders’ investment in our stock could decline.</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The trading price of our Class A common stock has been and may contnue to be volatle and fuctuate substantally. The trading price of our Class A common stock depends on a number of factors, including those described in this “Risk Factors” secton, many of which are beyond our control and may not be related to our operatng performance. Factors that could cause fuctuatons in the trading price of our Class A common stock include changes in the operatng performance and stock market valuatons of other technology companies generally, or those in our industry in partcular; sales of shares of our Class A common stock by us or our stockholders; adverse changes to recommendatons regarding our stock by covering securites analysts; failure of securites analysts to maintain coverage of us, changes in fnancial estmates by any securites analysts who follow us, or our failure to meet these estmates or the expectatons of investors; announcements by us or our compettors of new products; the public’s reacton to our issuances of earnings guidance or other public announcements and flings; real or perceived inaccuracies in our key metrics; actons of an actvist stockholder; actual or antcipated changes or fuctuatons in our operatng results or developments in our business, our compettors’ businesses, or the compettve landscape generally; litgaton involving us or investgatons by regulators into our operatons or those of our compettors; developments or disputes concerning our proprietary rights; announced or completed acquisitons of businesses or technologies by us or our compettors; new laws or regulatons or new interpretatons of existng laws or regulatons applicable to our business; changes in accountng standards, policies, or guidelines; any signifcant change in our management; changes in the automobile industry; public health emergencies; and general economic conditons.</w:t>
      </w:r>
    </w:p>
    <w:p>
      <w:pPr>
        <w:spacing w:after="0" w:line="186" w:lineRule="exact"/>
        <w:rPr>
          <w:sz w:val="20"/>
          <w:szCs w:val="20"/>
          <w:color w:val="auto"/>
        </w:rPr>
      </w:pPr>
    </w:p>
    <w:p>
      <w:pPr>
        <w:jc w:val="both"/>
        <w:ind w:right="20"/>
        <w:spacing w:after="0" w:line="241" w:lineRule="auto"/>
        <w:rPr>
          <w:sz w:val="20"/>
          <w:szCs w:val="20"/>
          <w:color w:val="auto"/>
        </w:rPr>
      </w:pPr>
      <w:r>
        <w:rPr>
          <w:rFonts w:ascii="Calibri" w:cs="Calibri" w:eastAsia="Calibri" w:hAnsi="Calibri"/>
          <w:sz w:val="15"/>
          <w:szCs w:val="15"/>
          <w:b w:val="1"/>
          <w:bCs w:val="1"/>
          <w:i w:val="1"/>
          <w:iCs w:val="1"/>
          <w:color w:val="auto"/>
        </w:rPr>
        <w:t>We cannot guarantee that our share repurchase program will be fully implemented or that it will enhance stockholder value, and share repurchases could afect the price of our Class A common stock.</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In November 2023 we announced that our Board of Directors authorized a share repurchase program, or the 2024 Share Repurchase Program, pursuant to which we may, from tme to tme, purchase shares of our Class A common stock for an aggregate purchase price not to exceed $250.0 million, with an expiraton date of December 31, 2024. Repurchases under the 2024 Share Repurchase Program may be made through a variety of methods and are subject to market and business conditons, levels of available liquidity, cash requirements for other purposes, regulatory, and other relevant factors. The tming, pricing, and size of share repurchases will depend on a number of factors, including price, corporate and regulatory requirements, and general market and economic conditons. The 2024 Share Repurchase Program does not obligate us to repurchase any minimum dollar amount or number of shares, and may be suspended or discontnued by our Board of Directors at any tme, which may result in a decrease in the price of our Class A common stock.</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Repurchases under the 2024 Share Repurchase Program will decrease the number of outstanding shares of our Class A common stock and therefore could afect the price of our Class A common stock and increase its volatlity. The existence of the 2024 Share Repurchase Program could also cause the price of our Class A common stock to be higher than it would be in the absence of such a program and could reduce the market liquidity for our Class A common stock. Repurchases under the 2024 Share Repurchase Program will diminish our cash reserves, which could impact our ability to further develop our business and service our indebtedness. There can be no assurance that any share repurchases will enhance stockholder value because the market price of our Class A common stock may decline below the levels at which we repurchased such shares. Any failure to repurchase shares afer we have announced our intenton to do so may negatvely impact our reputaton and investor</w:t>
      </w:r>
    </w:p>
    <w:p>
      <w:pPr>
        <w:spacing w:after="0" w:line="185" w:lineRule="exact"/>
        <w:rPr>
          <w:sz w:val="20"/>
          <w:szCs w:val="20"/>
          <w:color w:val="auto"/>
        </w:rPr>
      </w:pPr>
    </w:p>
    <w:p>
      <w:pPr>
        <w:jc w:val="center"/>
        <w:spacing w:after="0"/>
        <w:rPr>
          <w:sz w:val="20"/>
          <w:szCs w:val="20"/>
          <w:color w:val="auto"/>
        </w:rPr>
      </w:pPr>
      <w:r>
        <w:rPr>
          <w:rFonts w:ascii="Calibri" w:cs="Calibri" w:eastAsia="Calibri" w:hAnsi="Calibri"/>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408940</wp:posOffset>
            </wp:positionV>
            <wp:extent cx="7178040" cy="400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4" w:right="319" w:bottom="1440" w:gutter="0" w:footer="0" w:header="0"/>
        </w:sectPr>
      </w:pPr>
    </w:p>
    <w:bookmarkStart w:id="42" w:name="page43"/>
    <w:bookmarkEnd w:id="42"/>
    <w:p>
      <w:pPr>
        <w:jc w:val="both"/>
        <w:spacing w:after="0" w:line="241" w:lineRule="auto"/>
        <w:rPr>
          <w:sz w:val="20"/>
          <w:szCs w:val="20"/>
          <w:color w:val="auto"/>
        </w:rPr>
      </w:pPr>
      <w:r>
        <w:rPr>
          <w:rFonts w:ascii="Calibri" w:cs="Calibri" w:eastAsia="Calibri" w:hAnsi="Calibri"/>
          <w:sz w:val="15"/>
          <w:szCs w:val="15"/>
          <w:color w:val="auto"/>
        </w:rPr>
        <w:t>confdence in us and may negatvely impact our Class A common stock price. Although the 2024 Share Repurchase Program is intended to enhance long-term stockholder value, short-term price fuctuatons could reduce the program’s efectveness.</w:t>
      </w:r>
    </w:p>
    <w:p>
      <w:pPr>
        <w:spacing w:after="0" w:line="184" w:lineRule="exact"/>
        <w:rPr>
          <w:sz w:val="20"/>
          <w:szCs w:val="20"/>
          <w:color w:val="auto"/>
        </w:rPr>
      </w:pPr>
    </w:p>
    <w:p>
      <w:pPr>
        <w:spacing w:after="0"/>
        <w:rPr>
          <w:sz w:val="20"/>
          <w:szCs w:val="20"/>
          <w:color w:val="auto"/>
        </w:rPr>
      </w:pPr>
      <w:r>
        <w:rPr>
          <w:rFonts w:ascii="Calibri" w:cs="Calibri" w:eastAsia="Calibri" w:hAnsi="Calibri"/>
          <w:sz w:val="15"/>
          <w:szCs w:val="15"/>
          <w:b w:val="1"/>
          <w:bCs w:val="1"/>
          <w:color w:val="auto"/>
        </w:rPr>
        <w:t>General Risk Factors</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b w:val="1"/>
          <w:bCs w:val="1"/>
          <w:i w:val="1"/>
          <w:iCs w:val="1"/>
          <w:color w:val="auto"/>
        </w:rPr>
        <w:t>We partcipate in a highly compettve market, and pressure from existng and new companies may adversely afect our business and operatng results.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We face signifcant competton from companies that provide listngs, car-shopping informaton, lead generaton, marketng, wholesale, and digital car-buying and -selling services designed to help consumers and dealers shop for cars and to enable dealers to reach these consumers. Our compettors include online automotve marketplaces and websites; internet search engines; peer-to-peer marketplaces; social media marketplaces; sites operated by automobile dealers; online dealerships; and vehicle aucton companies. We compete with these and other companies for a share of dealers’ overall marketng budget for online and ofine media marketng spend and we compete with these and other companies in atractng consumers to our websites. To the extent that dealers view alternatve marketng and media strategies to be superior to our marketplaces, we may not be able to maintain or grow the number of dealers subscribing to, and advertsing on, our marketplaces, and our business and fnancial results may be adversely afected. We also expect that new compettors will contnue to enter the online automotve retail and wholesale industries with competng marketplaces, products, and services, and that existng compettors will expand to ofer competng products or services, which could have an adverse efect on our business and fnancial results.</w:t>
      </w:r>
    </w:p>
    <w:p>
      <w:pPr>
        <w:spacing w:after="0" w:line="186"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Our compettors could signifcantly impede our ability to expand the number of dealers using our marketplaces or could ofer discounts that could signifcantly impede our ability to maintain our pricing structure. Our compettors may also develop and market new technologies that render our existng or future platorms and associated products less compettve, unmarketable, or obsolete. In additon, if our compettors develop platorms with similar or superior functonality to ours, or if our web trafc declines, we may need to decrease our subscripton and advertsing fees. If we are unable to maintain our current pricing structure due to compettve pressures, our revenue would likely be reduced and our fnancial results would be negatvely afected. Furthermore, our existng and potental compettors may have signifcantly more fnancial, technical, marketng, and other resources than we have, which may allow them to ofer more compettve pricing and the ability to devote greater resources to the development, promoton, and support of their marketplaces, products, and services. They may also have more extensive automotve industry relatonships than we have, longer operatng histories, and greater name recogniton. In additon, these compettors may be able to respond more quickly with technological advances and to undertake more extensive marketng or promotonal campaigns than we can. To the extent that any compettor has existng relatonships with dealers or auto manufacturers for marketng or data analytcs solutons, those dealers and auto manufacturers may be unwilling to partner with us. If we are unable to compete with these compettors, the demand for our marketplaces and related products and services could substantally decline.</w:t>
      </w:r>
    </w:p>
    <w:p>
      <w:pPr>
        <w:spacing w:after="0" w:line="186" w:lineRule="exact"/>
        <w:rPr>
          <w:sz w:val="20"/>
          <w:szCs w:val="20"/>
          <w:color w:val="auto"/>
        </w:rPr>
      </w:pPr>
    </w:p>
    <w:p>
      <w:pPr>
        <w:jc w:val="both"/>
        <w:ind w:right="20"/>
        <w:spacing w:after="0" w:line="241" w:lineRule="auto"/>
        <w:rPr>
          <w:sz w:val="20"/>
          <w:szCs w:val="20"/>
          <w:color w:val="auto"/>
        </w:rPr>
      </w:pPr>
      <w:r>
        <w:rPr>
          <w:rFonts w:ascii="Calibri" w:cs="Calibri" w:eastAsia="Calibri" w:hAnsi="Calibri"/>
          <w:sz w:val="15"/>
          <w:szCs w:val="15"/>
          <w:b w:val="1"/>
          <w:bCs w:val="1"/>
          <w:i w:val="1"/>
          <w:iCs w:val="1"/>
          <w:color w:val="auto"/>
        </w:rPr>
        <w:t>We must maintain proper and efectve internal control over fnancial reportng and any failure to maintain the adequacy of these internal controls may adversely afect investor confdence in us and, as a result, the value of our Class A common stock.</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We are required, pursuant to Secton 404 of the Sarbanes-Oxley Act and the related rules adopted by the SEC, to furnish a report by management on, among other things, the efectveness of our internal control over fnancial reportng on an annual basis. This assessment includes disclosure of any material weaknesses identfed by our management in our internal control over fnancial reportng, such as those described above. In additon, our independent registered public accountng frm must atest to the efectveness of our internal control over fnancial reportng under Secton 404. Our independent registered public accountng frm may issue a report that is adverse to us in the event it is not satsfed with the level at which our controls are documented, designed, or operatng. We may not be able to remediate the material weakness described above and/or any future material weaknesses that may be identfed, or to complete our evaluaton, testng, and required remediaton in a tmely fashion. Our compliance with Secton 404 requires us to incur substantal accountng expense and expend signifcant management eforts. Any failure to maintain internal control over fnancial reportng could severely inhibit our ability to accurately report our fnancial conditon or results of operatons. If we are unable to assert that our internal control over fnancial reportng is efectve or our independent registered public accountng frm is unable to express an opinion on the efectveness of our internal control over fnancial reportng, we could lose investor confdence in the accuracy and completeness of our fnancial reports, the market price of our Class A common stock could decline, and we could be subject to sanctons or investgatons by Nasdaq, the SEC, or other regulatory authorites. Failure to remedy the material weakness</w:t>
      </w:r>
    </w:p>
    <w:p>
      <w:pPr>
        <w:spacing w:after="0" w:line="186" w:lineRule="exact"/>
        <w:rPr>
          <w:sz w:val="20"/>
          <w:szCs w:val="20"/>
          <w:color w:val="auto"/>
        </w:rPr>
      </w:pPr>
    </w:p>
    <w:p>
      <w:pPr>
        <w:jc w:val="center"/>
        <w:spacing w:after="0"/>
        <w:rPr>
          <w:sz w:val="20"/>
          <w:szCs w:val="20"/>
          <w:color w:val="auto"/>
        </w:rPr>
      </w:pPr>
      <w:r>
        <w:rPr>
          <w:rFonts w:ascii="Calibri" w:cs="Calibri" w:eastAsia="Calibri" w:hAnsi="Calibri"/>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408940</wp:posOffset>
            </wp:positionV>
            <wp:extent cx="7178040" cy="400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4" w:right="319" w:bottom="1440" w:gutter="0" w:footer="0" w:header="0"/>
        </w:sectPr>
      </w:pPr>
    </w:p>
    <w:bookmarkStart w:id="43" w:name="page44"/>
    <w:bookmarkEnd w:id="43"/>
    <w:p>
      <w:pPr>
        <w:jc w:val="both"/>
        <w:spacing w:after="0" w:line="241" w:lineRule="auto"/>
        <w:rPr>
          <w:sz w:val="20"/>
          <w:szCs w:val="20"/>
          <w:color w:val="auto"/>
        </w:rPr>
      </w:pPr>
      <w:r>
        <w:rPr>
          <w:rFonts w:ascii="Calibri" w:cs="Calibri" w:eastAsia="Calibri" w:hAnsi="Calibri"/>
          <w:sz w:val="15"/>
          <w:szCs w:val="15"/>
          <w:color w:val="auto"/>
        </w:rPr>
        <w:t>described above and/or any future material weaknesses that may be identfed, or to implement or maintain other efectve control systems required of public companies, could also restrict our future access to the capital markets.</w:t>
      </w:r>
    </w:p>
    <w:p>
      <w:pPr>
        <w:spacing w:after="0" w:line="184" w:lineRule="exact"/>
        <w:rPr>
          <w:sz w:val="20"/>
          <w:szCs w:val="20"/>
          <w:color w:val="auto"/>
        </w:rPr>
      </w:pPr>
    </w:p>
    <w:p>
      <w:pPr>
        <w:spacing w:after="0"/>
        <w:rPr>
          <w:sz w:val="20"/>
          <w:szCs w:val="20"/>
          <w:color w:val="auto"/>
        </w:rPr>
      </w:pPr>
      <w:r>
        <w:rPr>
          <w:rFonts w:ascii="Calibri" w:cs="Calibri" w:eastAsia="Calibri" w:hAnsi="Calibri"/>
          <w:sz w:val="15"/>
          <w:szCs w:val="15"/>
          <w:b w:val="1"/>
          <w:bCs w:val="1"/>
          <w:i w:val="1"/>
          <w:iCs w:val="1"/>
          <w:color w:val="auto"/>
        </w:rPr>
        <w:t>We expect our results of operatons to fuctuate on a quarterly and annual basis.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Our revenue and results of operatons could vary signifcantly from period to period and may fail to match expectatons as a result of a variety of factors, some of which are outside of our control, including macroeconomic issues, such as increased interest rates. Our results may vary as a result of fuctuatons in the number of dealers subscribing to our marketplaces, the size and seasonal variability of our advertsers’ marketng budgets, and the impact of vehicle arbitratons, volume, and prices in a given period in connecton with our IMCO product and the wholesale sale of automobiles. As a result of the potental variatons in our revenue and results of operatons, period-to-period comparisons may not be meaningful and the results of any one period should not be relied on as an indicaton of future performance. In additon, our results of operatons may not meet the expectatons of investors or covering analysts, which may adversely afect the trading price of our Class A common stock.</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b w:val="1"/>
          <w:bCs w:val="1"/>
          <w:i w:val="1"/>
          <w:iCs w:val="1"/>
          <w:color w:val="auto"/>
        </w:rPr>
        <w:t>We could be subject to adverse changes in tax laws, regulatons, and interpretatons, plus challenges to our tax positons.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We are subject to taxaton in the U.S. and certain other jurisdictons in which we operate. Changes in applicable tax laws or regulatons may be proposed or enacted that could materially and adversely afect our efectve tax rate, tax payments, results of operatons, fnancial conditon, and cash fows. In additon, tax laws and regulatons are complex and subject to varying interpretatons. There is also uncertainty over sales tax liability as a result of recent U.S. Supreme Court and Massachusets Supreme Court decisions, which could precipitate reactons that could adversely increase our tax administratve costs and tax risk, and negatvely afect our overall business, results of operatons, fnancial conditon, and cash fows. We are also regularly subject to audits by tax authorites. Any adverse development or outcome in connecton with any such tax audits, and any other audits or litgaton, could materially and adversely impact our efectve tax rate, tax payments, results of operatons, fnancial conditon, and cash fows.</w:t>
      </w:r>
    </w:p>
    <w:p>
      <w:pPr>
        <w:spacing w:after="0" w:line="185" w:lineRule="exact"/>
        <w:rPr>
          <w:sz w:val="20"/>
          <w:szCs w:val="20"/>
          <w:color w:val="auto"/>
        </w:rPr>
      </w:pPr>
    </w:p>
    <w:p>
      <w:pPr>
        <w:jc w:val="both"/>
        <w:ind w:right="20"/>
        <w:spacing w:after="0" w:line="241" w:lineRule="auto"/>
        <w:rPr>
          <w:sz w:val="20"/>
          <w:szCs w:val="20"/>
          <w:color w:val="auto"/>
        </w:rPr>
      </w:pPr>
      <w:r>
        <w:rPr>
          <w:rFonts w:ascii="Calibri" w:cs="Calibri" w:eastAsia="Calibri" w:hAnsi="Calibri"/>
          <w:sz w:val="15"/>
          <w:szCs w:val="15"/>
          <w:b w:val="1"/>
          <w:bCs w:val="1"/>
          <w:i w:val="1"/>
          <w:iCs w:val="1"/>
          <w:color w:val="auto"/>
        </w:rPr>
        <w:t>Our results could be adversely afected by events beyond our control, such as natural disasters, public health crises, politcal crises, negatve global climate paterns, or other catastrophic events.</w:t>
      </w:r>
    </w:p>
    <w:p>
      <w:pPr>
        <w:spacing w:after="0" w:line="185" w:lineRule="exact"/>
        <w:rPr>
          <w:sz w:val="20"/>
          <w:szCs w:val="20"/>
          <w:color w:val="auto"/>
        </w:rPr>
      </w:pPr>
    </w:p>
    <w:p>
      <w:pPr>
        <w:ind w:firstLine="511"/>
        <w:spacing w:after="0" w:line="241" w:lineRule="auto"/>
        <w:rPr>
          <w:sz w:val="20"/>
          <w:szCs w:val="20"/>
          <w:color w:val="auto"/>
        </w:rPr>
      </w:pPr>
      <w:r>
        <w:rPr>
          <w:rFonts w:ascii="Calibri" w:cs="Calibri" w:eastAsia="Calibri" w:hAnsi="Calibri"/>
          <w:sz w:val="15"/>
          <w:szCs w:val="15"/>
          <w:color w:val="auto"/>
        </w:rPr>
        <w:t>Our operatons, or those of third-party service providers or dealers, could be negatvely impacted by various events beyond our control, including natural disasters, such as hurricanes, tornadoes, foods, earthquakes, extreme cold events, and other adverse weather conditons; public health crises, such as pandemics and epidemics; politcal crises, such as terrorist atacks, war, labor unrest, and other politcal instability (including the ongoing confict between Russia and Ukraine); negatve global climate paterns, especially in water stressed regions; or other catastrophic events, such as fres or other disasters. These events could disrupt our operatons and those of our third-party service providers and dealers. Further, if a natural disaster occurs in a region in which a signifcant number of dealers are located, such dealers may suspend listng their inventory, cancel or delay their subscriptons, or reduce their spending with us, which may materially and adversely impact our results of operatons for a partcular period. In additon, these types of events could negatvely impact consumer spending in the impacted regions. To the extent any of these events occur, our operatons and fnancial results could be adversely afected. In additon, the impacts of climate change could result in changes in regulatons, which could, in turn, afect our business, operatng results, and fnancial conditon.</w:t>
      </w:r>
    </w:p>
    <w:p>
      <w:pPr>
        <w:spacing w:after="0" w:line="186" w:lineRule="exact"/>
        <w:rPr>
          <w:sz w:val="20"/>
          <w:szCs w:val="20"/>
          <w:color w:val="auto"/>
        </w:rPr>
      </w:pPr>
    </w:p>
    <w:p>
      <w:pPr>
        <w:jc w:val="center"/>
        <w:spacing w:after="0"/>
        <w:rPr>
          <w:sz w:val="20"/>
          <w:szCs w:val="20"/>
          <w:color w:val="auto"/>
        </w:rPr>
      </w:pPr>
      <w:r>
        <w:rPr>
          <w:rFonts w:ascii="Calibri" w:cs="Calibri" w:eastAsia="Calibri" w:hAnsi="Calibri"/>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408940</wp:posOffset>
            </wp:positionV>
            <wp:extent cx="7178040" cy="400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4" w:right="319" w:bottom="1440" w:gutter="0" w:footer="0" w:header="0"/>
        </w:sectPr>
      </w:pPr>
    </w:p>
    <w:bookmarkStart w:id="44" w:name="page45"/>
    <w:bookmarkEnd w:id="44"/>
    <w:p>
      <w:pPr>
        <w:spacing w:after="0"/>
        <w:rPr>
          <w:sz w:val="20"/>
          <w:szCs w:val="20"/>
          <w:color w:val="auto"/>
        </w:rPr>
      </w:pPr>
      <w:r>
        <w:rPr>
          <w:rFonts w:ascii="Calibri" w:cs="Calibri" w:eastAsia="Calibri" w:hAnsi="Calibri"/>
          <w:sz w:val="15"/>
          <w:szCs w:val="15"/>
          <w:b w:val="1"/>
          <w:bCs w:val="1"/>
          <w:color w:val="auto"/>
        </w:rPr>
        <w:t>Item 1B. Unresolved Staf Comments.</w:t>
      </w:r>
    </w:p>
    <w:p>
      <w:pPr>
        <w:spacing w:after="0" w:line="185" w:lineRule="exact"/>
        <w:rPr>
          <w:sz w:val="20"/>
          <w:szCs w:val="20"/>
          <w:color w:val="auto"/>
        </w:rPr>
      </w:pPr>
    </w:p>
    <w:p>
      <w:pPr>
        <w:ind w:left="500"/>
        <w:spacing w:after="0"/>
        <w:rPr>
          <w:sz w:val="20"/>
          <w:szCs w:val="20"/>
          <w:color w:val="auto"/>
        </w:rPr>
      </w:pPr>
      <w:r>
        <w:rPr>
          <w:rFonts w:ascii="Calibri" w:cs="Calibri" w:eastAsia="Calibri" w:hAnsi="Calibri"/>
          <w:sz w:val="15"/>
          <w:szCs w:val="15"/>
          <w:color w:val="auto"/>
        </w:rPr>
        <w:t>Not applicable.</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b w:val="1"/>
          <w:bCs w:val="1"/>
          <w:color w:val="auto"/>
        </w:rPr>
        <w:t>Item 1C. Cybersecurity.</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We have policies, procedures, and processes for assessing, identfying, and managing cybersecurity risks, which are built into our overall informaton technology functon and are designed to help protect our informaton assets and operatons from internal and external cyber threats as well as secure our networks and systems. Such processes include procedural and technical safeguards, response plans, regular vulnerability and penetraton tests on our systems and product applicatons, incident simulatons, and routne review of our policies and procedures to identfy risks and improve our practces. Our security incident response plan is designed to help coordinate our response to, and recovery from, cybersecurity incidents, and includes processes to assess the severity of, escalate, contain, investgate, and remediate incidents as well as to comply with applicable legal obligatons. We maintain cyber insurance coverage; however, such insurance may not be sufcient in type or amount to cover us against claims related to security breaches, cyber-atacks, and other related breaches.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We engage certain external partes to enhance our cybersecurity processes and strategies. Depending on the nature of the services provided, the sensitvity and quantty of informaton processed, and the identty of the service provider, we evaluate the security and risk posture according to the perceived level of risk and in accordance with industry standard best practces.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The Audit Commitee of the Board of Directors provides direct oversight over cybersecurity risk and provides regular updates to the Board of Directors regarding such oversight. The Audit Commitee regularly meets with members of management responsible for data privacy, technology, and informaton security risks to discuss these risks, risk management actvites, incident response plans, best practces, the efectveness of our security measures, and other related maters.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Our Vice President, Informaton Security and Technology, who reports to our Chief Technology Ofcer, leads the operatonal oversight of company-wide cybersecurity strategy, policy, standards, and processes and works across relevant departments to assess and help prepare us and our employees to address cybersecurity risks. Specifc cybersecurity related responsibilites include overseeing our processes and strategies for the detecton, mitgaton, and remediaton of cybersecurity incidents. Our Vice President, Informaton Security and Technology has extensive experience assessing and managing cybersecurity and risk programs having served in the current positon for us since December 2020 and prior Senior Director level positons in Security and Privacy at several private and public Sofware as a Service, or SaaS, companies. Specialized knowledge also results from our Vice President, Informaton Security and Technology holding a Master of Informaton Security and Assurance from Norwich University.</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In an efort to deter and detect cyber threats, we annually provide all employees, including part-tme employees, with a data protecton, cybersecurity, and incident response and preventon training program, which covers tmely and relevant topics, including social engineering, phishing, password protecton, confdental data protecton, asset use, and mobile security, and educates employees on the importance of reportng all incidents immediately. We also use technology-based tools to mitgate cybersecurity threats and risks and to bolster our employee-based cybersecurity programs.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Despite our cybersecurity eforts, we may not be successful in preventng or mitgatng a cybersecurity incident that could have a material adverse efect on us. See Part I, Item 1A, Risk Factors, in this Annual Report for a discussion of cybersecurity risks.</w:t>
      </w:r>
    </w:p>
    <w:p>
      <w:pPr>
        <w:spacing w:after="0" w:line="184" w:lineRule="exact"/>
        <w:rPr>
          <w:sz w:val="20"/>
          <w:szCs w:val="20"/>
          <w:color w:val="auto"/>
        </w:rPr>
      </w:pPr>
    </w:p>
    <w:p>
      <w:pPr>
        <w:jc w:val="center"/>
        <w:spacing w:after="0"/>
        <w:rPr>
          <w:sz w:val="20"/>
          <w:szCs w:val="20"/>
          <w:color w:val="auto"/>
        </w:rPr>
      </w:pPr>
      <w:r>
        <w:rPr>
          <w:rFonts w:ascii="Calibri" w:cs="Calibri" w:eastAsia="Calibri" w:hAnsi="Calibri"/>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408940</wp:posOffset>
            </wp:positionV>
            <wp:extent cx="7178040" cy="400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3" w:right="319" w:bottom="1440" w:gutter="0" w:footer="0" w:header="0"/>
        </w:sectPr>
      </w:pPr>
    </w:p>
    <w:bookmarkStart w:id="45" w:name="page46"/>
    <w:bookmarkEnd w:id="45"/>
    <w:p>
      <w:pPr>
        <w:spacing w:after="0"/>
        <w:rPr>
          <w:sz w:val="20"/>
          <w:szCs w:val="20"/>
          <w:color w:val="auto"/>
        </w:rPr>
      </w:pPr>
      <w:r>
        <w:rPr>
          <w:rFonts w:ascii="Calibri" w:cs="Calibri" w:eastAsia="Calibri" w:hAnsi="Calibri"/>
          <w:sz w:val="15"/>
          <w:szCs w:val="15"/>
          <w:b w:val="1"/>
          <w:bCs w:val="1"/>
          <w:color w:val="auto"/>
        </w:rPr>
        <w:t>Item 2. Propertes.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We do not own any material real property. Our principal executve ofces are located in Cambridge, Massachusets, where we lease a total of approximately 169,764 square feet of space in various parcels in three buildings with lease terms through 2033. We also lease ofce space in Addison, Texas; Dublin, Ireland; and San Francisco, California, for our CarOfer, European, and Autolist operatons, respectvely. We sublease two of our leased ofce spaces for part of the remaining terms of the leases. Our U.S. Marketplace segment utlizes the ofces in Cambridge, Massachusets, and San Francisco, California. Our Digital Wholesale segment primarily utlizes the ofce in Addison, Texas. The Other category of segment reportng utlizes the ofce in Dublin, Ireland. We believe that our current facilites are suitable and adequate to meet our current needs. We believe that suitable additonal space or substtute space will be available in the future to accommodate our operatons as needed. In 2019 we entered into a lease for ofce space at 1001 Boylston Street in Boston, Massachusets, which we expect to occupy in 2024.</w:t>
      </w:r>
    </w:p>
    <w:p>
      <w:pPr>
        <w:spacing w:after="0" w:line="186" w:lineRule="exact"/>
        <w:rPr>
          <w:sz w:val="20"/>
          <w:szCs w:val="20"/>
          <w:color w:val="auto"/>
        </w:rPr>
      </w:pPr>
    </w:p>
    <w:p>
      <w:pPr>
        <w:spacing w:after="0"/>
        <w:rPr>
          <w:sz w:val="20"/>
          <w:szCs w:val="20"/>
          <w:color w:val="auto"/>
        </w:rPr>
      </w:pPr>
      <w:r>
        <w:rPr>
          <w:rFonts w:ascii="Calibri" w:cs="Calibri" w:eastAsia="Calibri" w:hAnsi="Calibri"/>
          <w:sz w:val="15"/>
          <w:szCs w:val="15"/>
          <w:b w:val="1"/>
          <w:bCs w:val="1"/>
          <w:color w:val="auto"/>
        </w:rPr>
        <w:t>Item 3. Legal Proceedings.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From tme to tme, we may become involved in legal proceedings or be subject to claims arising in the ordinary course of our business. We are not presently subject to any pending or threatened litgaton that we believe, if determined adversely to us, would individually, or taken together, reasonably be expected to have a material adverse efect on our business or fnancial results.</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b w:val="1"/>
          <w:bCs w:val="1"/>
          <w:color w:val="auto"/>
        </w:rPr>
        <w:t>Item 4. Mine Safety Disclosures.</w:t>
      </w:r>
    </w:p>
    <w:p>
      <w:pPr>
        <w:spacing w:after="0" w:line="185" w:lineRule="exact"/>
        <w:rPr>
          <w:sz w:val="20"/>
          <w:szCs w:val="20"/>
          <w:color w:val="auto"/>
        </w:rPr>
      </w:pPr>
    </w:p>
    <w:p>
      <w:pPr>
        <w:ind w:left="500"/>
        <w:spacing w:after="0"/>
        <w:rPr>
          <w:sz w:val="20"/>
          <w:szCs w:val="20"/>
          <w:color w:val="auto"/>
        </w:rPr>
      </w:pPr>
      <w:r>
        <w:rPr>
          <w:rFonts w:ascii="Calibri" w:cs="Calibri" w:eastAsia="Calibri" w:hAnsi="Calibri"/>
          <w:sz w:val="15"/>
          <w:szCs w:val="15"/>
          <w:color w:val="auto"/>
        </w:rPr>
        <w:t>Not applicable.</w:t>
      </w:r>
    </w:p>
    <w:p>
      <w:pPr>
        <w:spacing w:after="0" w:line="185" w:lineRule="exact"/>
        <w:rPr>
          <w:sz w:val="20"/>
          <w:szCs w:val="20"/>
          <w:color w:val="auto"/>
        </w:rPr>
      </w:pPr>
    </w:p>
    <w:p>
      <w:pPr>
        <w:jc w:val="center"/>
        <w:spacing w:after="0"/>
        <w:rPr>
          <w:sz w:val="20"/>
          <w:szCs w:val="20"/>
          <w:color w:val="auto"/>
        </w:rPr>
      </w:pPr>
      <w:r>
        <w:rPr>
          <w:rFonts w:ascii="Calibri" w:cs="Calibri" w:eastAsia="Calibri" w:hAnsi="Calibri"/>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408940</wp:posOffset>
            </wp:positionV>
            <wp:extent cx="7178040" cy="400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3" w:right="319" w:bottom="1440" w:gutter="0" w:footer="0" w:header="0"/>
        </w:sectPr>
      </w:pPr>
    </w:p>
    <w:bookmarkStart w:id="46" w:name="page47"/>
    <w:bookmarkEnd w:id="46"/>
    <w:p>
      <w:pPr>
        <w:jc w:val="center"/>
        <w:spacing w:after="0"/>
        <w:rPr>
          <w:sz w:val="20"/>
          <w:szCs w:val="20"/>
          <w:color w:val="auto"/>
        </w:rPr>
      </w:pPr>
      <w:r>
        <w:rPr>
          <w:rFonts w:ascii="Calibri" w:cs="Calibri" w:eastAsia="Calibri" w:hAnsi="Calibri"/>
          <w:sz w:val="15"/>
          <w:szCs w:val="15"/>
          <w:b w:val="1"/>
          <w:bCs w:val="1"/>
          <w:color w:val="auto"/>
        </w:rPr>
        <w:t>PART II</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b w:val="1"/>
          <w:bCs w:val="1"/>
          <w:color w:val="auto"/>
        </w:rPr>
        <w:t>Item 5. Market for Registrant’s Common Equity, Related Stockholder Maters and Issuer Purchases of Equity Securites.</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b w:val="1"/>
          <w:bCs w:val="1"/>
          <w:i w:val="1"/>
          <w:iCs w:val="1"/>
          <w:color w:val="auto"/>
        </w:rPr>
        <w:t>Market Informaton for Common Stock</w:t>
      </w:r>
    </w:p>
    <w:p>
      <w:pPr>
        <w:spacing w:after="0" w:line="185" w:lineRule="exact"/>
        <w:rPr>
          <w:sz w:val="20"/>
          <w:szCs w:val="20"/>
          <w:color w:val="auto"/>
        </w:rPr>
      </w:pPr>
    </w:p>
    <w:p>
      <w:pPr>
        <w:jc w:val="both"/>
        <w:ind w:right="20" w:firstLine="511"/>
        <w:spacing w:after="0" w:line="241" w:lineRule="auto"/>
        <w:rPr>
          <w:sz w:val="20"/>
          <w:szCs w:val="20"/>
          <w:color w:val="auto"/>
        </w:rPr>
      </w:pPr>
      <w:r>
        <w:rPr>
          <w:rFonts w:ascii="Calibri" w:cs="Calibri" w:eastAsia="Calibri" w:hAnsi="Calibri"/>
          <w:sz w:val="15"/>
          <w:szCs w:val="15"/>
          <w:color w:val="auto"/>
        </w:rPr>
        <w:t>Our Class A common stock has been listed on the Nasdaq Global Select Market under the symbol “CARG” since October 12, 2017. Prior to that date, there was no public trading market for our Class A common stock. Our inital public ofering, or IPO, was priced at $16.00 per share on October 11, 2017.</w:t>
      </w:r>
    </w:p>
    <w:p>
      <w:pPr>
        <w:spacing w:after="0" w:line="184" w:lineRule="exact"/>
        <w:rPr>
          <w:sz w:val="20"/>
          <w:szCs w:val="20"/>
          <w:color w:val="auto"/>
        </w:rPr>
      </w:pPr>
    </w:p>
    <w:p>
      <w:pPr>
        <w:ind w:left="500"/>
        <w:spacing w:after="0"/>
        <w:rPr>
          <w:sz w:val="20"/>
          <w:szCs w:val="20"/>
          <w:color w:val="auto"/>
        </w:rPr>
      </w:pPr>
      <w:r>
        <w:rPr>
          <w:rFonts w:ascii="Calibri" w:cs="Calibri" w:eastAsia="Calibri" w:hAnsi="Calibri"/>
          <w:sz w:val="15"/>
          <w:szCs w:val="15"/>
          <w:color w:val="auto"/>
        </w:rPr>
        <w:t>On February 23, 2024, the last reported sale price of our Class A common stock on the Nasdaq Global Select Market was $23.84 per share.</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b w:val="1"/>
          <w:bCs w:val="1"/>
          <w:i w:val="1"/>
          <w:iCs w:val="1"/>
          <w:color w:val="auto"/>
        </w:rPr>
        <w:t>Holders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As of February 22, 2024, we had six record holders of our Class A common stock. The actual number of stockholders is greater than this number of record holders, and includes stockholders who are benefcial owners but whose shares are held in street name by brokers and other nominees. The number of record holders does not include stockholders whose shares may be held in trust by other enttes.</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b w:val="1"/>
          <w:bCs w:val="1"/>
          <w:i w:val="1"/>
          <w:iCs w:val="1"/>
          <w:color w:val="auto"/>
        </w:rPr>
        <w:t>Dividends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We have never declared or paid any cash dividends on our common stock. We currently antcipate that we will retain future earnings to fund development and growth of our business, and we do not antcipate paying cash dividends in the foreseeable future.</w:t>
      </w:r>
    </w:p>
    <w:p>
      <w:pPr>
        <w:spacing w:after="0" w:line="184" w:lineRule="exact"/>
        <w:rPr>
          <w:sz w:val="20"/>
          <w:szCs w:val="20"/>
          <w:color w:val="auto"/>
        </w:rPr>
      </w:pPr>
    </w:p>
    <w:p>
      <w:pPr>
        <w:jc w:val="center"/>
        <w:spacing w:after="0"/>
        <w:rPr>
          <w:sz w:val="20"/>
          <w:szCs w:val="20"/>
          <w:color w:val="auto"/>
        </w:rPr>
      </w:pPr>
      <w:r>
        <w:rPr>
          <w:rFonts w:ascii="Calibri" w:cs="Calibri" w:eastAsia="Calibri" w:hAnsi="Calibri"/>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408940</wp:posOffset>
            </wp:positionV>
            <wp:extent cx="7178040" cy="400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4" w:right="319" w:bottom="1440" w:gutter="0" w:footer="0" w:header="0"/>
        </w:sectPr>
      </w:pPr>
    </w:p>
    <w:bookmarkStart w:id="47" w:name="page48"/>
    <w:bookmarkEnd w:id="47"/>
    <w:p>
      <w:pPr>
        <w:spacing w:after="0"/>
        <w:rPr>
          <w:sz w:val="20"/>
          <w:szCs w:val="20"/>
          <w:color w:val="auto"/>
        </w:rPr>
      </w:pPr>
      <w:r>
        <w:rPr>
          <w:rFonts w:ascii="Calibri" w:cs="Calibri" w:eastAsia="Calibri" w:hAnsi="Calibri"/>
          <w:sz w:val="15"/>
          <w:szCs w:val="15"/>
          <w:b w:val="1"/>
          <w:bCs w:val="1"/>
          <w:i w:val="1"/>
          <w:iCs w:val="1"/>
          <w:color w:val="auto"/>
        </w:rPr>
        <w:t>Performance Graph</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i w:val="1"/>
          <w:iCs w:val="1"/>
          <w:color w:val="auto"/>
        </w:rPr>
        <w:t>This performance graph shall not be deemed “solicitng material” or to be “fled” with the SEC for purposes of Secton 18 of the Securites Exchange Act of 1934, as amended, or the Exchange Act, or otherwise be subject to the liabilites under that secton, and shall not be deemed to be incorporated by reference into any fling of CarGurus under the Exchange Act or the Securites Act of 1933, as amended.</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The following graph shows a comparison from December 31, 2018 through December 31, 2023 of the cumulatve total return for our Class A common stock, the Nasdaq Composite Index, and the S&amp;P 500 Index. On December 31, 2018, the last reported sale price of our Class A common stock on the Nasdaq Global Select Market was $33.73 per share. All values assume a $100 inital cash investment and data for the Nasdaq Composite Index and the S&amp;P 500 Index assume reinvestment of dividends, if any. Such returns are based on historical results and are not intended to suggest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1645920</wp:posOffset>
            </wp:positionH>
            <wp:positionV relativeFrom="paragraph">
              <wp:posOffset>128905</wp:posOffset>
            </wp:positionV>
            <wp:extent cx="4157345" cy="26447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157345" cy="2644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5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040" w:type="dxa"/>
            <w:vAlign w:val="bottom"/>
          </w:tcPr>
          <w:p>
            <w:pPr>
              <w:jc w:val="right"/>
              <w:ind w:right="147"/>
              <w:spacing w:after="0"/>
              <w:rPr>
                <w:sz w:val="20"/>
                <w:szCs w:val="20"/>
                <w:color w:val="auto"/>
              </w:rPr>
            </w:pPr>
            <w:r>
              <w:rPr>
                <w:rFonts w:ascii="Calibri" w:cs="Calibri" w:eastAsia="Calibri" w:hAnsi="Calibri"/>
                <w:sz w:val="12"/>
                <w:szCs w:val="12"/>
                <w:b w:val="1"/>
                <w:bCs w:val="1"/>
                <w:color w:val="auto"/>
              </w:rPr>
              <w:t>12/31/2018</w:t>
            </w:r>
          </w:p>
        </w:tc>
        <w:tc>
          <w:tcPr>
            <w:tcW w:w="1260" w:type="dxa"/>
            <w:vAlign w:val="bottom"/>
            <w:gridSpan w:val="2"/>
          </w:tcPr>
          <w:p>
            <w:pPr>
              <w:jc w:val="right"/>
              <w:ind w:right="220"/>
              <w:spacing w:after="0"/>
              <w:rPr>
                <w:sz w:val="20"/>
                <w:szCs w:val="20"/>
                <w:color w:val="auto"/>
              </w:rPr>
            </w:pPr>
            <w:r>
              <w:rPr>
                <w:rFonts w:ascii="Calibri" w:cs="Calibri" w:eastAsia="Calibri" w:hAnsi="Calibri"/>
                <w:sz w:val="12"/>
                <w:szCs w:val="12"/>
                <w:b w:val="1"/>
                <w:bCs w:val="1"/>
                <w:color w:val="auto"/>
              </w:rPr>
              <w:t>12/31/2019</w:t>
            </w:r>
          </w:p>
        </w:tc>
        <w:tc>
          <w:tcPr>
            <w:tcW w:w="220" w:type="dxa"/>
            <w:vAlign w:val="bottom"/>
          </w:tcPr>
          <w:p>
            <w:pPr>
              <w:spacing w:after="0"/>
              <w:rPr>
                <w:sz w:val="12"/>
                <w:szCs w:val="12"/>
                <w:color w:val="auto"/>
              </w:rPr>
            </w:pPr>
          </w:p>
        </w:tc>
        <w:tc>
          <w:tcPr>
            <w:tcW w:w="1040" w:type="dxa"/>
            <w:vAlign w:val="bottom"/>
          </w:tcPr>
          <w:p>
            <w:pPr>
              <w:jc w:val="right"/>
              <w:ind w:right="147"/>
              <w:spacing w:after="0"/>
              <w:rPr>
                <w:sz w:val="20"/>
                <w:szCs w:val="20"/>
                <w:color w:val="auto"/>
              </w:rPr>
            </w:pPr>
            <w:r>
              <w:rPr>
                <w:rFonts w:ascii="Calibri" w:cs="Calibri" w:eastAsia="Calibri" w:hAnsi="Calibri"/>
                <w:sz w:val="12"/>
                <w:szCs w:val="12"/>
                <w:b w:val="1"/>
                <w:bCs w:val="1"/>
                <w:color w:val="auto"/>
              </w:rPr>
              <w:t>12/31/2020</w:t>
            </w:r>
          </w:p>
        </w:tc>
        <w:tc>
          <w:tcPr>
            <w:tcW w:w="1240" w:type="dxa"/>
            <w:vAlign w:val="bottom"/>
            <w:gridSpan w:val="2"/>
          </w:tcPr>
          <w:p>
            <w:pPr>
              <w:jc w:val="right"/>
              <w:ind w:right="200"/>
              <w:spacing w:after="0"/>
              <w:rPr>
                <w:sz w:val="20"/>
                <w:szCs w:val="20"/>
                <w:color w:val="auto"/>
              </w:rPr>
            </w:pPr>
            <w:r>
              <w:rPr>
                <w:rFonts w:ascii="Calibri" w:cs="Calibri" w:eastAsia="Calibri" w:hAnsi="Calibri"/>
                <w:sz w:val="12"/>
                <w:szCs w:val="12"/>
                <w:b w:val="1"/>
                <w:bCs w:val="1"/>
                <w:color w:val="auto"/>
              </w:rPr>
              <w:t>12/31/2021</w:t>
            </w:r>
          </w:p>
        </w:tc>
        <w:tc>
          <w:tcPr>
            <w:tcW w:w="1220" w:type="dxa"/>
            <w:vAlign w:val="bottom"/>
            <w:gridSpan w:val="2"/>
          </w:tcPr>
          <w:p>
            <w:pPr>
              <w:jc w:val="right"/>
              <w:ind w:right="200"/>
              <w:spacing w:after="0"/>
              <w:rPr>
                <w:sz w:val="20"/>
                <w:szCs w:val="20"/>
                <w:color w:val="auto"/>
              </w:rPr>
            </w:pPr>
            <w:r>
              <w:rPr>
                <w:rFonts w:ascii="Calibri" w:cs="Calibri" w:eastAsia="Calibri" w:hAnsi="Calibri"/>
                <w:sz w:val="12"/>
                <w:szCs w:val="12"/>
                <w:b w:val="1"/>
                <w:bCs w:val="1"/>
                <w:color w:val="auto"/>
              </w:rPr>
              <w:t>12/31/2022</w:t>
            </w:r>
          </w:p>
        </w:tc>
        <w:tc>
          <w:tcPr>
            <w:tcW w:w="1180" w:type="dxa"/>
            <w:vAlign w:val="bottom"/>
            <w:gridSpan w:val="2"/>
          </w:tcPr>
          <w:p>
            <w:pPr>
              <w:jc w:val="right"/>
              <w:ind w:right="180"/>
              <w:spacing w:after="0"/>
              <w:rPr>
                <w:sz w:val="20"/>
                <w:szCs w:val="20"/>
                <w:color w:val="auto"/>
              </w:rPr>
            </w:pPr>
            <w:r>
              <w:rPr>
                <w:rFonts w:ascii="Calibri" w:cs="Calibri" w:eastAsia="Calibri" w:hAnsi="Calibri"/>
                <w:sz w:val="12"/>
                <w:szCs w:val="12"/>
                <w:b w:val="1"/>
                <w:bCs w:val="1"/>
                <w:color w:val="auto"/>
              </w:rPr>
              <w:t>12/31/2023</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28"/>
        </w:trPr>
        <w:tc>
          <w:tcPr>
            <w:tcW w:w="5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179"/>
        </w:trPr>
        <w:tc>
          <w:tcPr>
            <w:tcW w:w="560" w:type="dxa"/>
            <w:vAlign w:val="bottom"/>
          </w:tcPr>
          <w:p>
            <w:pPr>
              <w:spacing w:after="0"/>
              <w:rPr>
                <w:sz w:val="15"/>
                <w:szCs w:val="15"/>
                <w:color w:val="auto"/>
              </w:rPr>
            </w:pPr>
          </w:p>
        </w:tc>
        <w:tc>
          <w:tcPr>
            <w:tcW w:w="2840" w:type="dxa"/>
            <w:vAlign w:val="bottom"/>
            <w:tcBorders>
              <w:bottom w:val="single" w:sz="8" w:color="CFF0FC"/>
            </w:tcBorders>
            <w:shd w:val="clear" w:color="auto" w:fill="CFF0FC"/>
          </w:tcPr>
          <w:p>
            <w:pPr>
              <w:spacing w:after="0" w:line="174" w:lineRule="exact"/>
              <w:rPr>
                <w:sz w:val="20"/>
                <w:szCs w:val="20"/>
                <w:color w:val="auto"/>
              </w:rPr>
            </w:pPr>
            <w:r>
              <w:rPr>
                <w:rFonts w:ascii="Calibri" w:cs="Calibri" w:eastAsia="Calibri" w:hAnsi="Calibri"/>
                <w:sz w:val="15"/>
                <w:szCs w:val="15"/>
                <w:color w:val="auto"/>
              </w:rPr>
              <w:t>CARG</w:t>
            </w:r>
          </w:p>
        </w:tc>
        <w:tc>
          <w:tcPr>
            <w:tcW w:w="1040" w:type="dxa"/>
            <w:vAlign w:val="bottom"/>
            <w:tcBorders>
              <w:bottom w:val="single" w:sz="8" w:color="CFF0FC"/>
            </w:tcBorders>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100</w:t>
            </w:r>
          </w:p>
        </w:tc>
        <w:tc>
          <w:tcPr>
            <w:tcW w:w="1260" w:type="dxa"/>
            <w:vAlign w:val="bottom"/>
            <w:tcBorders>
              <w:bottom w:val="single" w:sz="8" w:color="CFF0FC"/>
            </w:tcBorders>
            <w:gridSpan w:val="2"/>
            <w:shd w:val="clear" w:color="auto" w:fill="CFF0FC"/>
          </w:tcPr>
          <w:p>
            <w:pPr>
              <w:jc w:val="right"/>
              <w:ind w:right="20"/>
              <w:spacing w:after="0" w:line="174" w:lineRule="exact"/>
              <w:rPr>
                <w:sz w:val="20"/>
                <w:szCs w:val="20"/>
                <w:color w:val="auto"/>
              </w:rPr>
            </w:pPr>
            <w:r>
              <w:rPr>
                <w:rFonts w:ascii="Calibri" w:cs="Calibri" w:eastAsia="Calibri" w:hAnsi="Calibri"/>
                <w:sz w:val="15"/>
                <w:szCs w:val="15"/>
                <w:color w:val="auto"/>
              </w:rPr>
              <w:t>104</w:t>
            </w:r>
          </w:p>
        </w:tc>
        <w:tc>
          <w:tcPr>
            <w:tcW w:w="220" w:type="dxa"/>
            <w:vAlign w:val="bottom"/>
            <w:tcBorders>
              <w:bottom w:val="single" w:sz="8" w:color="CFF0FC"/>
            </w:tcBorders>
            <w:shd w:val="clear" w:color="auto" w:fill="CFF0FC"/>
          </w:tcPr>
          <w:p>
            <w:pPr>
              <w:spacing w:after="0"/>
              <w:rPr>
                <w:sz w:val="15"/>
                <w:szCs w:val="15"/>
                <w:color w:val="auto"/>
              </w:rPr>
            </w:pPr>
          </w:p>
        </w:tc>
        <w:tc>
          <w:tcPr>
            <w:tcW w:w="1040" w:type="dxa"/>
            <w:vAlign w:val="bottom"/>
            <w:tcBorders>
              <w:bottom w:val="single" w:sz="8" w:color="CFF0FC"/>
            </w:tcBorders>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94</w:t>
            </w:r>
          </w:p>
        </w:tc>
        <w:tc>
          <w:tcPr>
            <w:tcW w:w="1240" w:type="dxa"/>
            <w:vAlign w:val="bottom"/>
            <w:tcBorders>
              <w:bottom w:val="single" w:sz="8" w:color="CFF0FC"/>
            </w:tcBorders>
            <w:gridSpan w:val="2"/>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100</w:t>
            </w:r>
          </w:p>
        </w:tc>
        <w:tc>
          <w:tcPr>
            <w:tcW w:w="1220" w:type="dxa"/>
            <w:vAlign w:val="bottom"/>
            <w:tcBorders>
              <w:bottom w:val="single" w:sz="8" w:color="CFF0FC"/>
            </w:tcBorders>
            <w:gridSpan w:val="2"/>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42</w:t>
            </w:r>
          </w:p>
        </w:tc>
        <w:tc>
          <w:tcPr>
            <w:tcW w:w="1180" w:type="dxa"/>
            <w:vAlign w:val="bottom"/>
            <w:tcBorders>
              <w:bottom w:val="single" w:sz="8" w:color="CFF0FC"/>
            </w:tcBorders>
            <w:gridSpan w:val="2"/>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72</w:t>
            </w:r>
          </w:p>
        </w:tc>
        <w:tc>
          <w:tcPr>
            <w:tcW w:w="100" w:type="dxa"/>
            <w:vAlign w:val="bottom"/>
            <w:tcBorders>
              <w:bottom w:val="single" w:sz="8" w:color="CFF0FC"/>
            </w:tcBorders>
            <w:shd w:val="clear" w:color="auto" w:fill="CFF0FC"/>
          </w:tcPr>
          <w:p>
            <w:pPr>
              <w:spacing w:after="0"/>
              <w:rPr>
                <w:sz w:val="15"/>
                <w:szCs w:val="15"/>
                <w:color w:val="auto"/>
              </w:rPr>
            </w:pPr>
          </w:p>
        </w:tc>
        <w:tc>
          <w:tcPr>
            <w:tcW w:w="560" w:type="dxa"/>
            <w:vAlign w:val="bottom"/>
          </w:tcPr>
          <w:p>
            <w:pPr>
              <w:spacing w:after="0"/>
              <w:rPr>
                <w:sz w:val="15"/>
                <w:szCs w:val="15"/>
                <w:color w:val="auto"/>
              </w:rPr>
            </w:pPr>
          </w:p>
        </w:tc>
      </w:tr>
      <w:tr>
        <w:trPr>
          <w:trHeight w:val="183"/>
        </w:trPr>
        <w:tc>
          <w:tcPr>
            <w:tcW w:w="560" w:type="dxa"/>
            <w:vAlign w:val="bottom"/>
          </w:tcPr>
          <w:p>
            <w:pPr>
              <w:spacing w:after="0"/>
              <w:rPr>
                <w:sz w:val="15"/>
                <w:szCs w:val="15"/>
                <w:color w:val="auto"/>
              </w:rPr>
            </w:pPr>
          </w:p>
        </w:tc>
        <w:tc>
          <w:tcPr>
            <w:tcW w:w="2840" w:type="dxa"/>
            <w:vAlign w:val="bottom"/>
          </w:tcPr>
          <w:p>
            <w:pPr>
              <w:spacing w:after="0"/>
              <w:rPr>
                <w:sz w:val="20"/>
                <w:szCs w:val="20"/>
                <w:color w:val="auto"/>
              </w:rPr>
            </w:pPr>
            <w:r>
              <w:rPr>
                <w:rFonts w:ascii="Calibri" w:cs="Calibri" w:eastAsia="Calibri" w:hAnsi="Calibri"/>
                <w:sz w:val="15"/>
                <w:szCs w:val="15"/>
                <w:color w:val="auto"/>
              </w:rPr>
              <w:t>S&amp;P 500 Index</w:t>
            </w:r>
          </w:p>
        </w:tc>
        <w:tc>
          <w:tcPr>
            <w:tcW w:w="1040" w:type="dxa"/>
            <w:vAlign w:val="bottom"/>
          </w:tcPr>
          <w:p>
            <w:pPr>
              <w:jc w:val="right"/>
              <w:spacing w:after="0"/>
              <w:rPr>
                <w:sz w:val="20"/>
                <w:szCs w:val="20"/>
                <w:color w:val="auto"/>
              </w:rPr>
            </w:pPr>
            <w:r>
              <w:rPr>
                <w:rFonts w:ascii="Calibri" w:cs="Calibri" w:eastAsia="Calibri" w:hAnsi="Calibri"/>
                <w:sz w:val="15"/>
                <w:szCs w:val="15"/>
                <w:color w:val="auto"/>
              </w:rPr>
              <w:t>100</w:t>
            </w:r>
          </w:p>
        </w:tc>
        <w:tc>
          <w:tcPr>
            <w:tcW w:w="1260" w:type="dxa"/>
            <w:vAlign w:val="bottom"/>
            <w:gridSpan w:val="2"/>
          </w:tcPr>
          <w:p>
            <w:pPr>
              <w:jc w:val="right"/>
              <w:ind w:right="20"/>
              <w:spacing w:after="0"/>
              <w:rPr>
                <w:sz w:val="20"/>
                <w:szCs w:val="20"/>
                <w:color w:val="auto"/>
              </w:rPr>
            </w:pPr>
            <w:r>
              <w:rPr>
                <w:rFonts w:ascii="Calibri" w:cs="Calibri" w:eastAsia="Calibri" w:hAnsi="Calibri"/>
                <w:sz w:val="15"/>
                <w:szCs w:val="15"/>
                <w:color w:val="auto"/>
              </w:rPr>
              <w:t>137</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alibri" w:cs="Calibri" w:eastAsia="Calibri" w:hAnsi="Calibri"/>
                <w:sz w:val="15"/>
                <w:szCs w:val="15"/>
                <w:color w:val="auto"/>
              </w:rPr>
              <w:t>198</w:t>
            </w:r>
          </w:p>
        </w:tc>
        <w:tc>
          <w:tcPr>
            <w:tcW w:w="1240" w:type="dxa"/>
            <w:vAlign w:val="bottom"/>
            <w:gridSpan w:val="2"/>
          </w:tcPr>
          <w:p>
            <w:pPr>
              <w:jc w:val="right"/>
              <w:spacing w:after="0"/>
              <w:rPr>
                <w:sz w:val="20"/>
                <w:szCs w:val="20"/>
                <w:color w:val="auto"/>
              </w:rPr>
            </w:pPr>
            <w:r>
              <w:rPr>
                <w:rFonts w:ascii="Calibri" w:cs="Calibri" w:eastAsia="Calibri" w:hAnsi="Calibri"/>
                <w:sz w:val="15"/>
                <w:szCs w:val="15"/>
                <w:color w:val="auto"/>
              </w:rPr>
              <w:t>242</w:t>
            </w:r>
          </w:p>
        </w:tc>
        <w:tc>
          <w:tcPr>
            <w:tcW w:w="1220" w:type="dxa"/>
            <w:vAlign w:val="bottom"/>
            <w:gridSpan w:val="2"/>
          </w:tcPr>
          <w:p>
            <w:pPr>
              <w:jc w:val="right"/>
              <w:spacing w:after="0"/>
              <w:rPr>
                <w:sz w:val="20"/>
                <w:szCs w:val="20"/>
                <w:color w:val="auto"/>
              </w:rPr>
            </w:pPr>
            <w:r>
              <w:rPr>
                <w:rFonts w:ascii="Calibri" w:cs="Calibri" w:eastAsia="Calibri" w:hAnsi="Calibri"/>
                <w:sz w:val="15"/>
                <w:szCs w:val="15"/>
                <w:color w:val="auto"/>
              </w:rPr>
              <w:t>163</w:t>
            </w:r>
          </w:p>
        </w:tc>
        <w:tc>
          <w:tcPr>
            <w:tcW w:w="1180" w:type="dxa"/>
            <w:vAlign w:val="bottom"/>
            <w:gridSpan w:val="2"/>
          </w:tcPr>
          <w:p>
            <w:pPr>
              <w:jc w:val="right"/>
              <w:spacing w:after="0"/>
              <w:rPr>
                <w:sz w:val="20"/>
                <w:szCs w:val="20"/>
                <w:color w:val="auto"/>
              </w:rPr>
            </w:pPr>
            <w:r>
              <w:rPr>
                <w:rFonts w:ascii="Calibri" w:cs="Calibri" w:eastAsia="Calibri" w:hAnsi="Calibri"/>
                <w:sz w:val="15"/>
                <w:szCs w:val="15"/>
                <w:color w:val="auto"/>
              </w:rPr>
              <w:t>236</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4"/>
        </w:trPr>
        <w:tc>
          <w:tcPr>
            <w:tcW w:w="5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187"/>
        </w:trPr>
        <w:tc>
          <w:tcPr>
            <w:tcW w:w="560" w:type="dxa"/>
            <w:vAlign w:val="bottom"/>
          </w:tcPr>
          <w:p>
            <w:pPr>
              <w:spacing w:after="0"/>
              <w:rPr>
                <w:sz w:val="16"/>
                <w:szCs w:val="16"/>
                <w:color w:val="auto"/>
              </w:rPr>
            </w:pPr>
          </w:p>
        </w:tc>
        <w:tc>
          <w:tcPr>
            <w:tcW w:w="284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5"/>
                <w:szCs w:val="15"/>
                <w:color w:val="auto"/>
              </w:rPr>
              <w:t>Nasdaq Composite Index</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100</w:t>
            </w:r>
          </w:p>
        </w:tc>
        <w:tc>
          <w:tcPr>
            <w:tcW w:w="1260" w:type="dxa"/>
            <w:vAlign w:val="bottom"/>
            <w:tcBorders>
              <w:bottom w:val="single" w:sz="8" w:color="CFF0FC"/>
            </w:tcBorders>
            <w:gridSpan w:val="2"/>
            <w:shd w:val="clear" w:color="auto" w:fill="CFF0FC"/>
          </w:tcPr>
          <w:p>
            <w:pPr>
              <w:jc w:val="right"/>
              <w:ind w:right="20"/>
              <w:spacing w:after="0"/>
              <w:rPr>
                <w:sz w:val="20"/>
                <w:szCs w:val="20"/>
                <w:color w:val="auto"/>
              </w:rPr>
            </w:pPr>
            <w:r>
              <w:rPr>
                <w:rFonts w:ascii="Calibri" w:cs="Calibri" w:eastAsia="Calibri" w:hAnsi="Calibri"/>
                <w:sz w:val="15"/>
                <w:szCs w:val="15"/>
                <w:color w:val="auto"/>
              </w:rPr>
              <w:t>131</w:t>
            </w:r>
          </w:p>
        </w:tc>
        <w:tc>
          <w:tcPr>
            <w:tcW w:w="220" w:type="dxa"/>
            <w:vAlign w:val="bottom"/>
            <w:tcBorders>
              <w:bottom w:val="single" w:sz="8" w:color="CFF0FC"/>
            </w:tcBorders>
            <w:shd w:val="clear" w:color="auto" w:fill="CFF0FC"/>
          </w:tcPr>
          <w:p>
            <w:pPr>
              <w:spacing w:after="0"/>
              <w:rPr>
                <w:sz w:val="16"/>
                <w:szCs w:val="16"/>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156</w:t>
            </w:r>
          </w:p>
        </w:tc>
        <w:tc>
          <w:tcPr>
            <w:tcW w:w="1240" w:type="dxa"/>
            <w:vAlign w:val="bottom"/>
            <w:tcBorders>
              <w:bottom w:val="single" w:sz="8" w:color="CFF0FC"/>
            </w:tcBorders>
            <w:gridSpan w:val="2"/>
            <w:shd w:val="clear" w:color="auto" w:fill="CFF0FC"/>
          </w:tcPr>
          <w:p>
            <w:pPr>
              <w:jc w:val="right"/>
              <w:spacing w:after="0"/>
              <w:rPr>
                <w:sz w:val="20"/>
                <w:szCs w:val="20"/>
                <w:color w:val="auto"/>
              </w:rPr>
            </w:pPr>
            <w:r>
              <w:rPr>
                <w:rFonts w:ascii="Calibri" w:cs="Calibri" w:eastAsia="Calibri" w:hAnsi="Calibri"/>
                <w:sz w:val="15"/>
                <w:szCs w:val="15"/>
                <w:color w:val="auto"/>
              </w:rPr>
              <w:t>200</w:t>
            </w:r>
          </w:p>
        </w:tc>
        <w:tc>
          <w:tcPr>
            <w:tcW w:w="1220" w:type="dxa"/>
            <w:vAlign w:val="bottom"/>
            <w:tcBorders>
              <w:bottom w:val="single" w:sz="8" w:color="CFF0FC"/>
            </w:tcBorders>
            <w:gridSpan w:val="2"/>
            <w:shd w:val="clear" w:color="auto" w:fill="CFF0FC"/>
          </w:tcPr>
          <w:p>
            <w:pPr>
              <w:jc w:val="right"/>
              <w:spacing w:after="0"/>
              <w:rPr>
                <w:sz w:val="20"/>
                <w:szCs w:val="20"/>
                <w:color w:val="auto"/>
              </w:rPr>
            </w:pPr>
            <w:r>
              <w:rPr>
                <w:rFonts w:ascii="Calibri" w:cs="Calibri" w:eastAsia="Calibri" w:hAnsi="Calibri"/>
                <w:sz w:val="15"/>
                <w:szCs w:val="15"/>
                <w:color w:val="auto"/>
              </w:rPr>
              <w:t>164</w:t>
            </w:r>
          </w:p>
        </w:tc>
        <w:tc>
          <w:tcPr>
            <w:tcW w:w="1180" w:type="dxa"/>
            <w:vAlign w:val="bottom"/>
            <w:tcBorders>
              <w:bottom w:val="single" w:sz="8" w:color="CFF0FC"/>
            </w:tcBorders>
            <w:gridSpan w:val="2"/>
            <w:shd w:val="clear" w:color="auto" w:fill="CFF0FC"/>
          </w:tcPr>
          <w:p>
            <w:pPr>
              <w:jc w:val="right"/>
              <w:spacing w:after="0"/>
              <w:rPr>
                <w:sz w:val="20"/>
                <w:szCs w:val="20"/>
                <w:color w:val="auto"/>
              </w:rPr>
            </w:pPr>
            <w:r>
              <w:rPr>
                <w:rFonts w:ascii="Calibri" w:cs="Calibri" w:eastAsia="Calibri" w:hAnsi="Calibri"/>
                <w:sz w:val="15"/>
                <w:szCs w:val="15"/>
                <w:color w:val="auto"/>
              </w:rPr>
              <w:t>207</w:t>
            </w:r>
          </w:p>
        </w:tc>
        <w:tc>
          <w:tcPr>
            <w:tcW w:w="100" w:type="dxa"/>
            <w:vAlign w:val="bottom"/>
            <w:tcBorders>
              <w:bottom w:val="single" w:sz="8" w:color="CFF0FC"/>
            </w:tcBorders>
            <w:shd w:val="clear" w:color="auto" w:fill="CFF0FC"/>
          </w:tcPr>
          <w:p>
            <w:pPr>
              <w:spacing w:after="0"/>
              <w:rPr>
                <w:sz w:val="16"/>
                <w:szCs w:val="16"/>
                <w:color w:val="auto"/>
              </w:rPr>
            </w:pPr>
          </w:p>
        </w:tc>
        <w:tc>
          <w:tcPr>
            <w:tcW w:w="560" w:type="dxa"/>
            <w:vAlign w:val="bottom"/>
          </w:tcPr>
          <w:p>
            <w:pPr>
              <w:spacing w:after="0"/>
              <w:rPr>
                <w:sz w:val="16"/>
                <w:szCs w:val="16"/>
                <w:color w:val="auto"/>
              </w:rPr>
            </w:pPr>
          </w:p>
        </w:tc>
      </w:tr>
      <w:tr>
        <w:trPr>
          <w:trHeight w:val="533"/>
        </w:trPr>
        <w:tc>
          <w:tcPr>
            <w:tcW w:w="5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80" w:type="dxa"/>
            <w:vAlign w:val="bottom"/>
            <w:gridSpan w:val="3"/>
          </w:tcPr>
          <w:p>
            <w:pPr>
              <w:jc w:val="right"/>
              <w:ind w:right="220"/>
              <w:spacing w:after="0"/>
              <w:rPr>
                <w:sz w:val="20"/>
                <w:szCs w:val="20"/>
                <w:color w:val="auto"/>
              </w:rPr>
            </w:pPr>
            <w:r>
              <w:rPr>
                <w:rFonts w:ascii="Calibri" w:cs="Calibri" w:eastAsia="Calibri" w:hAnsi="Calibri"/>
                <w:sz w:val="15"/>
                <w:szCs w:val="15"/>
                <w:color w:val="auto"/>
              </w:rPr>
              <w:t>46</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667"/>
        </w:trPr>
        <w:tc>
          <w:tcPr>
            <w:tcW w:w="56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-26670</wp:posOffset>
            </wp:positionV>
            <wp:extent cx="33020" cy="400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1133" w:right="319" w:bottom="1440" w:gutter="0" w:footer="0" w:header="0"/>
        </w:sectPr>
      </w:pPr>
    </w:p>
    <w:bookmarkStart w:id="48" w:name="page49"/>
    <w:bookmarkEnd w:id="48"/>
    <w:p>
      <w:pPr>
        <w:spacing w:after="0"/>
        <w:rPr>
          <w:sz w:val="20"/>
          <w:szCs w:val="20"/>
          <w:color w:val="auto"/>
        </w:rPr>
      </w:pPr>
      <w:r>
        <w:rPr>
          <w:rFonts w:ascii="Calibri" w:cs="Calibri" w:eastAsia="Calibri" w:hAnsi="Calibri"/>
          <w:sz w:val="15"/>
          <w:szCs w:val="15"/>
          <w:b w:val="1"/>
          <w:bCs w:val="1"/>
          <w:i w:val="1"/>
          <w:iCs w:val="1"/>
          <w:color w:val="auto"/>
        </w:rPr>
        <w:t>Recent Sales of Unregistered Securites</w:t>
      </w:r>
    </w:p>
    <w:p>
      <w:pPr>
        <w:spacing w:after="0" w:line="185" w:lineRule="exact"/>
        <w:rPr>
          <w:sz w:val="20"/>
          <w:szCs w:val="20"/>
          <w:color w:val="auto"/>
        </w:rPr>
      </w:pPr>
    </w:p>
    <w:p>
      <w:pPr>
        <w:ind w:left="500"/>
        <w:spacing w:after="0"/>
        <w:rPr>
          <w:sz w:val="20"/>
          <w:szCs w:val="20"/>
          <w:color w:val="auto"/>
        </w:rPr>
      </w:pPr>
      <w:r>
        <w:rPr>
          <w:rFonts w:ascii="Calibri" w:cs="Calibri" w:eastAsia="Calibri" w:hAnsi="Calibri"/>
          <w:sz w:val="15"/>
          <w:szCs w:val="15"/>
          <w:color w:val="auto"/>
        </w:rPr>
        <w:t>None.</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b w:val="1"/>
          <w:bCs w:val="1"/>
          <w:i w:val="1"/>
          <w:iCs w:val="1"/>
          <w:color w:val="auto"/>
        </w:rPr>
        <w:t>Purchases of Equity Securites</w:t>
      </w:r>
    </w:p>
    <w:p>
      <w:pPr>
        <w:spacing w:after="0" w:line="185" w:lineRule="exact"/>
        <w:rPr>
          <w:sz w:val="20"/>
          <w:szCs w:val="20"/>
          <w:color w:val="auto"/>
        </w:rPr>
      </w:pPr>
    </w:p>
    <w:p>
      <w:pPr>
        <w:ind w:left="500"/>
        <w:spacing w:after="0"/>
        <w:rPr>
          <w:sz w:val="20"/>
          <w:szCs w:val="20"/>
          <w:color w:val="auto"/>
        </w:rPr>
      </w:pPr>
      <w:r>
        <w:rPr>
          <w:rFonts w:ascii="Calibri" w:cs="Calibri" w:eastAsia="Calibri" w:hAnsi="Calibri"/>
          <w:sz w:val="15"/>
          <w:szCs w:val="15"/>
          <w:color w:val="auto"/>
        </w:rPr>
        <w:t>The following table summarizes informaton about our purchases of our equity securites for each of the months during the quarter ended December 31, 2023:</w:t>
      </w:r>
    </w:p>
    <w:p>
      <w:pPr>
        <w:spacing w:after="0" w:line="377"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5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Calibri" w:cs="Calibri" w:eastAsia="Calibri" w:hAnsi="Calibri"/>
                <w:sz w:val="14"/>
                <w:szCs w:val="14"/>
                <w:b w:val="1"/>
                <w:bCs w:val="1"/>
                <w:color w:val="auto"/>
                <w:w w:val="97"/>
              </w:rPr>
              <w:t>Maximum</w:t>
            </w:r>
          </w:p>
        </w:tc>
      </w:tr>
      <w:tr>
        <w:trPr>
          <w:trHeight w:val="173"/>
        </w:trPr>
        <w:tc>
          <w:tcPr>
            <w:tcW w:w="5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Calibri" w:cs="Calibri" w:eastAsia="Calibri" w:hAnsi="Calibri"/>
                <w:sz w:val="14"/>
                <w:szCs w:val="14"/>
                <w:b w:val="1"/>
                <w:bCs w:val="1"/>
                <w:color w:val="auto"/>
                <w:w w:val="97"/>
              </w:rPr>
              <w:t>Approximate</w:t>
            </w:r>
          </w:p>
        </w:tc>
      </w:tr>
      <w:tr>
        <w:trPr>
          <w:trHeight w:val="173"/>
        </w:trPr>
        <w:tc>
          <w:tcPr>
            <w:tcW w:w="5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3"/>
          </w:tcPr>
          <w:p>
            <w:pPr>
              <w:jc w:val="center"/>
              <w:ind w:right="140"/>
              <w:spacing w:after="0"/>
              <w:rPr>
                <w:sz w:val="20"/>
                <w:szCs w:val="20"/>
                <w:color w:val="auto"/>
              </w:rPr>
            </w:pPr>
            <w:r>
              <w:rPr>
                <w:rFonts w:ascii="Calibri" w:cs="Calibri" w:eastAsia="Calibri" w:hAnsi="Calibri"/>
                <w:sz w:val="14"/>
                <w:szCs w:val="14"/>
                <w:b w:val="1"/>
                <w:bCs w:val="1"/>
                <w:color w:val="auto"/>
                <w:w w:val="99"/>
              </w:rPr>
              <w:t>Dollar Value of</w:t>
            </w:r>
          </w:p>
        </w:tc>
      </w:tr>
      <w:tr>
        <w:trPr>
          <w:trHeight w:val="173"/>
        </w:trPr>
        <w:tc>
          <w:tcPr>
            <w:tcW w:w="5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Calibri" w:cs="Calibri" w:eastAsia="Calibri" w:hAnsi="Calibri"/>
                <w:sz w:val="14"/>
                <w:szCs w:val="14"/>
                <w:b w:val="1"/>
                <w:bCs w:val="1"/>
                <w:color w:val="auto"/>
                <w:w w:val="98"/>
              </w:rPr>
              <w:t>Total Number of</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Calibri" w:cs="Calibri" w:eastAsia="Calibri" w:hAnsi="Calibri"/>
                <w:sz w:val="14"/>
                <w:szCs w:val="14"/>
                <w:b w:val="1"/>
                <w:bCs w:val="1"/>
                <w:color w:val="auto"/>
              </w:rPr>
              <w:t>Shares of</w:t>
            </w:r>
          </w:p>
        </w:tc>
      </w:tr>
      <w:tr>
        <w:trPr>
          <w:trHeight w:val="173"/>
        </w:trPr>
        <w:tc>
          <w:tcPr>
            <w:tcW w:w="5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Calibri" w:cs="Calibri" w:eastAsia="Calibri" w:hAnsi="Calibri"/>
                <w:sz w:val="14"/>
                <w:szCs w:val="14"/>
                <w:b w:val="1"/>
                <w:bCs w:val="1"/>
                <w:color w:val="auto"/>
              </w:rPr>
              <w:t>Shares of</w:t>
            </w:r>
          </w:p>
        </w:tc>
        <w:tc>
          <w:tcPr>
            <w:tcW w:w="220" w:type="dxa"/>
            <w:vAlign w:val="bottom"/>
          </w:tcPr>
          <w:p>
            <w:pPr>
              <w:spacing w:after="0"/>
              <w:rPr>
                <w:sz w:val="15"/>
                <w:szCs w:val="15"/>
                <w:color w:val="auto"/>
              </w:rPr>
            </w:pPr>
          </w:p>
        </w:tc>
        <w:tc>
          <w:tcPr>
            <w:tcW w:w="1120" w:type="dxa"/>
            <w:vAlign w:val="bottom"/>
            <w:gridSpan w:val="3"/>
          </w:tcPr>
          <w:p>
            <w:pPr>
              <w:jc w:val="center"/>
              <w:ind w:right="140"/>
              <w:spacing w:after="0"/>
              <w:rPr>
                <w:sz w:val="20"/>
                <w:szCs w:val="20"/>
                <w:color w:val="auto"/>
              </w:rPr>
            </w:pPr>
            <w:r>
              <w:rPr>
                <w:rFonts w:ascii="Calibri" w:cs="Calibri" w:eastAsia="Calibri" w:hAnsi="Calibri"/>
                <w:sz w:val="14"/>
                <w:szCs w:val="14"/>
                <w:b w:val="1"/>
                <w:bCs w:val="1"/>
                <w:color w:val="auto"/>
                <w:w w:val="98"/>
              </w:rPr>
              <w:t>Common Stock</w:t>
            </w:r>
          </w:p>
        </w:tc>
      </w:tr>
      <w:tr>
        <w:trPr>
          <w:trHeight w:val="173"/>
        </w:trPr>
        <w:tc>
          <w:tcPr>
            <w:tcW w:w="5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Calibri" w:cs="Calibri" w:eastAsia="Calibri" w:hAnsi="Calibri"/>
                <w:sz w:val="14"/>
                <w:szCs w:val="14"/>
                <w:b w:val="1"/>
                <w:bCs w:val="1"/>
                <w:color w:val="auto"/>
                <w:w w:val="98"/>
              </w:rPr>
              <w:t>Common Stock</w:t>
            </w:r>
          </w:p>
        </w:tc>
        <w:tc>
          <w:tcPr>
            <w:tcW w:w="220" w:type="dxa"/>
            <w:vAlign w:val="bottom"/>
          </w:tcPr>
          <w:p>
            <w:pPr>
              <w:spacing w:after="0"/>
              <w:rPr>
                <w:sz w:val="15"/>
                <w:szCs w:val="15"/>
                <w:color w:val="auto"/>
              </w:rPr>
            </w:pPr>
          </w:p>
        </w:tc>
        <w:tc>
          <w:tcPr>
            <w:tcW w:w="1120" w:type="dxa"/>
            <w:vAlign w:val="bottom"/>
            <w:gridSpan w:val="3"/>
          </w:tcPr>
          <w:p>
            <w:pPr>
              <w:jc w:val="center"/>
              <w:ind w:right="140"/>
              <w:spacing w:after="0"/>
              <w:rPr>
                <w:sz w:val="20"/>
                <w:szCs w:val="20"/>
                <w:color w:val="auto"/>
              </w:rPr>
            </w:pPr>
            <w:r>
              <w:rPr>
                <w:rFonts w:ascii="Calibri" w:cs="Calibri" w:eastAsia="Calibri" w:hAnsi="Calibri"/>
                <w:sz w:val="14"/>
                <w:szCs w:val="14"/>
                <w:b w:val="1"/>
                <w:bCs w:val="1"/>
                <w:color w:val="auto"/>
                <w:w w:val="96"/>
              </w:rPr>
              <w:t>that May Yet be</w:t>
            </w:r>
          </w:p>
        </w:tc>
      </w:tr>
      <w:tr>
        <w:trPr>
          <w:trHeight w:val="173"/>
        </w:trPr>
        <w:tc>
          <w:tcPr>
            <w:tcW w:w="518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Calibri" w:cs="Calibri" w:eastAsia="Calibri" w:hAnsi="Calibri"/>
                <w:sz w:val="14"/>
                <w:szCs w:val="14"/>
                <w:b w:val="1"/>
                <w:bCs w:val="1"/>
                <w:color w:val="auto"/>
                <w:w w:val="96"/>
              </w:rPr>
              <w:t>Total Number of</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right="71"/>
              <w:spacing w:after="0"/>
              <w:rPr>
                <w:sz w:val="20"/>
                <w:szCs w:val="20"/>
                <w:color w:val="auto"/>
              </w:rPr>
            </w:pPr>
            <w:r>
              <w:rPr>
                <w:rFonts w:ascii="Calibri" w:cs="Calibri" w:eastAsia="Calibri" w:hAnsi="Calibri"/>
                <w:sz w:val="14"/>
                <w:szCs w:val="14"/>
                <w:b w:val="1"/>
                <w:bCs w:val="1"/>
                <w:color w:val="auto"/>
                <w:w w:val="98"/>
              </w:rPr>
              <w:t>Weighted</w:t>
            </w:r>
          </w:p>
        </w:tc>
        <w:tc>
          <w:tcPr>
            <w:tcW w:w="2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Calibri" w:cs="Calibri" w:eastAsia="Calibri" w:hAnsi="Calibri"/>
                <w:sz w:val="14"/>
                <w:szCs w:val="14"/>
                <w:b w:val="1"/>
                <w:bCs w:val="1"/>
                <w:color w:val="auto"/>
                <w:w w:val="96"/>
              </w:rPr>
              <w:t>Purchased as Part</w:t>
            </w:r>
          </w:p>
        </w:tc>
        <w:tc>
          <w:tcPr>
            <w:tcW w:w="220" w:type="dxa"/>
            <w:vAlign w:val="bottom"/>
          </w:tcPr>
          <w:p>
            <w:pPr>
              <w:spacing w:after="0"/>
              <w:rPr>
                <w:sz w:val="15"/>
                <w:szCs w:val="15"/>
                <w:color w:val="auto"/>
              </w:rPr>
            </w:pPr>
          </w:p>
        </w:tc>
        <w:tc>
          <w:tcPr>
            <w:tcW w:w="1120" w:type="dxa"/>
            <w:vAlign w:val="bottom"/>
            <w:gridSpan w:val="3"/>
          </w:tcPr>
          <w:p>
            <w:pPr>
              <w:jc w:val="center"/>
              <w:ind w:right="140"/>
              <w:spacing w:after="0"/>
              <w:rPr>
                <w:sz w:val="20"/>
                <w:szCs w:val="20"/>
                <w:color w:val="auto"/>
              </w:rPr>
            </w:pPr>
            <w:r>
              <w:rPr>
                <w:rFonts w:ascii="Calibri" w:cs="Calibri" w:eastAsia="Calibri" w:hAnsi="Calibri"/>
                <w:sz w:val="14"/>
                <w:szCs w:val="14"/>
                <w:b w:val="1"/>
                <w:bCs w:val="1"/>
                <w:color w:val="auto"/>
                <w:w w:val="98"/>
              </w:rPr>
              <w:t>Purchased Under</w:t>
            </w:r>
          </w:p>
        </w:tc>
      </w:tr>
      <w:tr>
        <w:trPr>
          <w:trHeight w:val="173"/>
        </w:trPr>
        <w:tc>
          <w:tcPr>
            <w:tcW w:w="518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Calibri" w:cs="Calibri" w:eastAsia="Calibri" w:hAnsi="Calibri"/>
                <w:sz w:val="14"/>
                <w:szCs w:val="14"/>
                <w:b w:val="1"/>
                <w:bCs w:val="1"/>
                <w:color w:val="auto"/>
                <w:w w:val="96"/>
              </w:rPr>
              <w:t>Shares of</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right="71"/>
              <w:spacing w:after="0"/>
              <w:rPr>
                <w:sz w:val="20"/>
                <w:szCs w:val="20"/>
                <w:color w:val="auto"/>
              </w:rPr>
            </w:pPr>
            <w:r>
              <w:rPr>
                <w:rFonts w:ascii="Calibri" w:cs="Calibri" w:eastAsia="Calibri" w:hAnsi="Calibri"/>
                <w:sz w:val="14"/>
                <w:szCs w:val="14"/>
                <w:b w:val="1"/>
                <w:bCs w:val="1"/>
                <w:color w:val="auto"/>
                <w:w w:val="95"/>
              </w:rPr>
              <w:t>Average Price</w:t>
            </w:r>
          </w:p>
        </w:tc>
        <w:tc>
          <w:tcPr>
            <w:tcW w:w="2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Calibri" w:cs="Calibri" w:eastAsia="Calibri" w:hAnsi="Calibri"/>
                <w:sz w:val="14"/>
                <w:szCs w:val="14"/>
                <w:b w:val="1"/>
                <w:bCs w:val="1"/>
                <w:color w:val="auto"/>
                <w:w w:val="99"/>
              </w:rPr>
              <w:t>of Publicly</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Calibri" w:cs="Calibri" w:eastAsia="Calibri" w:hAnsi="Calibri"/>
                <w:sz w:val="14"/>
                <w:szCs w:val="14"/>
                <w:b w:val="1"/>
                <w:bCs w:val="1"/>
                <w:color w:val="auto"/>
                <w:w w:val="98"/>
              </w:rPr>
              <w:t>the Plans or</w:t>
            </w:r>
          </w:p>
        </w:tc>
      </w:tr>
      <w:tr>
        <w:trPr>
          <w:trHeight w:val="155"/>
        </w:trPr>
        <w:tc>
          <w:tcPr>
            <w:tcW w:w="5180" w:type="dxa"/>
            <w:vAlign w:val="bottom"/>
          </w:tcPr>
          <w:p>
            <w:pPr>
              <w:spacing w:after="0"/>
              <w:rPr>
                <w:sz w:val="13"/>
                <w:szCs w:val="13"/>
                <w:color w:val="auto"/>
              </w:rPr>
            </w:pPr>
          </w:p>
        </w:tc>
        <w:tc>
          <w:tcPr>
            <w:tcW w:w="1080" w:type="dxa"/>
            <w:vAlign w:val="bottom"/>
          </w:tcPr>
          <w:p>
            <w:pPr>
              <w:jc w:val="center"/>
              <w:spacing w:after="0" w:line="155" w:lineRule="exact"/>
              <w:rPr>
                <w:sz w:val="20"/>
                <w:szCs w:val="20"/>
                <w:color w:val="auto"/>
              </w:rPr>
            </w:pPr>
            <w:r>
              <w:rPr>
                <w:rFonts w:ascii="Calibri" w:cs="Calibri" w:eastAsia="Calibri" w:hAnsi="Calibri"/>
                <w:sz w:val="14"/>
                <w:szCs w:val="14"/>
                <w:b w:val="1"/>
                <w:bCs w:val="1"/>
                <w:color w:val="auto"/>
                <w:w w:val="98"/>
              </w:rPr>
              <w:t>Common Stock</w:t>
            </w:r>
          </w:p>
        </w:tc>
        <w:tc>
          <w:tcPr>
            <w:tcW w:w="240" w:type="dxa"/>
            <w:vAlign w:val="bottom"/>
          </w:tcPr>
          <w:p>
            <w:pPr>
              <w:spacing w:after="0"/>
              <w:rPr>
                <w:sz w:val="13"/>
                <w:szCs w:val="13"/>
                <w:color w:val="auto"/>
              </w:rPr>
            </w:pPr>
          </w:p>
        </w:tc>
        <w:tc>
          <w:tcPr>
            <w:tcW w:w="1040" w:type="dxa"/>
            <w:vAlign w:val="bottom"/>
            <w:gridSpan w:val="2"/>
          </w:tcPr>
          <w:p>
            <w:pPr>
              <w:ind w:left="20"/>
              <w:spacing w:after="0" w:line="155" w:lineRule="exact"/>
              <w:rPr>
                <w:sz w:val="20"/>
                <w:szCs w:val="20"/>
                <w:color w:val="auto"/>
              </w:rPr>
            </w:pPr>
            <w:r>
              <w:rPr>
                <w:rFonts w:ascii="Calibri" w:cs="Calibri" w:eastAsia="Calibri" w:hAnsi="Calibri"/>
                <w:sz w:val="14"/>
                <w:szCs w:val="14"/>
                <w:b w:val="1"/>
                <w:bCs w:val="1"/>
                <w:color w:val="auto"/>
              </w:rPr>
              <w:t>Paid per Share of</w:t>
            </w:r>
          </w:p>
        </w:tc>
        <w:tc>
          <w:tcPr>
            <w:tcW w:w="200" w:type="dxa"/>
            <w:vAlign w:val="bottom"/>
          </w:tcPr>
          <w:p>
            <w:pPr>
              <w:spacing w:after="0"/>
              <w:rPr>
                <w:sz w:val="13"/>
                <w:szCs w:val="13"/>
                <w:color w:val="auto"/>
              </w:rPr>
            </w:pPr>
          </w:p>
        </w:tc>
        <w:tc>
          <w:tcPr>
            <w:tcW w:w="1060" w:type="dxa"/>
            <w:vAlign w:val="bottom"/>
          </w:tcPr>
          <w:p>
            <w:pPr>
              <w:jc w:val="center"/>
              <w:spacing w:after="0" w:line="155" w:lineRule="exact"/>
              <w:rPr>
                <w:sz w:val="20"/>
                <w:szCs w:val="20"/>
                <w:color w:val="auto"/>
              </w:rPr>
            </w:pPr>
            <w:r>
              <w:rPr>
                <w:rFonts w:ascii="Calibri" w:cs="Calibri" w:eastAsia="Calibri" w:hAnsi="Calibri"/>
                <w:sz w:val="14"/>
                <w:szCs w:val="14"/>
                <w:b w:val="1"/>
                <w:bCs w:val="1"/>
                <w:color w:val="auto"/>
                <w:w w:val="97"/>
              </w:rPr>
              <w:t>Announced Plans</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240"/>
              <w:spacing w:after="0" w:line="155" w:lineRule="exact"/>
              <w:rPr>
                <w:sz w:val="20"/>
                <w:szCs w:val="20"/>
                <w:color w:val="auto"/>
              </w:rPr>
            </w:pPr>
            <w:r>
              <w:rPr>
                <w:rFonts w:ascii="Calibri" w:cs="Calibri" w:eastAsia="Calibri" w:hAnsi="Calibri"/>
                <w:sz w:val="14"/>
                <w:szCs w:val="14"/>
                <w:b w:val="1"/>
                <w:bCs w:val="1"/>
                <w:color w:val="auto"/>
                <w:w w:val="97"/>
              </w:rPr>
              <w:t>Programs</w:t>
            </w:r>
          </w:p>
        </w:tc>
      </w:tr>
      <w:tr>
        <w:trPr>
          <w:trHeight w:val="219"/>
        </w:trPr>
        <w:tc>
          <w:tcPr>
            <w:tcW w:w="5180" w:type="dxa"/>
            <w:vAlign w:val="bottom"/>
          </w:tcPr>
          <w:p>
            <w:pPr>
              <w:ind w:left="2340"/>
              <w:spacing w:after="0"/>
              <w:rPr>
                <w:sz w:val="20"/>
                <w:szCs w:val="20"/>
                <w:color w:val="auto"/>
              </w:rPr>
            </w:pPr>
            <w:r>
              <w:rPr>
                <w:rFonts w:ascii="Calibri" w:cs="Calibri" w:eastAsia="Calibri" w:hAnsi="Calibri"/>
                <w:sz w:val="14"/>
                <w:szCs w:val="14"/>
                <w:b w:val="1"/>
                <w:bCs w:val="1"/>
                <w:color w:val="auto"/>
              </w:rPr>
              <w:t>Period</w:t>
            </w:r>
          </w:p>
        </w:tc>
        <w:tc>
          <w:tcPr>
            <w:tcW w:w="1080" w:type="dxa"/>
            <w:vAlign w:val="bottom"/>
            <w:tcBorders>
              <w:bottom w:val="single" w:sz="8" w:color="auto"/>
            </w:tcBorders>
          </w:tcPr>
          <w:p>
            <w:pPr>
              <w:jc w:val="center"/>
              <w:spacing w:after="0"/>
              <w:rPr>
                <w:sz w:val="20"/>
                <w:szCs w:val="20"/>
                <w:color w:val="auto"/>
              </w:rPr>
            </w:pPr>
            <w:r>
              <w:rPr>
                <w:rFonts w:ascii="Calibri" w:cs="Calibri" w:eastAsia="Calibri" w:hAnsi="Calibri"/>
                <w:sz w:val="14"/>
                <w:szCs w:val="14"/>
                <w:b w:val="1"/>
                <w:bCs w:val="1"/>
                <w:color w:val="auto"/>
                <w:w w:val="99"/>
              </w:rPr>
              <w:t>Purchased</w:t>
            </w:r>
          </w:p>
        </w:tc>
        <w:tc>
          <w:tcPr>
            <w:tcW w:w="240" w:type="dxa"/>
            <w:vAlign w:val="bottom"/>
          </w:tcPr>
          <w:p>
            <w:pPr>
              <w:spacing w:after="0"/>
              <w:rPr>
                <w:sz w:val="19"/>
                <w:szCs w:val="19"/>
                <w:color w:val="auto"/>
              </w:rPr>
            </w:pPr>
          </w:p>
        </w:tc>
        <w:tc>
          <w:tcPr>
            <w:tcW w:w="1040" w:type="dxa"/>
            <w:vAlign w:val="bottom"/>
            <w:tcBorders>
              <w:bottom w:val="single" w:sz="8" w:color="auto"/>
            </w:tcBorders>
            <w:gridSpan w:val="2"/>
          </w:tcPr>
          <w:p>
            <w:pPr>
              <w:jc w:val="center"/>
              <w:spacing w:after="0" w:line="214" w:lineRule="exact"/>
              <w:rPr>
                <w:sz w:val="20"/>
                <w:szCs w:val="20"/>
                <w:color w:val="auto"/>
              </w:rPr>
            </w:pPr>
            <w:r>
              <w:rPr>
                <w:rFonts w:ascii="Calibri" w:cs="Calibri" w:eastAsia="Calibri" w:hAnsi="Calibri"/>
                <w:sz w:val="14"/>
                <w:szCs w:val="14"/>
                <w:b w:val="1"/>
                <w:bCs w:val="1"/>
                <w:color w:val="auto"/>
                <w:w w:val="94"/>
              </w:rPr>
              <w:t>Common Stock</w:t>
            </w:r>
            <w:r>
              <w:rPr>
                <w:rFonts w:ascii="Calibri" w:cs="Calibri" w:eastAsia="Calibri" w:hAnsi="Calibri"/>
                <w:sz w:val="18"/>
                <w:szCs w:val="18"/>
                <w:b w:val="1"/>
                <w:bCs w:val="1"/>
                <w:color w:val="auto"/>
                <w:w w:val="94"/>
                <w:vertAlign w:val="superscript"/>
              </w:rPr>
              <w:t>(1)</w:t>
            </w:r>
          </w:p>
        </w:tc>
        <w:tc>
          <w:tcPr>
            <w:tcW w:w="200" w:type="dxa"/>
            <w:vAlign w:val="bottom"/>
          </w:tcPr>
          <w:p>
            <w:pPr>
              <w:spacing w:after="0"/>
              <w:rPr>
                <w:sz w:val="19"/>
                <w:szCs w:val="19"/>
                <w:color w:val="auto"/>
              </w:rPr>
            </w:pPr>
          </w:p>
        </w:tc>
        <w:tc>
          <w:tcPr>
            <w:tcW w:w="1060" w:type="dxa"/>
            <w:vAlign w:val="bottom"/>
            <w:tcBorders>
              <w:bottom w:val="single" w:sz="8" w:color="auto"/>
            </w:tcBorders>
          </w:tcPr>
          <w:p>
            <w:pPr>
              <w:jc w:val="center"/>
              <w:spacing w:after="0" w:line="214" w:lineRule="exact"/>
              <w:rPr>
                <w:sz w:val="20"/>
                <w:szCs w:val="20"/>
                <w:color w:val="auto"/>
              </w:rPr>
            </w:pPr>
            <w:r>
              <w:rPr>
                <w:rFonts w:ascii="Calibri" w:cs="Calibri" w:eastAsia="Calibri" w:hAnsi="Calibri"/>
                <w:sz w:val="14"/>
                <w:szCs w:val="14"/>
                <w:b w:val="1"/>
                <w:bCs w:val="1"/>
                <w:color w:val="auto"/>
                <w:w w:val="94"/>
              </w:rPr>
              <w:t>or Programs</w:t>
            </w:r>
            <w:r>
              <w:rPr>
                <w:rFonts w:ascii="Calibri" w:cs="Calibri" w:eastAsia="Calibri" w:hAnsi="Calibri"/>
                <w:sz w:val="18"/>
                <w:szCs w:val="18"/>
                <w:b w:val="1"/>
                <w:bCs w:val="1"/>
                <w:color w:val="auto"/>
                <w:w w:val="94"/>
                <w:vertAlign w:val="superscript"/>
              </w:rPr>
              <w:t>(2)</w:t>
            </w:r>
          </w:p>
        </w:tc>
        <w:tc>
          <w:tcPr>
            <w:tcW w:w="220" w:type="dxa"/>
            <w:vAlign w:val="bottom"/>
          </w:tcPr>
          <w:p>
            <w:pPr>
              <w:spacing w:after="0"/>
              <w:rPr>
                <w:sz w:val="19"/>
                <w:szCs w:val="19"/>
                <w:color w:val="auto"/>
              </w:rPr>
            </w:pPr>
          </w:p>
        </w:tc>
        <w:tc>
          <w:tcPr>
            <w:tcW w:w="1020" w:type="dxa"/>
            <w:vAlign w:val="bottom"/>
            <w:tcBorders>
              <w:bottom w:val="single" w:sz="8" w:color="auto"/>
            </w:tcBorders>
            <w:gridSpan w:val="2"/>
          </w:tcPr>
          <w:p>
            <w:pPr>
              <w:jc w:val="center"/>
              <w:spacing w:after="0" w:line="214" w:lineRule="exact"/>
              <w:rPr>
                <w:sz w:val="20"/>
                <w:szCs w:val="20"/>
                <w:color w:val="auto"/>
              </w:rPr>
            </w:pPr>
            <w:r>
              <w:rPr>
                <w:rFonts w:ascii="Calibri" w:cs="Calibri" w:eastAsia="Calibri" w:hAnsi="Calibri"/>
                <w:sz w:val="14"/>
                <w:szCs w:val="14"/>
                <w:b w:val="1"/>
                <w:bCs w:val="1"/>
                <w:color w:val="auto"/>
                <w:w w:val="96"/>
              </w:rPr>
              <w:t>(in thousands)</w:t>
            </w:r>
            <w:r>
              <w:rPr>
                <w:rFonts w:ascii="Calibri" w:cs="Calibri" w:eastAsia="Calibri" w:hAnsi="Calibri"/>
                <w:sz w:val="18"/>
                <w:szCs w:val="18"/>
                <w:b w:val="1"/>
                <w:bCs w:val="1"/>
                <w:color w:val="auto"/>
                <w:w w:val="96"/>
                <w:vertAlign w:val="superscript"/>
              </w:rPr>
              <w:t>(2)</w:t>
            </w:r>
          </w:p>
        </w:tc>
        <w:tc>
          <w:tcPr>
            <w:tcW w:w="100" w:type="dxa"/>
            <w:vAlign w:val="bottom"/>
          </w:tcPr>
          <w:p>
            <w:pPr>
              <w:spacing w:after="0"/>
              <w:rPr>
                <w:sz w:val="19"/>
                <w:szCs w:val="19"/>
                <w:color w:val="auto"/>
              </w:rPr>
            </w:pPr>
          </w:p>
        </w:tc>
      </w:tr>
      <w:tr>
        <w:trPr>
          <w:trHeight w:val="173"/>
        </w:trPr>
        <w:tc>
          <w:tcPr>
            <w:tcW w:w="5180" w:type="dxa"/>
            <w:vAlign w:val="bottom"/>
            <w:tcBorders>
              <w:bottom w:val="single" w:sz="8" w:color="CFF0FC"/>
            </w:tcBorders>
            <w:shd w:val="clear" w:color="auto" w:fill="CFF0FC"/>
          </w:tcPr>
          <w:p>
            <w:pPr>
              <w:ind w:left="120"/>
              <w:spacing w:after="0" w:line="161" w:lineRule="exact"/>
              <w:rPr>
                <w:sz w:val="20"/>
                <w:szCs w:val="20"/>
                <w:color w:val="auto"/>
              </w:rPr>
            </w:pPr>
            <w:r>
              <w:rPr>
                <w:rFonts w:ascii="Calibri" w:cs="Calibri" w:eastAsia="Calibri" w:hAnsi="Calibri"/>
                <w:sz w:val="14"/>
                <w:szCs w:val="14"/>
                <w:color w:val="auto"/>
              </w:rPr>
              <w:t>October 1, 2023 through October 31, 2023</w:t>
            </w:r>
          </w:p>
        </w:tc>
        <w:tc>
          <w:tcPr>
            <w:tcW w:w="1080" w:type="dxa"/>
            <w:vAlign w:val="bottom"/>
            <w:tcBorders>
              <w:bottom w:val="single" w:sz="8" w:color="CFF0FC"/>
            </w:tcBorders>
            <w:shd w:val="clear" w:color="auto" w:fill="CFF0FC"/>
          </w:tcPr>
          <w:p>
            <w:pPr>
              <w:jc w:val="right"/>
              <w:spacing w:after="0" w:line="161" w:lineRule="exact"/>
              <w:rPr>
                <w:sz w:val="20"/>
                <w:szCs w:val="20"/>
                <w:color w:val="auto"/>
              </w:rPr>
            </w:pPr>
            <w:r>
              <w:rPr>
                <w:rFonts w:ascii="Calibri" w:cs="Calibri" w:eastAsia="Calibri" w:hAnsi="Calibri"/>
                <w:sz w:val="14"/>
                <w:szCs w:val="14"/>
                <w:color w:val="auto"/>
              </w:rPr>
              <w:t>632,817</w:t>
            </w:r>
          </w:p>
        </w:tc>
        <w:tc>
          <w:tcPr>
            <w:tcW w:w="340" w:type="dxa"/>
            <w:vAlign w:val="bottom"/>
            <w:tcBorders>
              <w:bottom w:val="single" w:sz="8" w:color="CFF0FC"/>
            </w:tcBorders>
            <w:gridSpan w:val="2"/>
            <w:shd w:val="clear" w:color="auto" w:fill="CFF0FC"/>
          </w:tcPr>
          <w:p>
            <w:pPr>
              <w:ind w:left="240"/>
              <w:spacing w:after="0" w:line="161" w:lineRule="exact"/>
              <w:rPr>
                <w:sz w:val="20"/>
                <w:szCs w:val="20"/>
                <w:color w:val="auto"/>
              </w:rPr>
            </w:pPr>
            <w:r>
              <w:rPr>
                <w:rFonts w:ascii="Calibri" w:cs="Calibri" w:eastAsia="Calibri" w:hAnsi="Calibri"/>
                <w:sz w:val="14"/>
                <w:szCs w:val="14"/>
                <w:color w:val="auto"/>
              </w:rPr>
              <w:t>$</w:t>
            </w:r>
          </w:p>
        </w:tc>
        <w:tc>
          <w:tcPr>
            <w:tcW w:w="940" w:type="dxa"/>
            <w:vAlign w:val="bottom"/>
            <w:tcBorders>
              <w:bottom w:val="single" w:sz="8" w:color="CFF0FC"/>
            </w:tcBorders>
            <w:shd w:val="clear" w:color="auto" w:fill="CFF0FC"/>
          </w:tcPr>
          <w:p>
            <w:pPr>
              <w:jc w:val="right"/>
              <w:spacing w:after="0" w:line="161" w:lineRule="exact"/>
              <w:rPr>
                <w:sz w:val="20"/>
                <w:szCs w:val="20"/>
                <w:color w:val="auto"/>
              </w:rPr>
            </w:pPr>
            <w:r>
              <w:rPr>
                <w:rFonts w:ascii="Calibri" w:cs="Calibri" w:eastAsia="Calibri" w:hAnsi="Calibri"/>
                <w:sz w:val="14"/>
                <w:szCs w:val="14"/>
                <w:color w:val="auto"/>
              </w:rPr>
              <w:t>17.42</w:t>
            </w:r>
          </w:p>
        </w:tc>
        <w:tc>
          <w:tcPr>
            <w:tcW w:w="1260" w:type="dxa"/>
            <w:vAlign w:val="bottom"/>
            <w:tcBorders>
              <w:bottom w:val="single" w:sz="8" w:color="CFF0FC"/>
            </w:tcBorders>
            <w:gridSpan w:val="2"/>
            <w:shd w:val="clear" w:color="auto" w:fill="CFF0FC"/>
          </w:tcPr>
          <w:p>
            <w:pPr>
              <w:jc w:val="right"/>
              <w:spacing w:after="0" w:line="161" w:lineRule="exact"/>
              <w:rPr>
                <w:sz w:val="20"/>
                <w:szCs w:val="20"/>
                <w:color w:val="auto"/>
              </w:rPr>
            </w:pPr>
            <w:r>
              <w:rPr>
                <w:rFonts w:ascii="Calibri" w:cs="Calibri" w:eastAsia="Calibri" w:hAnsi="Calibri"/>
                <w:sz w:val="14"/>
                <w:szCs w:val="14"/>
                <w:color w:val="auto"/>
              </w:rPr>
              <w:t>632,817</w:t>
            </w:r>
          </w:p>
        </w:tc>
        <w:tc>
          <w:tcPr>
            <w:tcW w:w="320" w:type="dxa"/>
            <w:vAlign w:val="bottom"/>
            <w:tcBorders>
              <w:bottom w:val="single" w:sz="8" w:color="CFF0FC"/>
            </w:tcBorders>
            <w:gridSpan w:val="2"/>
            <w:shd w:val="clear" w:color="auto" w:fill="CFF0FC"/>
          </w:tcPr>
          <w:p>
            <w:pPr>
              <w:jc w:val="right"/>
              <w:spacing w:after="0" w:line="161" w:lineRule="exact"/>
              <w:rPr>
                <w:sz w:val="20"/>
                <w:szCs w:val="20"/>
                <w:color w:val="auto"/>
              </w:rPr>
            </w:pPr>
            <w:r>
              <w:rPr>
                <w:rFonts w:ascii="Calibri" w:cs="Calibri" w:eastAsia="Calibri" w:hAnsi="Calibri"/>
                <w:sz w:val="14"/>
                <w:szCs w:val="14"/>
                <w:color w:val="auto"/>
              </w:rPr>
              <w:t>$</w:t>
            </w:r>
          </w:p>
        </w:tc>
        <w:tc>
          <w:tcPr>
            <w:tcW w:w="920" w:type="dxa"/>
            <w:vAlign w:val="bottom"/>
            <w:tcBorders>
              <w:bottom w:val="single" w:sz="8" w:color="CFF0FC"/>
            </w:tcBorders>
            <w:shd w:val="clear" w:color="auto" w:fill="CFF0FC"/>
          </w:tcPr>
          <w:p>
            <w:pPr>
              <w:jc w:val="right"/>
              <w:spacing w:after="0" w:line="161" w:lineRule="exact"/>
              <w:rPr>
                <w:sz w:val="20"/>
                <w:szCs w:val="20"/>
                <w:color w:val="auto"/>
              </w:rPr>
            </w:pPr>
            <w:r>
              <w:rPr>
                <w:rFonts w:ascii="Calibri" w:cs="Calibri" w:eastAsia="Calibri" w:hAnsi="Calibri"/>
                <w:sz w:val="14"/>
                <w:szCs w:val="14"/>
                <w:color w:val="auto"/>
              </w:rPr>
              <w:t>116,051</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4"/>
        </w:trPr>
        <w:tc>
          <w:tcPr>
            <w:tcW w:w="5180" w:type="dxa"/>
            <w:vAlign w:val="bottom"/>
          </w:tcPr>
          <w:p>
            <w:pPr>
              <w:ind w:left="120"/>
              <w:spacing w:after="0" w:line="164" w:lineRule="exact"/>
              <w:rPr>
                <w:sz w:val="20"/>
                <w:szCs w:val="20"/>
                <w:color w:val="auto"/>
              </w:rPr>
            </w:pPr>
            <w:r>
              <w:rPr>
                <w:rFonts w:ascii="Calibri" w:cs="Calibri" w:eastAsia="Calibri" w:hAnsi="Calibri"/>
                <w:sz w:val="14"/>
                <w:szCs w:val="14"/>
                <w:color w:val="auto"/>
              </w:rPr>
              <w:t>November 1, 2023 through November 30, 2023</w:t>
            </w:r>
          </w:p>
        </w:tc>
        <w:tc>
          <w:tcPr>
            <w:tcW w:w="1080" w:type="dxa"/>
            <w:vAlign w:val="bottom"/>
          </w:tcPr>
          <w:p>
            <w:pPr>
              <w:jc w:val="right"/>
              <w:spacing w:after="0" w:line="164" w:lineRule="exact"/>
              <w:rPr>
                <w:sz w:val="20"/>
                <w:szCs w:val="20"/>
                <w:color w:val="auto"/>
              </w:rPr>
            </w:pPr>
            <w:r>
              <w:rPr>
                <w:rFonts w:ascii="Calibri" w:cs="Calibri" w:eastAsia="Calibri" w:hAnsi="Calibri"/>
                <w:sz w:val="14"/>
                <w:szCs w:val="14"/>
                <w:color w:val="auto"/>
              </w:rPr>
              <w:t>2,568,577</w:t>
            </w:r>
          </w:p>
        </w:tc>
        <w:tc>
          <w:tcPr>
            <w:tcW w:w="340" w:type="dxa"/>
            <w:vAlign w:val="bottom"/>
            <w:gridSpan w:val="2"/>
          </w:tcPr>
          <w:p>
            <w:pPr>
              <w:ind w:left="240"/>
              <w:spacing w:after="0" w:line="164" w:lineRule="exact"/>
              <w:rPr>
                <w:sz w:val="20"/>
                <w:szCs w:val="20"/>
                <w:color w:val="auto"/>
              </w:rPr>
            </w:pPr>
            <w:r>
              <w:rPr>
                <w:rFonts w:ascii="Calibri" w:cs="Calibri" w:eastAsia="Calibri" w:hAnsi="Calibri"/>
                <w:sz w:val="14"/>
                <w:szCs w:val="14"/>
                <w:color w:val="auto"/>
              </w:rPr>
              <w:t>$</w:t>
            </w:r>
          </w:p>
        </w:tc>
        <w:tc>
          <w:tcPr>
            <w:tcW w:w="940" w:type="dxa"/>
            <w:vAlign w:val="bottom"/>
          </w:tcPr>
          <w:p>
            <w:pPr>
              <w:jc w:val="right"/>
              <w:spacing w:after="0" w:line="164" w:lineRule="exact"/>
              <w:rPr>
                <w:sz w:val="20"/>
                <w:szCs w:val="20"/>
                <w:color w:val="auto"/>
              </w:rPr>
            </w:pPr>
            <w:r>
              <w:rPr>
                <w:rFonts w:ascii="Calibri" w:cs="Calibri" w:eastAsia="Calibri" w:hAnsi="Calibri"/>
                <w:sz w:val="14"/>
                <w:szCs w:val="14"/>
                <w:color w:val="auto"/>
              </w:rPr>
              <w:t>20.71</w:t>
            </w:r>
          </w:p>
        </w:tc>
        <w:tc>
          <w:tcPr>
            <w:tcW w:w="1260" w:type="dxa"/>
            <w:vAlign w:val="bottom"/>
            <w:gridSpan w:val="2"/>
          </w:tcPr>
          <w:p>
            <w:pPr>
              <w:jc w:val="right"/>
              <w:spacing w:after="0" w:line="164" w:lineRule="exact"/>
              <w:rPr>
                <w:sz w:val="20"/>
                <w:szCs w:val="20"/>
                <w:color w:val="auto"/>
              </w:rPr>
            </w:pPr>
            <w:r>
              <w:rPr>
                <w:rFonts w:ascii="Calibri" w:cs="Calibri" w:eastAsia="Calibri" w:hAnsi="Calibri"/>
                <w:sz w:val="14"/>
                <w:szCs w:val="14"/>
                <w:color w:val="auto"/>
              </w:rPr>
              <w:t>2,568,577</w:t>
            </w:r>
          </w:p>
        </w:tc>
        <w:tc>
          <w:tcPr>
            <w:tcW w:w="320" w:type="dxa"/>
            <w:vAlign w:val="bottom"/>
            <w:gridSpan w:val="2"/>
          </w:tcPr>
          <w:p>
            <w:pPr>
              <w:jc w:val="right"/>
              <w:spacing w:after="0" w:line="164" w:lineRule="exact"/>
              <w:rPr>
                <w:sz w:val="20"/>
                <w:szCs w:val="20"/>
                <w:color w:val="auto"/>
              </w:rPr>
            </w:pPr>
            <w:r>
              <w:rPr>
                <w:rFonts w:ascii="Calibri" w:cs="Calibri" w:eastAsia="Calibri" w:hAnsi="Calibri"/>
                <w:sz w:val="14"/>
                <w:szCs w:val="14"/>
                <w:color w:val="auto"/>
              </w:rPr>
              <w:t>$</w:t>
            </w:r>
          </w:p>
        </w:tc>
        <w:tc>
          <w:tcPr>
            <w:tcW w:w="920" w:type="dxa"/>
            <w:vAlign w:val="bottom"/>
          </w:tcPr>
          <w:p>
            <w:pPr>
              <w:jc w:val="right"/>
              <w:spacing w:after="0" w:line="164" w:lineRule="exact"/>
              <w:rPr>
                <w:sz w:val="20"/>
                <w:szCs w:val="20"/>
                <w:color w:val="auto"/>
              </w:rPr>
            </w:pPr>
            <w:r>
              <w:rPr>
                <w:rFonts w:ascii="Calibri" w:cs="Calibri" w:eastAsia="Calibri" w:hAnsi="Calibri"/>
                <w:sz w:val="14"/>
                <w:szCs w:val="14"/>
                <w:color w:val="auto"/>
              </w:rPr>
              <w:t>62,856</w:t>
            </w:r>
          </w:p>
        </w:tc>
        <w:tc>
          <w:tcPr>
            <w:tcW w:w="100" w:type="dxa"/>
            <w:vAlign w:val="bottom"/>
          </w:tcPr>
          <w:p>
            <w:pPr>
              <w:spacing w:after="0"/>
              <w:rPr>
                <w:sz w:val="14"/>
                <w:szCs w:val="14"/>
                <w:color w:val="auto"/>
              </w:rPr>
            </w:pPr>
          </w:p>
        </w:tc>
      </w:tr>
      <w:tr>
        <w:trPr>
          <w:trHeight w:val="32"/>
        </w:trPr>
        <w:tc>
          <w:tcPr>
            <w:tcW w:w="5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01"/>
        </w:trPr>
        <w:tc>
          <w:tcPr>
            <w:tcW w:w="5180" w:type="dxa"/>
            <w:vAlign w:val="bottom"/>
            <w:tcBorders>
              <w:bottom w:val="single" w:sz="8" w:color="CFF0FC"/>
            </w:tcBorders>
            <w:shd w:val="clear" w:color="auto" w:fill="CFF0FC"/>
          </w:tcPr>
          <w:p>
            <w:pPr>
              <w:ind w:left="120"/>
              <w:spacing w:after="0"/>
              <w:rPr>
                <w:sz w:val="20"/>
                <w:szCs w:val="20"/>
                <w:color w:val="auto"/>
              </w:rPr>
            </w:pPr>
            <w:r>
              <w:rPr>
                <w:rFonts w:ascii="Calibri" w:cs="Calibri" w:eastAsia="Calibri" w:hAnsi="Calibri"/>
                <w:sz w:val="14"/>
                <w:szCs w:val="14"/>
                <w:color w:val="auto"/>
              </w:rPr>
              <w:t>December 1, 2023 through December 31, 2023</w:t>
            </w:r>
          </w:p>
        </w:tc>
        <w:tc>
          <w:tcPr>
            <w:tcW w:w="1080" w:type="dxa"/>
            <w:vAlign w:val="bottom"/>
            <w:tcBorders>
              <w:bottom w:val="single" w:sz="8" w:color="CFF0FC"/>
            </w:tcBorders>
            <w:shd w:val="clear" w:color="auto" w:fill="CFF0FC"/>
          </w:tcPr>
          <w:p>
            <w:pPr>
              <w:jc w:val="right"/>
              <w:spacing w:after="0" w:line="164" w:lineRule="exact"/>
              <w:rPr>
                <w:sz w:val="20"/>
                <w:szCs w:val="20"/>
                <w:color w:val="auto"/>
              </w:rPr>
            </w:pPr>
            <w:r>
              <w:rPr>
                <w:rFonts w:ascii="Calibri" w:cs="Calibri" w:eastAsia="Calibri" w:hAnsi="Calibri"/>
                <w:sz w:val="14"/>
                <w:szCs w:val="14"/>
                <w:color w:val="auto"/>
              </w:rPr>
              <w:t>1,617,865</w:t>
            </w:r>
          </w:p>
        </w:tc>
        <w:tc>
          <w:tcPr>
            <w:tcW w:w="340" w:type="dxa"/>
            <w:vAlign w:val="bottom"/>
            <w:tcBorders>
              <w:bottom w:val="single" w:sz="8" w:color="CFF0FC"/>
            </w:tcBorders>
            <w:gridSpan w:val="2"/>
            <w:shd w:val="clear" w:color="auto" w:fill="CFF0FC"/>
          </w:tcPr>
          <w:p>
            <w:pPr>
              <w:ind w:left="240"/>
              <w:spacing w:after="0"/>
              <w:rPr>
                <w:sz w:val="20"/>
                <w:szCs w:val="20"/>
                <w:color w:val="auto"/>
              </w:rPr>
            </w:pPr>
            <w:r>
              <w:rPr>
                <w:rFonts w:ascii="Calibri" w:cs="Calibri" w:eastAsia="Calibri" w:hAnsi="Calibri"/>
                <w:sz w:val="14"/>
                <w:szCs w:val="14"/>
                <w:color w:val="auto"/>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22.05</w:t>
            </w:r>
          </w:p>
        </w:tc>
        <w:tc>
          <w:tcPr>
            <w:tcW w:w="1260" w:type="dxa"/>
            <w:vAlign w:val="bottom"/>
            <w:tcBorders>
              <w:bottom w:val="single" w:sz="8" w:color="CFF0FC"/>
            </w:tcBorders>
            <w:gridSpan w:val="2"/>
            <w:shd w:val="clear" w:color="auto" w:fill="CFF0FC"/>
          </w:tcPr>
          <w:p>
            <w:pPr>
              <w:jc w:val="right"/>
              <w:spacing w:after="0" w:line="164" w:lineRule="exact"/>
              <w:rPr>
                <w:sz w:val="20"/>
                <w:szCs w:val="20"/>
                <w:color w:val="auto"/>
              </w:rPr>
            </w:pPr>
            <w:r>
              <w:rPr>
                <w:rFonts w:ascii="Calibri" w:cs="Calibri" w:eastAsia="Calibri" w:hAnsi="Calibri"/>
                <w:sz w:val="14"/>
                <w:szCs w:val="14"/>
                <w:color w:val="auto"/>
              </w:rPr>
              <w:t>1,617,865</w:t>
            </w:r>
          </w:p>
        </w:tc>
        <w:tc>
          <w:tcPr>
            <w:tcW w:w="320" w:type="dxa"/>
            <w:vAlign w:val="bottom"/>
            <w:tcBorders>
              <w:bottom w:val="single" w:sz="8" w:color="CFF0FC"/>
            </w:tcBorders>
            <w:gridSpan w:val="2"/>
            <w:shd w:val="clear" w:color="auto" w:fill="CFF0FC"/>
          </w:tcPr>
          <w:p>
            <w:pPr>
              <w:jc w:val="right"/>
              <w:spacing w:after="0"/>
              <w:rPr>
                <w:sz w:val="20"/>
                <w:szCs w:val="20"/>
                <w:color w:val="auto"/>
              </w:rPr>
            </w:pPr>
            <w:r>
              <w:rPr>
                <w:rFonts w:ascii="Calibri" w:cs="Calibri" w:eastAsia="Calibri" w:hAnsi="Calibri"/>
                <w:sz w:val="14"/>
                <w:szCs w:val="14"/>
                <w:color w:val="auto"/>
              </w:rPr>
              <w:t>$</w:t>
            </w:r>
          </w:p>
        </w:tc>
        <w:tc>
          <w:tcPr>
            <w:tcW w:w="102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Calibri" w:cs="Calibri" w:eastAsia="Calibri" w:hAnsi="Calibri"/>
                <w:sz w:val="14"/>
                <w:szCs w:val="14"/>
                <w:color w:val="auto"/>
              </w:rPr>
              <w:t>—</w:t>
            </w:r>
          </w:p>
        </w:tc>
      </w:tr>
      <w:tr>
        <w:trPr>
          <w:trHeight w:val="187"/>
        </w:trPr>
        <w:tc>
          <w:tcPr>
            <w:tcW w:w="5180" w:type="dxa"/>
            <w:vAlign w:val="bottom"/>
            <w:tcBorders>
              <w:top w:val="single" w:sz="8" w:color="CFF0FC"/>
            </w:tcBorders>
          </w:tcPr>
          <w:p>
            <w:pPr>
              <w:ind w:left="200"/>
              <w:spacing w:after="0"/>
              <w:rPr>
                <w:sz w:val="20"/>
                <w:szCs w:val="20"/>
                <w:color w:val="auto"/>
              </w:rPr>
            </w:pPr>
            <w:r>
              <w:rPr>
                <w:rFonts w:ascii="Calibri" w:cs="Calibri" w:eastAsia="Calibri" w:hAnsi="Calibri"/>
                <w:sz w:val="14"/>
                <w:szCs w:val="14"/>
                <w:color w:val="auto"/>
              </w:rPr>
              <w:t>Total</w:t>
            </w:r>
          </w:p>
        </w:tc>
        <w:tc>
          <w:tcPr>
            <w:tcW w:w="1080" w:type="dxa"/>
            <w:vAlign w:val="bottom"/>
            <w:tcBorders>
              <w:top w:val="single" w:sz="8" w:color="auto"/>
              <w:bottom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4,819,259</w:t>
            </w:r>
          </w:p>
        </w:tc>
        <w:tc>
          <w:tcPr>
            <w:tcW w:w="340" w:type="dxa"/>
            <w:vAlign w:val="bottom"/>
            <w:tcBorders>
              <w:top w:val="single" w:sz="8" w:color="CFF0FC"/>
            </w:tcBorders>
            <w:gridSpan w:val="2"/>
          </w:tcPr>
          <w:p>
            <w:pPr>
              <w:ind w:left="240"/>
              <w:spacing w:after="0"/>
              <w:rPr>
                <w:sz w:val="20"/>
                <w:szCs w:val="20"/>
                <w:color w:val="auto"/>
              </w:rPr>
            </w:pPr>
            <w:r>
              <w:rPr>
                <w:rFonts w:ascii="Calibri" w:cs="Calibri" w:eastAsia="Calibri" w:hAnsi="Calibri"/>
                <w:sz w:val="14"/>
                <w:szCs w:val="14"/>
                <w:color w:val="auto"/>
              </w:rPr>
              <w:t>$</w:t>
            </w:r>
          </w:p>
        </w:tc>
        <w:tc>
          <w:tcPr>
            <w:tcW w:w="940" w:type="dxa"/>
            <w:vAlign w:val="bottom"/>
            <w:tcBorders>
              <w:top w:val="single" w:sz="8" w:color="CFF0FC"/>
            </w:tcBorders>
          </w:tcPr>
          <w:p>
            <w:pPr>
              <w:jc w:val="right"/>
              <w:spacing w:after="0"/>
              <w:rPr>
                <w:sz w:val="20"/>
                <w:szCs w:val="20"/>
                <w:color w:val="auto"/>
              </w:rPr>
            </w:pPr>
            <w:r>
              <w:rPr>
                <w:rFonts w:ascii="Calibri" w:cs="Calibri" w:eastAsia="Calibri" w:hAnsi="Calibri"/>
                <w:sz w:val="14"/>
                <w:szCs w:val="14"/>
                <w:color w:val="auto"/>
              </w:rPr>
              <w:t>20.73</w:t>
            </w:r>
          </w:p>
        </w:tc>
        <w:tc>
          <w:tcPr>
            <w:tcW w:w="200" w:type="dxa"/>
            <w:vAlign w:val="bottom"/>
            <w:tcBorders>
              <w:top w:val="single" w:sz="8" w:color="CFF0FC"/>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line="164" w:lineRule="exact"/>
              <w:rPr>
                <w:sz w:val="20"/>
                <w:szCs w:val="20"/>
                <w:color w:val="auto"/>
              </w:rPr>
            </w:pPr>
            <w:r>
              <w:rPr>
                <w:rFonts w:ascii="Calibri" w:cs="Calibri" w:eastAsia="Calibri" w:hAnsi="Calibri"/>
                <w:sz w:val="14"/>
                <w:szCs w:val="14"/>
                <w:color w:val="auto"/>
              </w:rPr>
              <w:t>4,819,259</w:t>
            </w:r>
          </w:p>
        </w:tc>
        <w:tc>
          <w:tcPr>
            <w:tcW w:w="320" w:type="dxa"/>
            <w:vAlign w:val="bottom"/>
            <w:tcBorders>
              <w:top w:val="single" w:sz="8" w:color="CFF0FC"/>
            </w:tcBorders>
            <w:gridSpan w:val="2"/>
          </w:tcPr>
          <w:p>
            <w:pPr>
              <w:jc w:val="right"/>
              <w:spacing w:after="0"/>
              <w:rPr>
                <w:sz w:val="20"/>
                <w:szCs w:val="20"/>
                <w:color w:val="auto"/>
              </w:rPr>
            </w:pPr>
            <w:r>
              <w:rPr>
                <w:rFonts w:ascii="Calibri" w:cs="Calibri" w:eastAsia="Calibri" w:hAnsi="Calibri"/>
                <w:sz w:val="14"/>
                <w:szCs w:val="14"/>
                <w:color w:val="auto"/>
              </w:rPr>
              <w:t>$</w:t>
            </w:r>
          </w:p>
        </w:tc>
        <w:tc>
          <w:tcPr>
            <w:tcW w:w="1020" w:type="dxa"/>
            <w:vAlign w:val="bottom"/>
            <w:tcBorders>
              <w:top w:val="single" w:sz="8" w:color="CFF0FC"/>
            </w:tcBorders>
            <w:gridSpan w:val="2"/>
          </w:tcPr>
          <w:p>
            <w:pPr>
              <w:jc w:val="right"/>
              <w:ind w:right="120"/>
              <w:spacing w:after="0"/>
              <w:rPr>
                <w:sz w:val="20"/>
                <w:szCs w:val="20"/>
                <w:color w:val="auto"/>
              </w:rPr>
            </w:pPr>
            <w:r>
              <w:rPr>
                <w:rFonts w:ascii="Calibri" w:cs="Calibri" w:eastAsia="Calibri" w:hAnsi="Calibri"/>
                <w:sz w:val="14"/>
                <w:szCs w:val="14"/>
                <w:color w:val="auto"/>
              </w:rPr>
              <w:t>—</w:t>
            </w:r>
          </w:p>
        </w:tc>
      </w:tr>
      <w:tr>
        <w:trPr>
          <w:trHeight w:val="20"/>
        </w:trPr>
        <w:tc>
          <w:tcPr>
            <w:tcW w:w="5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4327525</wp:posOffset>
            </wp:positionH>
            <wp:positionV relativeFrom="paragraph">
              <wp:posOffset>-153035</wp:posOffset>
            </wp:positionV>
            <wp:extent cx="66040"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5942330</wp:posOffset>
            </wp:positionH>
            <wp:positionV relativeFrom="paragraph">
              <wp:posOffset>-153035</wp:posOffset>
            </wp:positionV>
            <wp:extent cx="5842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8420" cy="7620"/>
                    </a:xfrm>
                    <a:prstGeom prst="rect">
                      <a:avLst/>
                    </a:prstGeom>
                    <a:noFill/>
                  </pic:spPr>
                </pic:pic>
              </a:graphicData>
            </a:graphic>
          </wp:anchor>
        </w:drawing>
      </w:r>
    </w:p>
    <w:p>
      <w:pPr>
        <w:ind w:left="1020" w:hanging="522"/>
        <w:spacing w:after="0" w:line="210" w:lineRule="auto"/>
        <w:tabs>
          <w:tab w:leader="none" w:pos="1020" w:val="left"/>
        </w:tabs>
        <w:numPr>
          <w:ilvl w:val="0"/>
          <w:numId w:val="22"/>
        </w:numPr>
        <w:rPr>
          <w:rFonts w:ascii="Calibri" w:cs="Calibri" w:eastAsia="Calibri" w:hAnsi="Calibri"/>
          <w:sz w:val="21"/>
          <w:szCs w:val="21"/>
          <w:color w:val="auto"/>
          <w:vertAlign w:val="subscript"/>
        </w:rPr>
      </w:pPr>
      <w:r>
        <w:rPr>
          <w:rFonts w:ascii="Calibri" w:cs="Calibri" w:eastAsia="Calibri" w:hAnsi="Calibri"/>
          <w:sz w:val="10"/>
          <w:szCs w:val="10"/>
          <w:color w:val="auto"/>
        </w:rPr>
        <w:t>On December 8, 2022, we announced that our Board of Directors authorized a share repurchase program, or the 2022 Share Repurchase Program, pursuant to which we could, from tme to tme, purchase shares of our Class A common stock for an aggregate purchase price not to exceed $250.0 million. The 2022 Share Repurchase Program expired on December 31, 2023. The 2022 Share Repurchase Program did not obligate us to repurchase any minimum dollar amount or number of shares. All repurchased shares under the 2022 Share Repurchase Program were retred. We funded share repurchases under the 2022 Share Repurchase Program through cash on hand and cash generated from operatons.</w:t>
      </w:r>
    </w:p>
    <w:p>
      <w:pPr>
        <w:ind w:left="1020" w:hanging="522"/>
        <w:spacing w:after="0" w:line="186" w:lineRule="auto"/>
        <w:tabs>
          <w:tab w:leader="none" w:pos="1020" w:val="left"/>
        </w:tabs>
        <w:numPr>
          <w:ilvl w:val="0"/>
          <w:numId w:val="22"/>
        </w:numPr>
        <w:rPr>
          <w:rFonts w:ascii="Calibri" w:cs="Calibri" w:eastAsia="Calibri" w:hAnsi="Calibri"/>
          <w:sz w:val="17"/>
          <w:szCs w:val="17"/>
          <w:color w:val="auto"/>
          <w:vertAlign w:val="subscript"/>
        </w:rPr>
      </w:pPr>
      <w:r>
        <w:rPr>
          <w:rFonts w:ascii="Calibri" w:cs="Calibri" w:eastAsia="Calibri" w:hAnsi="Calibri"/>
          <w:sz w:val="9"/>
          <w:szCs w:val="9"/>
          <w:color w:val="auto"/>
        </w:rPr>
        <w:t>The total number of shares of common stock purchased as part of the 2022 Share Repurchase Program was inclusive of shares purchased but not setled as of December 31, 2023.</w:t>
      </w:r>
    </w:p>
    <w:p>
      <w:pPr>
        <w:spacing w:after="0" w:line="360" w:lineRule="exact"/>
        <w:rPr>
          <w:sz w:val="20"/>
          <w:szCs w:val="20"/>
          <w:color w:val="auto"/>
        </w:rPr>
      </w:pPr>
    </w:p>
    <w:p>
      <w:pPr>
        <w:spacing w:after="0"/>
        <w:rPr>
          <w:sz w:val="20"/>
          <w:szCs w:val="20"/>
          <w:color w:val="auto"/>
        </w:rPr>
      </w:pPr>
      <w:r>
        <w:rPr>
          <w:rFonts w:ascii="Calibri" w:cs="Calibri" w:eastAsia="Calibri" w:hAnsi="Calibri"/>
          <w:sz w:val="15"/>
          <w:szCs w:val="15"/>
          <w:b w:val="1"/>
          <w:bCs w:val="1"/>
          <w:color w:val="auto"/>
        </w:rPr>
        <w:t>Item 6. Reserved.</w:t>
      </w:r>
    </w:p>
    <w:p>
      <w:pPr>
        <w:spacing w:after="0" w:line="185" w:lineRule="exact"/>
        <w:rPr>
          <w:sz w:val="20"/>
          <w:szCs w:val="20"/>
          <w:color w:val="auto"/>
        </w:rPr>
      </w:pPr>
    </w:p>
    <w:p>
      <w:pPr>
        <w:jc w:val="center"/>
        <w:ind w:right="-119"/>
        <w:spacing w:after="0"/>
        <w:rPr>
          <w:sz w:val="20"/>
          <w:szCs w:val="20"/>
          <w:color w:val="auto"/>
        </w:rPr>
      </w:pPr>
      <w:r>
        <w:rPr>
          <w:rFonts w:ascii="Calibri" w:cs="Calibri" w:eastAsia="Calibri" w:hAnsi="Calibri"/>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408940</wp:posOffset>
            </wp:positionV>
            <wp:extent cx="7178040" cy="400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140"/>
          </w:cols>
          <w:pgMar w:left="320" w:top="1133" w:right="439" w:bottom="1440" w:gutter="0" w:footer="0" w:header="0"/>
        </w:sectPr>
      </w:pPr>
    </w:p>
    <w:bookmarkStart w:id="49" w:name="page50"/>
    <w:bookmarkEnd w:id="49"/>
    <w:p>
      <w:pPr>
        <w:spacing w:after="0"/>
        <w:rPr>
          <w:sz w:val="20"/>
          <w:szCs w:val="20"/>
          <w:color w:val="auto"/>
        </w:rPr>
      </w:pPr>
      <w:r>
        <w:rPr>
          <w:rFonts w:ascii="Calibri" w:cs="Calibri" w:eastAsia="Calibri" w:hAnsi="Calibri"/>
          <w:sz w:val="15"/>
          <w:szCs w:val="15"/>
          <w:b w:val="1"/>
          <w:bCs w:val="1"/>
          <w:color w:val="auto"/>
        </w:rPr>
        <w:t>Item 7. Management’s Discussion and Analysis of Financial Conditon and Results of Operatons.</w:t>
      </w:r>
    </w:p>
    <w:p>
      <w:pPr>
        <w:spacing w:after="0" w:line="185" w:lineRule="exact"/>
        <w:rPr>
          <w:sz w:val="20"/>
          <w:szCs w:val="20"/>
          <w:color w:val="auto"/>
        </w:rPr>
      </w:pPr>
    </w:p>
    <w:p>
      <w:pPr>
        <w:jc w:val="both"/>
        <w:ind w:firstLine="511"/>
        <w:spacing w:after="0" w:line="307" w:lineRule="auto"/>
        <w:rPr>
          <w:sz w:val="20"/>
          <w:szCs w:val="20"/>
          <w:color w:val="auto"/>
        </w:rPr>
      </w:pPr>
      <w:r>
        <w:rPr>
          <w:rFonts w:ascii="MS PGothic" w:cs="MS PGothic" w:eastAsia="MS PGothic" w:hAnsi="MS PGothic"/>
          <w:sz w:val="15"/>
          <w:szCs w:val="15"/>
          <w:i w:val="1"/>
          <w:iCs w:val="1"/>
          <w:color w:val="auto"/>
        </w:rPr>
        <w:t>You should read the following discussion and analysis of our fnancial conditon and results of operatons together with our consolidated fnancial statements and the related notes and other fnancial informaton included elsewhere in this Annual Report. Some of the informaton contained in this discussion and analysis or elsewhere in this Annual Report, including informaton with respect to our plans and strategy for our business and our performance and future success, includes forward‑looking statements that involve risks and uncertaintes. See “Special Note Regarding Forward-Looking Statements.” You should review the “Risk Factors” secton of this Annual Report for a discussion of important factors that could cause actual results to difer materially from the results described in or implied by the forward‑looking statements contained in the following discussion and analysis.</w:t>
      </w:r>
    </w:p>
    <w:p>
      <w:pPr>
        <w:spacing w:after="0" w:line="145" w:lineRule="exact"/>
        <w:rPr>
          <w:sz w:val="20"/>
          <w:szCs w:val="20"/>
          <w:color w:val="auto"/>
        </w:rPr>
      </w:pPr>
    </w:p>
    <w:p>
      <w:pPr>
        <w:jc w:val="both"/>
        <w:ind w:firstLine="511"/>
        <w:spacing w:after="0" w:line="320" w:lineRule="auto"/>
        <w:rPr>
          <w:sz w:val="20"/>
          <w:szCs w:val="20"/>
          <w:color w:val="auto"/>
        </w:rPr>
      </w:pPr>
      <w:r>
        <w:rPr>
          <w:rFonts w:ascii="MS PGothic" w:cs="MS PGothic" w:eastAsia="MS PGothic" w:hAnsi="MS PGothic"/>
          <w:sz w:val="15"/>
          <w:szCs w:val="15"/>
          <w:i w:val="1"/>
          <w:iCs w:val="1"/>
          <w:color w:val="auto"/>
        </w:rPr>
        <w:t>In this discussion, we use fnancial measures that are considered non-GAAP fnancial measures under SEC rules. These rules regarding non-GAAP fnancial measures require supplemental explanaton and reconciliaton, which are included elsewhere in this Annual Report. Investors should not consider non-GAAP fnancial measures in isolaton from or in substtuton for, fnancial informaton presented in compliance with U.S. generally accepted accountng principles, or GAAP.</w:t>
      </w:r>
    </w:p>
    <w:p>
      <w:pPr>
        <w:spacing w:after="0" w:line="136" w:lineRule="exact"/>
        <w:rPr>
          <w:sz w:val="20"/>
          <w:szCs w:val="20"/>
          <w:color w:val="auto"/>
        </w:rPr>
      </w:pPr>
    </w:p>
    <w:p>
      <w:pPr>
        <w:jc w:val="both"/>
        <w:ind w:firstLine="511"/>
        <w:spacing w:after="0" w:line="307" w:lineRule="auto"/>
        <w:rPr>
          <w:sz w:val="20"/>
          <w:szCs w:val="20"/>
          <w:color w:val="auto"/>
        </w:rPr>
      </w:pPr>
      <w:r>
        <w:rPr>
          <w:rFonts w:ascii="MS PGothic" w:cs="MS PGothic" w:eastAsia="MS PGothic" w:hAnsi="MS PGothic"/>
          <w:sz w:val="15"/>
          <w:szCs w:val="15"/>
          <w:i w:val="1"/>
          <w:iCs w:val="1"/>
          <w:color w:val="auto"/>
        </w:rPr>
        <w:t>This secton of this Annual Report discusses 2023 and 2022 items and year-to-year comparisons between 2023 and 2022. This secton of this Annual Report also discusses 2022 and 2021 segment revenue and segment operatng income (loss) from operatons and year-to-year comparisons between 2022 and 2021 segment revenue and segment operatng income (loss) from operatons. Discussions of all other 2021 items and year-to-year comparisons between 2022 and 2021 can be found in “Management’s Discussion and Analysis of Financial Conditon and Results of Operatons” in Part II, Item 7 of our Annual Report on Form 10-K for the fscal year ended December 31, 2022. The period‑to‑period comparison of fnancial results is not necessarily indicatve of future results.</w:t>
      </w:r>
    </w:p>
    <w:p>
      <w:pPr>
        <w:spacing w:after="0" w:line="145" w:lineRule="exact"/>
        <w:rPr>
          <w:sz w:val="20"/>
          <w:szCs w:val="20"/>
          <w:color w:val="auto"/>
        </w:rPr>
      </w:pPr>
    </w:p>
    <w:p>
      <w:pPr>
        <w:spacing w:after="0"/>
        <w:rPr>
          <w:sz w:val="20"/>
          <w:szCs w:val="20"/>
          <w:color w:val="auto"/>
        </w:rPr>
      </w:pPr>
      <w:r>
        <w:rPr>
          <w:rFonts w:ascii="Calibri" w:cs="Calibri" w:eastAsia="Calibri" w:hAnsi="Calibri"/>
          <w:sz w:val="15"/>
          <w:szCs w:val="15"/>
          <w:b w:val="1"/>
          <w:bCs w:val="1"/>
          <w:color w:val="auto"/>
        </w:rPr>
        <w:t>Company Overview</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CarGurus, Inc. is a multnatonal, online automotve platorm for buying and selling vehicles that is building upon its industry-leading listngs marketplace with both digital retail solutons and the CarOfer online wholesale platorm. The CarGurus platorm gives consumers the confdence to purchase and/or sell a vehicle either online or in person, and it gives dealerships the power to accurately price, efectvely market, instantly acquire, and quickly sell vehicles, all with a natonwide reach. We use proprietary technology, search algorithms, and data analytcs to bring trust, transparency, and compettve pricing to the automotve shopping experience.</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We operate principally in the U.S. In the U.S., we also operate as independent brands the Autolist online marketplace and the CarOfer online wholesale platorm, both of which we wholly own. In additon to the U.S., we operate online marketplaces under the CarGurus brand in Canada and the U.K. In the U.K., we also operate as an independent brand the PistonHeads online marketplace, which we wholly own.</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We have subsidiaries in the U.S., Canada, Ireland, and the U.K. During the year ended December 31, 2023, we managed our business and reported earnings through two reportable segments: U.S. Marketplace and Digital Wholesale. Prior to the frst quarter of 2022 we had two reportable segments – U.S. and Internatonal. Efectve as of the frst quarter of 2022 we revised our segment reportng from two reportable segments to one reportable segment. Efectve as of the fourth quarter of 2022 we again revised our segment reportng from one reportable segment to our two current reportable segments. See Note 14 to our consolidated fnancial statements included elsewhere in this Annual Report for further segment reportng and geographic informaton.</w:t>
      </w:r>
    </w:p>
    <w:p>
      <w:pPr>
        <w:spacing w:after="0" w:line="185" w:lineRule="exact"/>
        <w:rPr>
          <w:sz w:val="20"/>
          <w:szCs w:val="20"/>
          <w:color w:val="auto"/>
        </w:rPr>
      </w:pPr>
    </w:p>
    <w:p>
      <w:pPr>
        <w:jc w:val="center"/>
        <w:spacing w:after="0"/>
        <w:rPr>
          <w:sz w:val="20"/>
          <w:szCs w:val="20"/>
          <w:color w:val="auto"/>
        </w:rPr>
      </w:pPr>
      <w:r>
        <w:rPr>
          <w:rFonts w:ascii="Calibri" w:cs="Calibri" w:eastAsia="Calibri" w:hAnsi="Calibri"/>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408940</wp:posOffset>
            </wp:positionV>
            <wp:extent cx="7178040" cy="400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3" w:right="319" w:bottom="1440" w:gutter="0" w:footer="0" w:header="0"/>
        </w:sectPr>
      </w:pPr>
    </w:p>
    <w:bookmarkStart w:id="50" w:name="page51"/>
    <w:bookmarkEnd w:id="50"/>
    <w:p>
      <w:pPr>
        <w:jc w:val="both"/>
        <w:ind w:firstLine="511"/>
        <w:spacing w:after="0" w:line="302" w:lineRule="auto"/>
        <w:rPr>
          <w:sz w:val="20"/>
          <w:szCs w:val="20"/>
          <w:color w:val="auto"/>
        </w:rPr>
      </w:pPr>
      <w:r>
        <w:rPr>
          <w:rFonts w:ascii="MS PGothic" w:cs="MS PGothic" w:eastAsia="MS PGothic" w:hAnsi="MS PGothic"/>
          <w:sz w:val="15"/>
          <w:szCs w:val="15"/>
          <w:color w:val="auto"/>
        </w:rPr>
        <w:t>We derive our revenue from marketplace revenue, wholesale revenue, and product revenue. Marketplace revenue is included in the U.S. Marketplace segment and Other category of segment reportng. Wholesale revenue and product revenue are included in the Digital Wholesale segment. We generate marketplace revenue primarily from (i) dealer subscriptons to our Listngs packages, RPM, digital advertsing suite, Digital Retail, and Sell My Car - TDO, (ii) advertsing revenue from auto manufacturers and other auto‑related brand advertsers, and (iii) revenue from partnerships with fnancing services companies. We generate wholesale revenue primarily from (x) transacton fees earned from Dealer-to-Dealer transactons, (y) transacton fees earned from the sale of vehicles to dealers that we acquire at other marketplaces, and (z) transacton fees earned from performing inspecton and transportaton services, inclusive of Dealer-to-Dealer transactons, other marketplace-to-dealer transactons, and IMCO transactons (as defned below). We generate product revenue primarily from (A) aggregate proceeds received from the sale of vehicles to dealers that were acquired directly from customers, or CarGurus Instant Max Cash Ofer, or IMCO transactons, and (B) proceeds received from the sale of vehicles that were acquired through arbitraton.</w:t>
      </w:r>
    </w:p>
    <w:p>
      <w:pPr>
        <w:spacing w:after="0" w:line="147" w:lineRule="exact"/>
        <w:rPr>
          <w:sz w:val="20"/>
          <w:szCs w:val="20"/>
          <w:color w:val="auto"/>
        </w:rPr>
      </w:pPr>
    </w:p>
    <w:p>
      <w:pPr>
        <w:ind w:left="500"/>
        <w:spacing w:after="0"/>
        <w:rPr>
          <w:sz w:val="20"/>
          <w:szCs w:val="20"/>
          <w:color w:val="auto"/>
        </w:rPr>
      </w:pPr>
      <w:r>
        <w:rPr>
          <w:rFonts w:ascii="MS PGothic" w:cs="MS PGothic" w:eastAsia="MS PGothic" w:hAnsi="MS PGothic"/>
          <w:sz w:val="15"/>
          <w:szCs w:val="15"/>
          <w:color w:val="auto"/>
        </w:rPr>
        <w:t>For the year ended December 31, 2023, we generated revenue of $914.2 million, a 45% decrease from $1,655.0 million of revenue for the year ended December 31, 2022.</w:t>
      </w:r>
    </w:p>
    <w:p>
      <w:pPr>
        <w:spacing w:after="0" w:line="218" w:lineRule="exact"/>
        <w:rPr>
          <w:sz w:val="20"/>
          <w:szCs w:val="20"/>
          <w:color w:val="auto"/>
        </w:rPr>
      </w:pPr>
    </w:p>
    <w:p>
      <w:pPr>
        <w:jc w:val="both"/>
        <w:ind w:firstLine="511"/>
        <w:spacing w:after="0" w:line="347" w:lineRule="auto"/>
        <w:rPr>
          <w:sz w:val="20"/>
          <w:szCs w:val="20"/>
          <w:color w:val="auto"/>
        </w:rPr>
      </w:pPr>
      <w:r>
        <w:rPr>
          <w:rFonts w:ascii="MS PGothic" w:cs="MS PGothic" w:eastAsia="MS PGothic" w:hAnsi="MS PGothic"/>
          <w:sz w:val="15"/>
          <w:szCs w:val="15"/>
          <w:color w:val="auto"/>
        </w:rPr>
        <w:t>For the year ended December 31, 2023, we generated consolidated net income of $22.1 million and Consolidated Adjusted EBITDA of $195.8 million, compared to consolidated net income of $79.0 million and Consolidated Adjusted EBITDA of $187.7 million for the year ended December 31, 2022.</w:t>
      </w:r>
    </w:p>
    <w:p>
      <w:pPr>
        <w:spacing w:after="0" w:line="119" w:lineRule="exact"/>
        <w:rPr>
          <w:sz w:val="20"/>
          <w:szCs w:val="20"/>
          <w:color w:val="auto"/>
        </w:rPr>
      </w:pPr>
    </w:p>
    <w:p>
      <w:pPr>
        <w:jc w:val="both"/>
        <w:ind w:firstLine="511"/>
        <w:spacing w:after="0" w:line="347" w:lineRule="auto"/>
        <w:rPr>
          <w:sz w:val="20"/>
          <w:szCs w:val="20"/>
          <w:color w:val="auto"/>
        </w:rPr>
      </w:pPr>
      <w:r>
        <w:rPr>
          <w:rFonts w:ascii="MS PGothic" w:cs="MS PGothic" w:eastAsia="MS PGothic" w:hAnsi="MS PGothic"/>
          <w:sz w:val="15"/>
          <w:szCs w:val="15"/>
          <w:color w:val="auto"/>
        </w:rPr>
        <w:t>See “Consolidated Adjusted EBITDA, Adjusted EBITDA, and Adjusted EBITDA atributable to redeemable noncontrolling interest” below for more informaton regarding our use of Adjusted EBITDA, a non-GAAP fnancial measure, and a reconciliaton of Adjusted EBITDA to our consolidated net income.</w:t>
      </w:r>
    </w:p>
    <w:p>
      <w:pPr>
        <w:spacing w:after="0" w:line="118" w:lineRule="exact"/>
        <w:rPr>
          <w:sz w:val="20"/>
          <w:szCs w:val="20"/>
          <w:color w:val="auto"/>
        </w:rPr>
      </w:pPr>
    </w:p>
    <w:p>
      <w:pPr>
        <w:spacing w:after="0"/>
        <w:rPr>
          <w:sz w:val="20"/>
          <w:szCs w:val="20"/>
          <w:color w:val="auto"/>
        </w:rPr>
      </w:pPr>
      <w:r>
        <w:rPr>
          <w:rFonts w:ascii="Calibri" w:cs="Calibri" w:eastAsia="Calibri" w:hAnsi="Calibri"/>
          <w:sz w:val="15"/>
          <w:szCs w:val="15"/>
          <w:i w:val="1"/>
          <w:iCs w:val="1"/>
          <w:color w:val="auto"/>
        </w:rPr>
        <w:t>CarOfer Purchase Agreement</w:t>
      </w:r>
    </w:p>
    <w:p>
      <w:pPr>
        <w:spacing w:after="0" w:line="185" w:lineRule="exact"/>
        <w:rPr>
          <w:sz w:val="20"/>
          <w:szCs w:val="20"/>
          <w:color w:val="auto"/>
        </w:rPr>
      </w:pPr>
    </w:p>
    <w:p>
      <w:pPr>
        <w:jc w:val="both"/>
        <w:ind w:firstLine="511"/>
        <w:spacing w:after="0" w:line="320" w:lineRule="auto"/>
        <w:rPr>
          <w:sz w:val="20"/>
          <w:szCs w:val="20"/>
          <w:color w:val="auto"/>
        </w:rPr>
      </w:pPr>
      <w:r>
        <w:rPr>
          <w:rFonts w:ascii="MS PGothic" w:cs="MS PGothic" w:eastAsia="MS PGothic" w:hAnsi="MS PGothic"/>
          <w:sz w:val="15"/>
          <w:szCs w:val="15"/>
          <w:color w:val="auto"/>
        </w:rPr>
        <w:t>On November 6, 2023, we entered into a Membership Interest Purchase Agreement, or the 2023 Purchase Agreement, with CarOfer, CarOfer Investors Holding, LLC, CarOfer Midco, LLC, each of the persons set forth on Schedule 1.1(a) to the 2023 Purchase Agreement, which we refer to as the Indirect Members, Bruce T. Thompson, an individual residing in Texas, as the sellers’ representatve, and the responsible party signatory thereto.</w:t>
      </w:r>
    </w:p>
    <w:p>
      <w:pPr>
        <w:spacing w:after="0" w:line="136" w:lineRule="exact"/>
        <w:rPr>
          <w:sz w:val="20"/>
          <w:szCs w:val="20"/>
          <w:color w:val="auto"/>
        </w:rPr>
      </w:pPr>
    </w:p>
    <w:p>
      <w:pPr>
        <w:jc w:val="both"/>
        <w:ind w:firstLine="511"/>
        <w:spacing w:after="0" w:line="312" w:lineRule="auto"/>
        <w:rPr>
          <w:sz w:val="20"/>
          <w:szCs w:val="20"/>
          <w:color w:val="auto"/>
        </w:rPr>
      </w:pPr>
      <w:r>
        <w:rPr>
          <w:rFonts w:ascii="MS PGothic" w:cs="MS PGothic" w:eastAsia="MS PGothic" w:hAnsi="MS PGothic"/>
          <w:sz w:val="15"/>
          <w:szCs w:val="15"/>
          <w:color w:val="auto"/>
        </w:rPr>
        <w:t>Pursuant to the 2023 Purchase Agreement we acquired the remaining minority equity interests in CarOfer for an aggregate consideraton of $75.0 million in cash, or the 2023 Consideraton, subject to certain adjustments set forth in the 2023 Purchase Agreement. A porton of the 2023 Consideraton is held in escrow to secure certain payment and indemnifcaton obligatons of the Indirect Members in accordance with the terms of the 2023 Purchase Agreement. The acquisiton was completed on December 1, 2023. We refer to this acquisiton as the 2023 CarOfer Transacton.</w:t>
      </w:r>
    </w:p>
    <w:p>
      <w:pPr>
        <w:spacing w:after="0" w:line="140" w:lineRule="exact"/>
        <w:rPr>
          <w:sz w:val="20"/>
          <w:szCs w:val="20"/>
          <w:color w:val="auto"/>
        </w:rPr>
      </w:pPr>
    </w:p>
    <w:p>
      <w:pPr>
        <w:jc w:val="both"/>
        <w:ind w:firstLine="511"/>
        <w:spacing w:after="0" w:line="347" w:lineRule="auto"/>
        <w:rPr>
          <w:sz w:val="20"/>
          <w:szCs w:val="20"/>
          <w:color w:val="auto"/>
        </w:rPr>
      </w:pPr>
      <w:r>
        <w:rPr>
          <w:rFonts w:ascii="MS PGothic" w:cs="MS PGothic" w:eastAsia="MS PGothic" w:hAnsi="MS PGothic"/>
          <w:sz w:val="15"/>
          <w:szCs w:val="15"/>
          <w:color w:val="auto"/>
        </w:rPr>
        <w:t>Following the 2023 CarOfer Transacton, CarOfer is a wholly-owned subsidiary and we entered into the Fourth Amended and Restated Limited Liability Company Agreement, or the 2023 CarOfer Operatng Agreement, pursuant to which, among other maters, the existng put and call rights were terminated.</w:t>
      </w:r>
    </w:p>
    <w:p>
      <w:pPr>
        <w:spacing w:after="0" w:line="119" w:lineRule="exact"/>
        <w:rPr>
          <w:sz w:val="20"/>
          <w:szCs w:val="20"/>
          <w:color w:val="auto"/>
        </w:rPr>
      </w:pPr>
    </w:p>
    <w:p>
      <w:pPr>
        <w:ind w:left="500"/>
        <w:spacing w:after="0"/>
        <w:rPr>
          <w:sz w:val="20"/>
          <w:szCs w:val="20"/>
          <w:color w:val="auto"/>
        </w:rPr>
      </w:pPr>
      <w:r>
        <w:rPr>
          <w:rFonts w:ascii="MS PGothic" w:cs="MS PGothic" w:eastAsia="MS PGothic" w:hAnsi="MS PGothic"/>
          <w:sz w:val="15"/>
          <w:szCs w:val="15"/>
          <w:color w:val="auto"/>
        </w:rPr>
        <w:t>See Note 4 to our consolidated fnancial statements included elsewhere in this Annual Report for further informaton regarding the 2023 CarOfer Transacton.</w:t>
      </w:r>
    </w:p>
    <w:p>
      <w:pPr>
        <w:spacing w:after="0" w:line="218" w:lineRule="exact"/>
        <w:rPr>
          <w:sz w:val="20"/>
          <w:szCs w:val="20"/>
          <w:color w:val="auto"/>
        </w:rPr>
      </w:pPr>
    </w:p>
    <w:p>
      <w:pPr>
        <w:spacing w:after="0"/>
        <w:rPr>
          <w:sz w:val="20"/>
          <w:szCs w:val="20"/>
          <w:color w:val="auto"/>
        </w:rPr>
      </w:pPr>
      <w:r>
        <w:rPr>
          <w:rFonts w:ascii="Calibri" w:cs="Calibri" w:eastAsia="Calibri" w:hAnsi="Calibri"/>
          <w:sz w:val="15"/>
          <w:szCs w:val="15"/>
          <w:b w:val="1"/>
          <w:bCs w:val="1"/>
          <w:color w:val="auto"/>
        </w:rPr>
        <w:t>Key Business Metrics</w:t>
      </w:r>
    </w:p>
    <w:p>
      <w:pPr>
        <w:spacing w:after="0" w:line="185" w:lineRule="exact"/>
        <w:rPr>
          <w:sz w:val="20"/>
          <w:szCs w:val="20"/>
          <w:color w:val="auto"/>
        </w:rPr>
      </w:pPr>
    </w:p>
    <w:p>
      <w:pPr>
        <w:jc w:val="both"/>
        <w:ind w:firstLine="511"/>
        <w:spacing w:after="0" w:line="312" w:lineRule="auto"/>
        <w:rPr>
          <w:sz w:val="20"/>
          <w:szCs w:val="20"/>
          <w:color w:val="auto"/>
        </w:rPr>
      </w:pPr>
      <w:r>
        <w:rPr>
          <w:rFonts w:ascii="MS PGothic" w:cs="MS PGothic" w:eastAsia="MS PGothic" w:hAnsi="MS PGothic"/>
          <w:sz w:val="15"/>
          <w:szCs w:val="15"/>
          <w:color w:val="auto"/>
        </w:rPr>
        <w:t>We regularly review a number of metrics, including the key metrics listed below, to evaluate our business, measure our performance, identfy trends afectng our business, formulate fnancial projectons, and make operatng and strategic decisions. We believe it is important to evaluate these metrics for the U.S. and Internatonal geographic regions. The Internatonal region derives revenue from marketplace revenue from customers outside of the U.S. Internatonal markets perform diferently from the U.S. market due to a variety of factors, including our operatng history in each market, our rate of investment, market size, market maturity, competton, and other dynamics unique to each country.</w:t>
      </w:r>
    </w:p>
    <w:p>
      <w:pPr>
        <w:spacing w:after="0" w:line="140" w:lineRule="exact"/>
        <w:rPr>
          <w:sz w:val="20"/>
          <w:szCs w:val="20"/>
          <w:color w:val="auto"/>
        </w:rPr>
      </w:pPr>
    </w:p>
    <w:p>
      <w:pPr>
        <w:jc w:val="center"/>
        <w:spacing w:after="0"/>
        <w:rPr>
          <w:sz w:val="20"/>
          <w:szCs w:val="20"/>
          <w:color w:val="auto"/>
        </w:rPr>
      </w:pPr>
      <w:r>
        <w:rPr>
          <w:rFonts w:ascii="MS PGothic" w:cs="MS PGothic" w:eastAsia="MS PGothic" w:hAnsi="MS PGothic"/>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429895</wp:posOffset>
            </wp:positionV>
            <wp:extent cx="7178040" cy="400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4" w:right="319" w:bottom="1440" w:gutter="0" w:footer="0" w:header="0"/>
        </w:sectPr>
      </w:pPr>
    </w:p>
    <w:bookmarkStart w:id="51" w:name="page52"/>
    <w:bookmarkEnd w:id="51"/>
    <w:p>
      <w:pPr>
        <w:spacing w:after="0"/>
        <w:rPr>
          <w:sz w:val="20"/>
          <w:szCs w:val="20"/>
          <w:color w:val="auto"/>
        </w:rPr>
      </w:pPr>
      <w:r>
        <w:rPr>
          <w:rFonts w:ascii="Calibri" w:cs="Calibri" w:eastAsia="Calibri" w:hAnsi="Calibri"/>
          <w:sz w:val="15"/>
          <w:szCs w:val="15"/>
          <w:b w:val="1"/>
          <w:bCs w:val="1"/>
          <w:i w:val="1"/>
          <w:iCs w:val="1"/>
          <w:color w:val="auto"/>
        </w:rPr>
        <w:t>Monthly Unique Users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For each of our websites (excluding the CarOfer website), we defne a monthly unique user as an individual who has visited any such website within a calendar month, based on data as measured by Google Analytcs. We calculate average monthly unique users as the sum of the monthly unique users of each of our websites in a given period, divided by the number of months in that period. We count a unique user the frst tme a computer or mobile device with a unique device identfer accesses any of our websites during a calendar month. If an individual accesses a website using a diferent device within a given month, the frst access by each such device is counted as a separate unique user. If an individual uses multple browsers on a single device and/or clears their cookies and returns to our website within a calendar month, each such visit is counted as a separate unique user. We view our average monthly unique users as a key indicator of the quality of our user experience, the efectveness of our advertsing and trafc acquisiton, and the strength of our brand awareness. Measuring unique users is important to us and we believe it provides useful informaton to our investors because our marketplace revenue depends, in part, on our ability to provide dealers with connectons to our users and exposure to our marketplace audience. We defne connectons as interactons between consumers and dealers on our marketplace through phone calls, email, managed text and chat, and clicks to access the dealer’s website or map directons to the dealership.</w:t>
      </w:r>
    </w:p>
    <w:p>
      <w:pPr>
        <w:spacing w:after="0" w:line="203" w:lineRule="exact"/>
        <w:rPr>
          <w:sz w:val="20"/>
          <w:szCs w:val="20"/>
          <w:color w:val="auto"/>
        </w:rPr>
      </w:pPr>
    </w:p>
    <w:tbl>
      <w:tblPr>
        <w:tblLayout w:type="fixed"/>
        <w:tblInd w:w="560" w:type="dxa"/>
        <w:tblCellMar>
          <w:top w:w="0" w:type="dxa"/>
          <w:left w:w="0" w:type="dxa"/>
          <w:bottom w:w="0" w:type="dxa"/>
          <w:right w:w="0" w:type="dxa"/>
        </w:tblCellMar>
      </w:tblPr>
      <w:tr>
        <w:trPr>
          <w:trHeight w:val="146"/>
        </w:trPr>
        <w:tc>
          <w:tcPr>
            <w:tcW w:w="6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40" w:type="dxa"/>
            <w:vAlign w:val="bottom"/>
            <w:gridSpan w:val="3"/>
          </w:tcPr>
          <w:p>
            <w:pPr>
              <w:ind w:left="900"/>
              <w:spacing w:after="0"/>
              <w:rPr>
                <w:sz w:val="20"/>
                <w:szCs w:val="20"/>
                <w:color w:val="auto"/>
              </w:rPr>
            </w:pPr>
            <w:r>
              <w:rPr>
                <w:rFonts w:ascii="Calibri" w:cs="Calibri" w:eastAsia="Calibri" w:hAnsi="Calibri"/>
                <w:sz w:val="12"/>
                <w:szCs w:val="12"/>
                <w:b w:val="1"/>
                <w:bCs w:val="1"/>
                <w:color w:val="auto"/>
              </w:rPr>
              <w:t>Year Ended December 31,</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6920" w:type="dxa"/>
            <w:vAlign w:val="bottom"/>
            <w:gridSpan w:val="2"/>
            <w:vMerge w:val="restart"/>
          </w:tcPr>
          <w:p>
            <w:pPr>
              <w:spacing w:after="0"/>
              <w:rPr>
                <w:sz w:val="20"/>
                <w:szCs w:val="20"/>
                <w:color w:val="auto"/>
              </w:rPr>
            </w:pPr>
            <w:r>
              <w:rPr>
                <w:rFonts w:ascii="Calibri" w:cs="Calibri" w:eastAsia="Calibri" w:hAnsi="Calibri"/>
                <w:sz w:val="12"/>
                <w:szCs w:val="12"/>
                <w:b w:val="1"/>
                <w:bCs w:val="1"/>
                <w:color w:val="auto"/>
              </w:rPr>
              <w:t>Average Monthly Unique Users</w:t>
            </w:r>
          </w:p>
        </w:tc>
        <w:tc>
          <w:tcPr>
            <w:tcW w:w="1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6920" w:type="dxa"/>
            <w:vAlign w:val="bottom"/>
            <w:gridSpan w:val="2"/>
            <w:vMerge w:val="continue"/>
          </w:tcPr>
          <w:p>
            <w:pPr>
              <w:spacing w:after="0"/>
              <w:rPr>
                <w:sz w:val="11"/>
                <w:szCs w:val="11"/>
                <w:color w:val="auto"/>
              </w:rPr>
            </w:pPr>
          </w:p>
        </w:tc>
        <w:tc>
          <w:tcPr>
            <w:tcW w:w="1440" w:type="dxa"/>
            <w:vAlign w:val="bottom"/>
          </w:tcPr>
          <w:p>
            <w:pPr>
              <w:jc w:val="right"/>
              <w:ind w:right="531"/>
              <w:spacing w:after="0" w:line="138" w:lineRule="exact"/>
              <w:rPr>
                <w:sz w:val="20"/>
                <w:szCs w:val="20"/>
                <w:color w:val="auto"/>
              </w:rPr>
            </w:pPr>
            <w:r>
              <w:rPr>
                <w:rFonts w:ascii="Calibri" w:cs="Calibri" w:eastAsia="Calibri" w:hAnsi="Calibri"/>
                <w:sz w:val="12"/>
                <w:szCs w:val="12"/>
                <w:b w:val="1"/>
                <w:bCs w:val="1"/>
                <w:color w:val="auto"/>
              </w:rPr>
              <w:t>2023</w:t>
            </w: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jc w:val="right"/>
              <w:ind w:right="507"/>
              <w:spacing w:after="0" w:line="138" w:lineRule="exact"/>
              <w:rPr>
                <w:sz w:val="20"/>
                <w:szCs w:val="20"/>
                <w:color w:val="auto"/>
              </w:rPr>
            </w:pPr>
            <w:r>
              <w:rPr>
                <w:rFonts w:ascii="Calibri" w:cs="Calibri" w:eastAsia="Calibri" w:hAnsi="Calibri"/>
                <w:sz w:val="12"/>
                <w:szCs w:val="12"/>
                <w:b w:val="1"/>
                <w:bCs w:val="1"/>
                <w:color w:val="auto"/>
              </w:rPr>
              <w:t>2022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6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6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tcPr>
          <w:p>
            <w:pPr>
              <w:jc w:val="right"/>
              <w:ind w:right="51"/>
              <w:spacing w:after="0" w:line="138" w:lineRule="exact"/>
              <w:rPr>
                <w:sz w:val="20"/>
                <w:szCs w:val="20"/>
                <w:color w:val="auto"/>
              </w:rPr>
            </w:pPr>
            <w:r>
              <w:rPr>
                <w:rFonts w:ascii="Calibri" w:cs="Calibri" w:eastAsia="Calibri" w:hAnsi="Calibri"/>
                <w:sz w:val="12"/>
                <w:szCs w:val="12"/>
                <w:b w:val="1"/>
                <w:bCs w:val="1"/>
                <w:color w:val="auto"/>
              </w:rPr>
              <w:t>(in</w:t>
            </w:r>
          </w:p>
        </w:tc>
        <w:tc>
          <w:tcPr>
            <w:tcW w:w="800" w:type="dxa"/>
            <w:vAlign w:val="bottom"/>
            <w:gridSpan w:val="2"/>
          </w:tcPr>
          <w:p>
            <w:pPr>
              <w:spacing w:after="0" w:line="138" w:lineRule="exact"/>
              <w:rPr>
                <w:sz w:val="20"/>
                <w:szCs w:val="20"/>
                <w:color w:val="auto"/>
              </w:rPr>
            </w:pPr>
            <w:r>
              <w:rPr>
                <w:rFonts w:ascii="Calibri" w:cs="Calibri" w:eastAsia="Calibri" w:hAnsi="Calibri"/>
                <w:sz w:val="12"/>
                <w:szCs w:val="12"/>
                <w:b w:val="1"/>
                <w:bCs w:val="1"/>
                <w:color w:val="auto"/>
              </w:rPr>
              <w:t>thousands)</w:t>
            </w: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6920" w:type="dxa"/>
            <w:vAlign w:val="bottom"/>
            <w:tcBorders>
              <w:bottom w:val="single" w:sz="8" w:color="CFF0FC"/>
            </w:tcBorders>
            <w:gridSpan w:val="2"/>
            <w:shd w:val="clear" w:color="auto" w:fill="CFF0FC"/>
          </w:tcPr>
          <w:p>
            <w:pPr>
              <w:spacing w:after="0"/>
              <w:rPr>
                <w:sz w:val="20"/>
                <w:szCs w:val="20"/>
                <w:color w:val="auto"/>
              </w:rPr>
            </w:pPr>
            <w:r>
              <w:rPr>
                <w:rFonts w:ascii="Calibri" w:cs="Calibri" w:eastAsia="Calibri" w:hAnsi="Calibri"/>
                <w:sz w:val="15"/>
                <w:szCs w:val="15"/>
                <w:color w:val="auto"/>
              </w:rPr>
              <w:t>United States</w:t>
            </w:r>
          </w:p>
        </w:tc>
        <w:tc>
          <w:tcPr>
            <w:tcW w:w="144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31,205</w:t>
            </w:r>
          </w:p>
        </w:tc>
        <w:tc>
          <w:tcPr>
            <w:tcW w:w="260" w:type="dxa"/>
            <w:vAlign w:val="bottom"/>
            <w:tcBorders>
              <w:bottom w:val="single" w:sz="8" w:color="CFF0FC"/>
            </w:tcBorders>
            <w:shd w:val="clear" w:color="auto" w:fill="CFF0FC"/>
          </w:tcPr>
          <w:p>
            <w:pPr>
              <w:spacing w:after="0"/>
              <w:rPr>
                <w:sz w:val="16"/>
                <w:szCs w:val="16"/>
                <w:color w:val="auto"/>
              </w:rPr>
            </w:pPr>
          </w:p>
        </w:tc>
        <w:tc>
          <w:tcPr>
            <w:tcW w:w="540" w:type="dxa"/>
            <w:vAlign w:val="bottom"/>
            <w:tcBorders>
              <w:bottom w:val="single" w:sz="8" w:color="CFF0FC"/>
            </w:tcBorders>
            <w:shd w:val="clear" w:color="auto" w:fill="CFF0FC"/>
          </w:tcPr>
          <w:p>
            <w:pPr>
              <w:spacing w:after="0"/>
              <w:rPr>
                <w:sz w:val="16"/>
                <w:szCs w:val="16"/>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29,083</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920" w:type="dxa"/>
            <w:vAlign w:val="bottom"/>
            <w:gridSpan w:val="2"/>
          </w:tcPr>
          <w:p>
            <w:pPr>
              <w:spacing w:after="0"/>
              <w:rPr>
                <w:sz w:val="20"/>
                <w:szCs w:val="20"/>
                <w:color w:val="auto"/>
              </w:rPr>
            </w:pPr>
            <w:r>
              <w:rPr>
                <w:rFonts w:ascii="Calibri" w:cs="Calibri" w:eastAsia="Calibri" w:hAnsi="Calibri"/>
                <w:sz w:val="15"/>
                <w:szCs w:val="15"/>
                <w:color w:val="auto"/>
              </w:rPr>
              <w:t>Internatonal</w:t>
            </w:r>
          </w:p>
        </w:tc>
        <w:tc>
          <w:tcPr>
            <w:tcW w:w="1440" w:type="dxa"/>
            <w:vAlign w:val="bottom"/>
          </w:tcPr>
          <w:p>
            <w:pPr>
              <w:jc w:val="right"/>
              <w:spacing w:after="0"/>
              <w:rPr>
                <w:sz w:val="20"/>
                <w:szCs w:val="20"/>
                <w:color w:val="auto"/>
              </w:rPr>
            </w:pPr>
            <w:r>
              <w:rPr>
                <w:rFonts w:ascii="Calibri" w:cs="Calibri" w:eastAsia="Calibri" w:hAnsi="Calibri"/>
                <w:sz w:val="15"/>
                <w:szCs w:val="15"/>
                <w:color w:val="auto"/>
              </w:rPr>
              <w:t>7,135</w:t>
            </w: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alibri" w:cs="Calibri" w:eastAsia="Calibri" w:hAnsi="Calibri"/>
                <w:sz w:val="15"/>
                <w:szCs w:val="15"/>
                <w:color w:val="auto"/>
              </w:rPr>
              <w:t>6,645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6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6920" w:type="dxa"/>
            <w:vAlign w:val="bottom"/>
            <w:gridSpan w:val="2"/>
            <w:shd w:val="clear" w:color="auto" w:fill="CFF0FC"/>
          </w:tcPr>
          <w:p>
            <w:pPr>
              <w:ind w:left="160"/>
              <w:spacing w:after="0" w:line="174" w:lineRule="exact"/>
              <w:rPr>
                <w:sz w:val="20"/>
                <w:szCs w:val="20"/>
                <w:color w:val="auto"/>
              </w:rPr>
            </w:pPr>
            <w:r>
              <w:rPr>
                <w:rFonts w:ascii="Calibri" w:cs="Calibri" w:eastAsia="Calibri" w:hAnsi="Calibri"/>
                <w:sz w:val="15"/>
                <w:szCs w:val="15"/>
                <w:color w:val="auto"/>
              </w:rPr>
              <w:t>Total</w:t>
            </w:r>
          </w:p>
        </w:tc>
        <w:tc>
          <w:tcPr>
            <w:tcW w:w="1440" w:type="dxa"/>
            <w:vAlign w:val="bottom"/>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38,340</w:t>
            </w:r>
          </w:p>
        </w:tc>
        <w:tc>
          <w:tcPr>
            <w:tcW w:w="2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35,728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676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44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540" w:type="dxa"/>
            <w:vAlign w:val="bottom"/>
            <w:shd w:val="clear" w:color="auto" w:fill="CFF0FC"/>
          </w:tcPr>
          <w:p>
            <w:pPr>
              <w:spacing w:after="0"/>
              <w:rPr>
                <w:sz w:val="2"/>
                <w:szCs w:val="2"/>
                <w:color w:val="auto"/>
              </w:rPr>
            </w:pPr>
          </w:p>
        </w:tc>
        <w:tc>
          <w:tcPr>
            <w:tcW w:w="8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Calibri" w:cs="Calibri" w:eastAsia="Calibri" w:hAnsi="Calibri"/>
          <w:sz w:val="15"/>
          <w:szCs w:val="15"/>
          <w:b w:val="1"/>
          <w:bCs w:val="1"/>
          <w:i w:val="1"/>
          <w:iCs w:val="1"/>
          <w:color w:val="auto"/>
        </w:rPr>
        <w:t>Monthly Sessions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We defne monthly sessions as the number of distnct visits to our websites (excluding the CarOfer website) that take place each month within a given tme frame, as measured and defned by Google Analytcs. We calculate average monthly sessions as the sum of the monthly sessions in a given period, divided by the number of months in that period. A session is defned as beginning with the frst page view from a computer or mobile device and ending at the earliest of when a user closes their browser window, afer 30 minutes of inactvity, or each night at midnight (i) Eastern Time for our U.S. and Canada websites, other than the Autolist website, (ii) Pacifc Time for the Autolist website, and (iii) Greenwich Mean Time for our U.K. websites. A session can be made up of multple page views and visitor actons, such as performing a search, visitng vehicle detail pages, and connectng with a dealer. We believe that measuring the volume of sessions in a tme period, when considered in conjuncton with the number of unique users in that tme period, is an important indicator to us of consumer satsfacton and engagement with our marketplace, and we believe it provides useful informaton to our investors because the more satsfed and engaged consumers we have, the more valuable our service is to dealers.</w:t>
      </w:r>
    </w:p>
    <w:p>
      <w:pPr>
        <w:spacing w:after="0" w:line="203" w:lineRule="exact"/>
        <w:rPr>
          <w:sz w:val="20"/>
          <w:szCs w:val="20"/>
          <w:color w:val="auto"/>
        </w:rPr>
      </w:pPr>
    </w:p>
    <w:tbl>
      <w:tblPr>
        <w:tblLayout w:type="fixed"/>
        <w:tblInd w:w="560" w:type="dxa"/>
        <w:tblCellMar>
          <w:top w:w="0" w:type="dxa"/>
          <w:left w:w="0" w:type="dxa"/>
          <w:bottom w:w="0" w:type="dxa"/>
          <w:right w:w="0" w:type="dxa"/>
        </w:tblCellMar>
      </w:tblPr>
      <w:tr>
        <w:trPr>
          <w:trHeight w:val="146"/>
        </w:trPr>
        <w:tc>
          <w:tcPr>
            <w:tcW w:w="6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40" w:type="dxa"/>
            <w:vAlign w:val="bottom"/>
            <w:gridSpan w:val="3"/>
          </w:tcPr>
          <w:p>
            <w:pPr>
              <w:ind w:left="900"/>
              <w:spacing w:after="0"/>
              <w:rPr>
                <w:sz w:val="20"/>
                <w:szCs w:val="20"/>
                <w:color w:val="auto"/>
              </w:rPr>
            </w:pPr>
            <w:r>
              <w:rPr>
                <w:rFonts w:ascii="Calibri" w:cs="Calibri" w:eastAsia="Calibri" w:hAnsi="Calibri"/>
                <w:sz w:val="12"/>
                <w:szCs w:val="12"/>
                <w:b w:val="1"/>
                <w:bCs w:val="1"/>
                <w:color w:val="auto"/>
              </w:rPr>
              <w:t>Year Ended December 31,</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6920" w:type="dxa"/>
            <w:vAlign w:val="bottom"/>
            <w:gridSpan w:val="2"/>
            <w:vMerge w:val="restart"/>
          </w:tcPr>
          <w:p>
            <w:pPr>
              <w:spacing w:after="0"/>
              <w:rPr>
                <w:sz w:val="20"/>
                <w:szCs w:val="20"/>
                <w:color w:val="auto"/>
              </w:rPr>
            </w:pPr>
            <w:r>
              <w:rPr>
                <w:rFonts w:ascii="Calibri" w:cs="Calibri" w:eastAsia="Calibri" w:hAnsi="Calibri"/>
                <w:sz w:val="12"/>
                <w:szCs w:val="12"/>
                <w:b w:val="1"/>
                <w:bCs w:val="1"/>
                <w:color w:val="auto"/>
              </w:rPr>
              <w:t>Average Monthly Sessions</w:t>
            </w:r>
          </w:p>
        </w:tc>
        <w:tc>
          <w:tcPr>
            <w:tcW w:w="1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6920" w:type="dxa"/>
            <w:vAlign w:val="bottom"/>
            <w:gridSpan w:val="2"/>
            <w:vMerge w:val="continue"/>
          </w:tcPr>
          <w:p>
            <w:pPr>
              <w:spacing w:after="0"/>
              <w:rPr>
                <w:sz w:val="11"/>
                <w:szCs w:val="11"/>
                <w:color w:val="auto"/>
              </w:rPr>
            </w:pPr>
          </w:p>
        </w:tc>
        <w:tc>
          <w:tcPr>
            <w:tcW w:w="1440" w:type="dxa"/>
            <w:vAlign w:val="bottom"/>
          </w:tcPr>
          <w:p>
            <w:pPr>
              <w:jc w:val="right"/>
              <w:ind w:right="531"/>
              <w:spacing w:after="0" w:line="138" w:lineRule="exact"/>
              <w:rPr>
                <w:sz w:val="20"/>
                <w:szCs w:val="20"/>
                <w:color w:val="auto"/>
              </w:rPr>
            </w:pPr>
            <w:r>
              <w:rPr>
                <w:rFonts w:ascii="Calibri" w:cs="Calibri" w:eastAsia="Calibri" w:hAnsi="Calibri"/>
                <w:sz w:val="12"/>
                <w:szCs w:val="12"/>
                <w:b w:val="1"/>
                <w:bCs w:val="1"/>
                <w:color w:val="auto"/>
              </w:rPr>
              <w:t>2023</w:t>
            </w: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jc w:val="right"/>
              <w:ind w:right="507"/>
              <w:spacing w:after="0" w:line="138" w:lineRule="exact"/>
              <w:rPr>
                <w:sz w:val="20"/>
                <w:szCs w:val="20"/>
                <w:color w:val="auto"/>
              </w:rPr>
            </w:pPr>
            <w:r>
              <w:rPr>
                <w:rFonts w:ascii="Calibri" w:cs="Calibri" w:eastAsia="Calibri" w:hAnsi="Calibri"/>
                <w:sz w:val="12"/>
                <w:szCs w:val="12"/>
                <w:b w:val="1"/>
                <w:bCs w:val="1"/>
                <w:color w:val="auto"/>
              </w:rPr>
              <w:t>2022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6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6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tcPr>
          <w:p>
            <w:pPr>
              <w:jc w:val="right"/>
              <w:ind w:right="51"/>
              <w:spacing w:after="0" w:line="138" w:lineRule="exact"/>
              <w:rPr>
                <w:sz w:val="20"/>
                <w:szCs w:val="20"/>
                <w:color w:val="auto"/>
              </w:rPr>
            </w:pPr>
            <w:r>
              <w:rPr>
                <w:rFonts w:ascii="Calibri" w:cs="Calibri" w:eastAsia="Calibri" w:hAnsi="Calibri"/>
                <w:sz w:val="12"/>
                <w:szCs w:val="12"/>
                <w:b w:val="1"/>
                <w:bCs w:val="1"/>
                <w:color w:val="auto"/>
              </w:rPr>
              <w:t>(in</w:t>
            </w:r>
          </w:p>
        </w:tc>
        <w:tc>
          <w:tcPr>
            <w:tcW w:w="800" w:type="dxa"/>
            <w:vAlign w:val="bottom"/>
            <w:gridSpan w:val="2"/>
          </w:tcPr>
          <w:p>
            <w:pPr>
              <w:spacing w:after="0" w:line="138" w:lineRule="exact"/>
              <w:rPr>
                <w:sz w:val="20"/>
                <w:szCs w:val="20"/>
                <w:color w:val="auto"/>
              </w:rPr>
            </w:pPr>
            <w:r>
              <w:rPr>
                <w:rFonts w:ascii="Calibri" w:cs="Calibri" w:eastAsia="Calibri" w:hAnsi="Calibri"/>
                <w:sz w:val="12"/>
                <w:szCs w:val="12"/>
                <w:b w:val="1"/>
                <w:bCs w:val="1"/>
                <w:color w:val="auto"/>
              </w:rPr>
              <w:t>thousands)</w:t>
            </w: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6920" w:type="dxa"/>
            <w:vAlign w:val="bottom"/>
            <w:tcBorders>
              <w:bottom w:val="single" w:sz="8" w:color="CFF0FC"/>
            </w:tcBorders>
            <w:gridSpan w:val="2"/>
            <w:shd w:val="clear" w:color="auto" w:fill="CFF0FC"/>
          </w:tcPr>
          <w:p>
            <w:pPr>
              <w:spacing w:after="0"/>
              <w:rPr>
                <w:sz w:val="20"/>
                <w:szCs w:val="20"/>
                <w:color w:val="auto"/>
              </w:rPr>
            </w:pPr>
            <w:r>
              <w:rPr>
                <w:rFonts w:ascii="Calibri" w:cs="Calibri" w:eastAsia="Calibri" w:hAnsi="Calibri"/>
                <w:sz w:val="15"/>
                <w:szCs w:val="15"/>
                <w:color w:val="auto"/>
              </w:rPr>
              <w:t>United States</w:t>
            </w:r>
          </w:p>
        </w:tc>
        <w:tc>
          <w:tcPr>
            <w:tcW w:w="144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82,340</w:t>
            </w:r>
          </w:p>
        </w:tc>
        <w:tc>
          <w:tcPr>
            <w:tcW w:w="260" w:type="dxa"/>
            <w:vAlign w:val="bottom"/>
            <w:tcBorders>
              <w:bottom w:val="single" w:sz="8" w:color="CFF0FC"/>
            </w:tcBorders>
            <w:shd w:val="clear" w:color="auto" w:fill="CFF0FC"/>
          </w:tcPr>
          <w:p>
            <w:pPr>
              <w:spacing w:after="0"/>
              <w:rPr>
                <w:sz w:val="16"/>
                <w:szCs w:val="16"/>
                <w:color w:val="auto"/>
              </w:rPr>
            </w:pPr>
          </w:p>
        </w:tc>
        <w:tc>
          <w:tcPr>
            <w:tcW w:w="540" w:type="dxa"/>
            <w:vAlign w:val="bottom"/>
            <w:tcBorders>
              <w:bottom w:val="single" w:sz="8" w:color="CFF0FC"/>
            </w:tcBorders>
            <w:shd w:val="clear" w:color="auto" w:fill="CFF0FC"/>
          </w:tcPr>
          <w:p>
            <w:pPr>
              <w:spacing w:after="0"/>
              <w:rPr>
                <w:sz w:val="16"/>
                <w:szCs w:val="16"/>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77,724</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920" w:type="dxa"/>
            <w:vAlign w:val="bottom"/>
            <w:gridSpan w:val="2"/>
          </w:tcPr>
          <w:p>
            <w:pPr>
              <w:spacing w:after="0"/>
              <w:rPr>
                <w:sz w:val="20"/>
                <w:szCs w:val="20"/>
                <w:color w:val="auto"/>
              </w:rPr>
            </w:pPr>
            <w:r>
              <w:rPr>
                <w:rFonts w:ascii="Calibri" w:cs="Calibri" w:eastAsia="Calibri" w:hAnsi="Calibri"/>
                <w:sz w:val="15"/>
                <w:szCs w:val="15"/>
                <w:color w:val="auto"/>
              </w:rPr>
              <w:t>Internatonal</w:t>
            </w:r>
          </w:p>
        </w:tc>
        <w:tc>
          <w:tcPr>
            <w:tcW w:w="1440" w:type="dxa"/>
            <w:vAlign w:val="bottom"/>
          </w:tcPr>
          <w:p>
            <w:pPr>
              <w:jc w:val="right"/>
              <w:spacing w:after="0"/>
              <w:rPr>
                <w:sz w:val="20"/>
                <w:szCs w:val="20"/>
                <w:color w:val="auto"/>
              </w:rPr>
            </w:pPr>
            <w:r>
              <w:rPr>
                <w:rFonts w:ascii="Calibri" w:cs="Calibri" w:eastAsia="Calibri" w:hAnsi="Calibri"/>
                <w:sz w:val="15"/>
                <w:szCs w:val="15"/>
                <w:color w:val="auto"/>
              </w:rPr>
              <w:t>16,503</w:t>
            </w: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alibri" w:cs="Calibri" w:eastAsia="Calibri" w:hAnsi="Calibri"/>
                <w:sz w:val="15"/>
                <w:szCs w:val="15"/>
                <w:color w:val="auto"/>
              </w:rPr>
              <w:t>15,219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6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6920" w:type="dxa"/>
            <w:vAlign w:val="bottom"/>
            <w:gridSpan w:val="2"/>
            <w:shd w:val="clear" w:color="auto" w:fill="CFF0FC"/>
          </w:tcPr>
          <w:p>
            <w:pPr>
              <w:ind w:left="160"/>
              <w:spacing w:after="0" w:line="174" w:lineRule="exact"/>
              <w:rPr>
                <w:sz w:val="20"/>
                <w:szCs w:val="20"/>
                <w:color w:val="auto"/>
              </w:rPr>
            </w:pPr>
            <w:r>
              <w:rPr>
                <w:rFonts w:ascii="Calibri" w:cs="Calibri" w:eastAsia="Calibri" w:hAnsi="Calibri"/>
                <w:sz w:val="15"/>
                <w:szCs w:val="15"/>
                <w:color w:val="auto"/>
              </w:rPr>
              <w:t>Total</w:t>
            </w:r>
          </w:p>
        </w:tc>
        <w:tc>
          <w:tcPr>
            <w:tcW w:w="1440" w:type="dxa"/>
            <w:vAlign w:val="bottom"/>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98,843</w:t>
            </w:r>
          </w:p>
        </w:tc>
        <w:tc>
          <w:tcPr>
            <w:tcW w:w="2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92,943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676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44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540" w:type="dxa"/>
            <w:vAlign w:val="bottom"/>
            <w:shd w:val="clear" w:color="auto" w:fill="CFF0FC"/>
          </w:tcPr>
          <w:p>
            <w:pPr>
              <w:spacing w:after="0"/>
              <w:rPr>
                <w:sz w:val="2"/>
                <w:szCs w:val="2"/>
                <w:color w:val="auto"/>
              </w:rPr>
            </w:pPr>
          </w:p>
        </w:tc>
        <w:tc>
          <w:tcPr>
            <w:tcW w:w="8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Calibri" w:cs="Calibri" w:eastAsia="Calibri" w:hAnsi="Calibri"/>
          <w:sz w:val="15"/>
          <w:szCs w:val="15"/>
          <w:b w:val="1"/>
          <w:bCs w:val="1"/>
          <w:i w:val="1"/>
          <w:iCs w:val="1"/>
          <w:color w:val="auto"/>
        </w:rPr>
        <w:t>Number of Paying Dealers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We defne a paying dealer as a dealer account with an actve, paid marketplace subscripton at the end of a defned period. The number of paying dealers we have is important to us and we believe it provides valuable informaton to investors because it is indicatve of the value propositon of our marketplace products, as well as our sales and marketng success and opportunity, including our ability to retain paying dealers and develop new dealer relatonships.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56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60" w:type="dxa"/>
            <w:vAlign w:val="bottom"/>
            <w:gridSpan w:val="3"/>
          </w:tcPr>
          <w:p>
            <w:pPr>
              <w:ind w:left="1060"/>
              <w:spacing w:after="0"/>
              <w:rPr>
                <w:sz w:val="20"/>
                <w:szCs w:val="20"/>
                <w:color w:val="auto"/>
              </w:rPr>
            </w:pPr>
            <w:r>
              <w:rPr>
                <w:rFonts w:ascii="Calibri" w:cs="Calibri" w:eastAsia="Calibri" w:hAnsi="Calibri"/>
                <w:sz w:val="12"/>
                <w:szCs w:val="12"/>
                <w:b w:val="1"/>
                <w:bCs w:val="1"/>
                <w:color w:val="auto"/>
              </w:rPr>
              <w:t>As of December 31,</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560" w:type="dxa"/>
            <w:vAlign w:val="bottom"/>
          </w:tcPr>
          <w:p>
            <w:pPr>
              <w:spacing w:after="0"/>
              <w:rPr>
                <w:sz w:val="2"/>
                <w:szCs w:val="2"/>
                <w:color w:val="auto"/>
              </w:rPr>
            </w:pPr>
          </w:p>
        </w:tc>
        <w:tc>
          <w:tcPr>
            <w:tcW w:w="3160" w:type="dxa"/>
            <w:vAlign w:val="bottom"/>
            <w:vMerge w:val="restart"/>
          </w:tcPr>
          <w:p>
            <w:pPr>
              <w:spacing w:after="0"/>
              <w:rPr>
                <w:sz w:val="20"/>
                <w:szCs w:val="20"/>
                <w:color w:val="auto"/>
              </w:rPr>
            </w:pPr>
            <w:r>
              <w:rPr>
                <w:rFonts w:ascii="Calibri" w:cs="Calibri" w:eastAsia="Calibri" w:hAnsi="Calibri"/>
                <w:sz w:val="12"/>
                <w:szCs w:val="12"/>
                <w:b w:val="1"/>
                <w:bCs w:val="1"/>
                <w:color w:val="auto"/>
              </w:rPr>
              <w:t>Number of Paying Dealers</w:t>
            </w:r>
          </w:p>
        </w:tc>
        <w:tc>
          <w:tcPr>
            <w:tcW w:w="360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560" w:type="dxa"/>
            <w:vAlign w:val="bottom"/>
          </w:tcPr>
          <w:p>
            <w:pPr>
              <w:spacing w:after="0"/>
              <w:rPr>
                <w:sz w:val="11"/>
                <w:szCs w:val="11"/>
                <w:color w:val="auto"/>
              </w:rPr>
            </w:pPr>
          </w:p>
        </w:tc>
        <w:tc>
          <w:tcPr>
            <w:tcW w:w="3160" w:type="dxa"/>
            <w:vAlign w:val="bottom"/>
            <w:vMerge w:val="continue"/>
          </w:tcPr>
          <w:p>
            <w:pPr>
              <w:spacing w:after="0"/>
              <w:rPr>
                <w:sz w:val="11"/>
                <w:szCs w:val="11"/>
                <w:color w:val="auto"/>
              </w:rPr>
            </w:pPr>
          </w:p>
        </w:tc>
        <w:tc>
          <w:tcPr>
            <w:tcW w:w="3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tcBorders>
              <w:top w:val="single" w:sz="8" w:color="auto"/>
            </w:tcBorders>
          </w:tcPr>
          <w:p>
            <w:pPr>
              <w:jc w:val="right"/>
              <w:ind w:right="534"/>
              <w:spacing w:after="0" w:line="138" w:lineRule="exact"/>
              <w:rPr>
                <w:sz w:val="20"/>
                <w:szCs w:val="20"/>
                <w:color w:val="auto"/>
              </w:rPr>
            </w:pPr>
            <w:r>
              <w:rPr>
                <w:rFonts w:ascii="Calibri" w:cs="Calibri" w:eastAsia="Calibri" w:hAnsi="Calibri"/>
                <w:sz w:val="12"/>
                <w:szCs w:val="12"/>
                <w:b w:val="1"/>
                <w:bCs w:val="1"/>
                <w:color w:val="auto"/>
              </w:rPr>
              <w:t>2023</w:t>
            </w:r>
          </w:p>
        </w:tc>
        <w:tc>
          <w:tcPr>
            <w:tcW w:w="2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ind w:right="507"/>
              <w:spacing w:after="0" w:line="138" w:lineRule="exact"/>
              <w:rPr>
                <w:sz w:val="20"/>
                <w:szCs w:val="20"/>
                <w:color w:val="auto"/>
              </w:rPr>
            </w:pPr>
            <w:r>
              <w:rPr>
                <w:rFonts w:ascii="Calibri" w:cs="Calibri" w:eastAsia="Calibri" w:hAnsi="Calibri"/>
                <w:sz w:val="12"/>
                <w:szCs w:val="12"/>
                <w:b w:val="1"/>
                <w:bCs w:val="1"/>
                <w:color w:val="auto"/>
              </w:rPr>
              <w:t>2022</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560" w:type="dxa"/>
            <w:vAlign w:val="bottom"/>
          </w:tcPr>
          <w:p>
            <w:pPr>
              <w:spacing w:after="0"/>
              <w:rPr>
                <w:sz w:val="15"/>
                <w:szCs w:val="15"/>
                <w:color w:val="auto"/>
              </w:rPr>
            </w:pPr>
          </w:p>
        </w:tc>
        <w:tc>
          <w:tcPr>
            <w:tcW w:w="3160" w:type="dxa"/>
            <w:vAlign w:val="bottom"/>
            <w:tcBorders>
              <w:bottom w:val="single" w:sz="8" w:color="CFF0FC"/>
            </w:tcBorders>
            <w:shd w:val="clear" w:color="auto" w:fill="CFF0FC"/>
          </w:tcPr>
          <w:p>
            <w:pPr>
              <w:spacing w:after="0" w:line="174" w:lineRule="exact"/>
              <w:rPr>
                <w:sz w:val="20"/>
                <w:szCs w:val="20"/>
                <w:color w:val="auto"/>
              </w:rPr>
            </w:pPr>
            <w:r>
              <w:rPr>
                <w:rFonts w:ascii="Calibri" w:cs="Calibri" w:eastAsia="Calibri" w:hAnsi="Calibri"/>
                <w:sz w:val="15"/>
                <w:szCs w:val="15"/>
                <w:color w:val="auto"/>
              </w:rPr>
              <w:t>United States</w:t>
            </w:r>
          </w:p>
        </w:tc>
        <w:tc>
          <w:tcPr>
            <w:tcW w:w="5200" w:type="dxa"/>
            <w:vAlign w:val="bottom"/>
            <w:tcBorders>
              <w:bottom w:val="single" w:sz="8" w:color="CFF0FC"/>
            </w:tcBorders>
            <w:gridSpan w:val="3"/>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24,318</w:t>
            </w:r>
          </w:p>
        </w:tc>
        <w:tc>
          <w:tcPr>
            <w:tcW w:w="260" w:type="dxa"/>
            <w:vAlign w:val="bottom"/>
            <w:tcBorders>
              <w:bottom w:val="single" w:sz="8" w:color="CFF0FC"/>
            </w:tcBorders>
            <w:shd w:val="clear" w:color="auto" w:fill="CFF0FC"/>
          </w:tcPr>
          <w:p>
            <w:pPr>
              <w:spacing w:after="0"/>
              <w:rPr>
                <w:sz w:val="15"/>
                <w:szCs w:val="15"/>
                <w:color w:val="auto"/>
              </w:rPr>
            </w:pPr>
          </w:p>
        </w:tc>
        <w:tc>
          <w:tcPr>
            <w:tcW w:w="460" w:type="dxa"/>
            <w:vAlign w:val="bottom"/>
            <w:tcBorders>
              <w:bottom w:val="single" w:sz="8" w:color="CFF0FC"/>
            </w:tcBorders>
            <w:shd w:val="clear" w:color="auto" w:fill="CFF0FC"/>
          </w:tcPr>
          <w:p>
            <w:pPr>
              <w:spacing w:after="0"/>
              <w:rPr>
                <w:sz w:val="15"/>
                <w:szCs w:val="15"/>
                <w:color w:val="auto"/>
              </w:rPr>
            </w:pPr>
          </w:p>
        </w:tc>
        <w:tc>
          <w:tcPr>
            <w:tcW w:w="960" w:type="dxa"/>
            <w:vAlign w:val="bottom"/>
            <w:tcBorders>
              <w:bottom w:val="single" w:sz="8" w:color="CFF0FC"/>
            </w:tcBorders>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24,567</w:t>
            </w:r>
          </w:p>
        </w:tc>
        <w:tc>
          <w:tcPr>
            <w:tcW w:w="100" w:type="dxa"/>
            <w:vAlign w:val="bottom"/>
            <w:tcBorders>
              <w:bottom w:val="single" w:sz="8" w:color="CFF0FC"/>
            </w:tcBorders>
            <w:shd w:val="clear" w:color="auto" w:fill="CFF0FC"/>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560" w:type="dxa"/>
            <w:vAlign w:val="bottom"/>
          </w:tcPr>
          <w:p>
            <w:pPr>
              <w:spacing w:after="0"/>
              <w:rPr>
                <w:sz w:val="17"/>
                <w:szCs w:val="17"/>
                <w:color w:val="auto"/>
              </w:rPr>
            </w:pPr>
          </w:p>
        </w:tc>
        <w:tc>
          <w:tcPr>
            <w:tcW w:w="3160" w:type="dxa"/>
            <w:vAlign w:val="bottom"/>
          </w:tcPr>
          <w:p>
            <w:pPr>
              <w:spacing w:after="0"/>
              <w:rPr>
                <w:sz w:val="20"/>
                <w:szCs w:val="20"/>
                <w:color w:val="auto"/>
              </w:rPr>
            </w:pPr>
            <w:r>
              <w:rPr>
                <w:rFonts w:ascii="Calibri" w:cs="Calibri" w:eastAsia="Calibri" w:hAnsi="Calibri"/>
                <w:sz w:val="15"/>
                <w:szCs w:val="15"/>
                <w:color w:val="auto"/>
              </w:rPr>
              <w:t>Internatonal</w:t>
            </w:r>
          </w:p>
        </w:tc>
        <w:tc>
          <w:tcPr>
            <w:tcW w:w="3760" w:type="dxa"/>
            <w:vAlign w:val="bottom"/>
            <w:gridSpan w:val="2"/>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Calibri" w:cs="Calibri" w:eastAsia="Calibri" w:hAnsi="Calibri"/>
                <w:sz w:val="15"/>
                <w:szCs w:val="15"/>
                <w:color w:val="auto"/>
              </w:rPr>
              <w:t>6,617</w:t>
            </w:r>
          </w:p>
        </w:tc>
        <w:tc>
          <w:tcPr>
            <w:tcW w:w="26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Calibri" w:cs="Calibri" w:eastAsia="Calibri" w:hAnsi="Calibri"/>
                <w:sz w:val="15"/>
                <w:szCs w:val="15"/>
                <w:color w:val="auto"/>
              </w:rPr>
              <w:t>6,740</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560" w:type="dxa"/>
            <w:vAlign w:val="bottom"/>
          </w:tcPr>
          <w:p>
            <w:pPr>
              <w:spacing w:after="0"/>
              <w:rPr>
                <w:sz w:val="16"/>
                <w:szCs w:val="16"/>
                <w:color w:val="auto"/>
              </w:rPr>
            </w:pPr>
          </w:p>
        </w:tc>
        <w:tc>
          <w:tcPr>
            <w:tcW w:w="3160" w:type="dxa"/>
            <w:vAlign w:val="bottom"/>
            <w:tcBorders>
              <w:bottom w:val="single" w:sz="8" w:color="CFF0FC"/>
            </w:tcBorders>
            <w:shd w:val="clear" w:color="auto" w:fill="CFF0FC"/>
          </w:tcPr>
          <w:p>
            <w:pPr>
              <w:ind w:left="160"/>
              <w:spacing w:after="0"/>
              <w:rPr>
                <w:sz w:val="20"/>
                <w:szCs w:val="20"/>
                <w:color w:val="auto"/>
              </w:rPr>
            </w:pPr>
            <w:r>
              <w:rPr>
                <w:rFonts w:ascii="Calibri" w:cs="Calibri" w:eastAsia="Calibri" w:hAnsi="Calibri"/>
                <w:sz w:val="15"/>
                <w:szCs w:val="15"/>
                <w:color w:val="auto"/>
              </w:rPr>
              <w:t>Total</w:t>
            </w:r>
          </w:p>
        </w:tc>
        <w:tc>
          <w:tcPr>
            <w:tcW w:w="5200" w:type="dxa"/>
            <w:vAlign w:val="bottom"/>
            <w:tcBorders>
              <w:bottom w:val="single" w:sz="8" w:color="CFF0FC"/>
            </w:tcBorders>
            <w:gridSpan w:val="3"/>
            <w:shd w:val="clear" w:color="auto" w:fill="CFF0FC"/>
          </w:tcPr>
          <w:p>
            <w:pPr>
              <w:jc w:val="right"/>
              <w:spacing w:after="0"/>
              <w:rPr>
                <w:sz w:val="20"/>
                <w:szCs w:val="20"/>
                <w:color w:val="auto"/>
              </w:rPr>
            </w:pPr>
            <w:r>
              <w:rPr>
                <w:rFonts w:ascii="Calibri" w:cs="Calibri" w:eastAsia="Calibri" w:hAnsi="Calibri"/>
                <w:sz w:val="15"/>
                <w:szCs w:val="15"/>
                <w:color w:val="auto"/>
              </w:rPr>
              <w:t>30,935</w:t>
            </w:r>
          </w:p>
        </w:tc>
        <w:tc>
          <w:tcPr>
            <w:tcW w:w="260" w:type="dxa"/>
            <w:vAlign w:val="bottom"/>
            <w:tcBorders>
              <w:bottom w:val="single" w:sz="8" w:color="CFF0FC"/>
            </w:tcBorders>
            <w:shd w:val="clear" w:color="auto" w:fill="CFF0FC"/>
          </w:tcPr>
          <w:p>
            <w:pPr>
              <w:spacing w:after="0"/>
              <w:rPr>
                <w:sz w:val="16"/>
                <w:szCs w:val="16"/>
                <w:color w:val="auto"/>
              </w:rPr>
            </w:pPr>
          </w:p>
        </w:tc>
        <w:tc>
          <w:tcPr>
            <w:tcW w:w="460" w:type="dxa"/>
            <w:vAlign w:val="bottom"/>
            <w:tcBorders>
              <w:bottom w:val="single" w:sz="8" w:color="CFF0FC"/>
            </w:tcBorders>
            <w:shd w:val="clear" w:color="auto" w:fill="CFF0FC"/>
          </w:tcPr>
          <w:p>
            <w:pPr>
              <w:spacing w:after="0"/>
              <w:rPr>
                <w:sz w:val="16"/>
                <w:szCs w:val="16"/>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31,307</w:t>
            </w:r>
          </w:p>
        </w:tc>
        <w:tc>
          <w:tcPr>
            <w:tcW w:w="100" w:type="dxa"/>
            <w:vAlign w:val="bottom"/>
            <w:tcBorders>
              <w:bottom w:val="single" w:sz="8" w:color="CFF0FC"/>
            </w:tcBorders>
            <w:shd w:val="clear" w:color="auto" w:fill="CFF0FC"/>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3"/>
        </w:trPr>
        <w:tc>
          <w:tcPr>
            <w:tcW w:w="5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600" w:type="dxa"/>
            <w:vAlign w:val="bottom"/>
          </w:tcPr>
          <w:p>
            <w:pPr>
              <w:jc w:val="right"/>
              <w:ind w:right="1543"/>
              <w:spacing w:after="0"/>
              <w:rPr>
                <w:sz w:val="20"/>
                <w:szCs w:val="20"/>
                <w:color w:val="auto"/>
              </w:rPr>
            </w:pPr>
            <w:r>
              <w:rPr>
                <w:rFonts w:ascii="Calibri" w:cs="Calibri" w:eastAsia="Calibri" w:hAnsi="Calibri"/>
                <w:sz w:val="15"/>
                <w:szCs w:val="15"/>
                <w:color w:val="auto"/>
              </w:rPr>
              <w:t>50</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7"/>
        </w:trPr>
        <w:tc>
          <w:tcPr>
            <w:tcW w:w="56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-26670</wp:posOffset>
            </wp:positionV>
            <wp:extent cx="33020" cy="400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1134" w:right="319" w:bottom="1440" w:gutter="0" w:footer="0" w:header="0"/>
        </w:sectPr>
      </w:pPr>
    </w:p>
    <w:bookmarkStart w:id="52" w:name="page53"/>
    <w:bookmarkEnd w:id="52"/>
    <w:p>
      <w:pPr>
        <w:spacing w:after="0"/>
        <w:rPr>
          <w:sz w:val="20"/>
          <w:szCs w:val="20"/>
          <w:color w:val="auto"/>
        </w:rPr>
      </w:pPr>
      <w:r>
        <w:rPr>
          <w:rFonts w:ascii="Calibri" w:cs="Calibri" w:eastAsia="Calibri" w:hAnsi="Calibri"/>
          <w:sz w:val="15"/>
          <w:szCs w:val="15"/>
          <w:b w:val="1"/>
          <w:bCs w:val="1"/>
          <w:i w:val="1"/>
          <w:iCs w:val="1"/>
          <w:color w:val="auto"/>
        </w:rPr>
        <w:t>Transactons</w:t>
      </w:r>
    </w:p>
    <w:p>
      <w:pPr>
        <w:spacing w:after="0" w:line="185" w:lineRule="exact"/>
        <w:rPr>
          <w:sz w:val="20"/>
          <w:szCs w:val="20"/>
          <w:color w:val="auto"/>
        </w:rPr>
      </w:pPr>
    </w:p>
    <w:p>
      <w:pPr>
        <w:jc w:val="both"/>
        <w:ind w:firstLine="511"/>
        <w:spacing w:after="0" w:line="302" w:lineRule="auto"/>
        <w:rPr>
          <w:sz w:val="20"/>
          <w:szCs w:val="20"/>
          <w:color w:val="auto"/>
        </w:rPr>
      </w:pPr>
      <w:r>
        <w:rPr>
          <w:rFonts w:ascii="MS PGothic" w:cs="MS PGothic" w:eastAsia="MS PGothic" w:hAnsi="MS PGothic"/>
          <w:sz w:val="15"/>
          <w:szCs w:val="15"/>
          <w:color w:val="auto"/>
        </w:rPr>
        <w:t>We defne Transactons within the Digital Wholesale segment as the number of vehicles processed from car dealers, consumers, and other marketplaces through the CarOfer website within the applicable period. Transactons consists of each unique vehicle (based on vehicle identfcaton number) that reaches "sold and invoiced" status on the CarOfer website within the applicable period, including vehicles sold to car dealers, vehicles sold at third-party auctons, vehicles ultmately sold to a diferent buyer, and vehicles that are returned to their owners without completon of a sale transacton. We exclude vehicles processed within CarOfer's intra-group trading soluton (Group Trade) from the defniton of Transactons, and we only count any unique vehicle once even if it reaches sold status multple tmes. Digital Wholesale includes Dealer-to-Dealer transactons and IMCO transactons. We view Transactons as a key business metric, and we believe it provides useful informaton to investors, because it provides insight into growth and revenue for the Digital Wholesale segment. Transactons drive a signifcant porton of Digital Wholesale segment revenue. We believe growth in Transactons demonstrates consumer and dealer utlizaton and our market share penetraton in the Digital Wholesale segment.</w:t>
      </w:r>
    </w:p>
    <w:p>
      <w:pPr>
        <w:spacing w:after="0" w:line="164" w:lineRule="exact"/>
        <w:rPr>
          <w:sz w:val="20"/>
          <w:szCs w:val="20"/>
          <w:color w:val="auto"/>
        </w:rPr>
      </w:pPr>
    </w:p>
    <w:tbl>
      <w:tblPr>
        <w:tblLayout w:type="fixed"/>
        <w:tblInd w:w="560" w:type="dxa"/>
        <w:tblCellMar>
          <w:top w:w="0" w:type="dxa"/>
          <w:left w:w="0" w:type="dxa"/>
          <w:bottom w:w="0" w:type="dxa"/>
          <w:right w:w="0" w:type="dxa"/>
        </w:tblCellMar>
      </w:tblPr>
      <w:tr>
        <w:trPr>
          <w:trHeight w:val="146"/>
        </w:trPr>
        <w:tc>
          <w:tcPr>
            <w:tcW w:w="6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40" w:type="dxa"/>
            <w:vAlign w:val="bottom"/>
            <w:gridSpan w:val="3"/>
          </w:tcPr>
          <w:p>
            <w:pPr>
              <w:ind w:left="900"/>
              <w:spacing w:after="0"/>
              <w:rPr>
                <w:sz w:val="20"/>
                <w:szCs w:val="20"/>
                <w:color w:val="auto"/>
              </w:rPr>
            </w:pPr>
            <w:r>
              <w:rPr>
                <w:rFonts w:ascii="Calibri" w:cs="Calibri" w:eastAsia="Calibri" w:hAnsi="Calibri"/>
                <w:sz w:val="12"/>
                <w:szCs w:val="12"/>
                <w:b w:val="1"/>
                <w:bCs w:val="1"/>
                <w:color w:val="auto"/>
              </w:rPr>
              <w:t>Year Ended December 31,</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6920" w:type="dxa"/>
            <w:vAlign w:val="bottom"/>
            <w:gridSpan w:val="2"/>
            <w:vMerge w:val="restart"/>
          </w:tcPr>
          <w:p>
            <w:pPr>
              <w:spacing w:after="0"/>
              <w:rPr>
                <w:sz w:val="20"/>
                <w:szCs w:val="20"/>
                <w:color w:val="auto"/>
              </w:rPr>
            </w:pPr>
            <w:r>
              <w:rPr>
                <w:rFonts w:ascii="Calibri" w:cs="Calibri" w:eastAsia="Calibri" w:hAnsi="Calibri"/>
                <w:sz w:val="12"/>
                <w:szCs w:val="12"/>
                <w:b w:val="1"/>
                <w:bCs w:val="1"/>
                <w:color w:val="auto"/>
              </w:rPr>
              <w:t>Transactons</w:t>
            </w:r>
          </w:p>
        </w:tc>
        <w:tc>
          <w:tcPr>
            <w:tcW w:w="1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6920" w:type="dxa"/>
            <w:vAlign w:val="bottom"/>
            <w:gridSpan w:val="2"/>
            <w:vMerge w:val="continue"/>
          </w:tcPr>
          <w:p>
            <w:pPr>
              <w:spacing w:after="0"/>
              <w:rPr>
                <w:sz w:val="11"/>
                <w:szCs w:val="11"/>
                <w:color w:val="auto"/>
              </w:rPr>
            </w:pPr>
          </w:p>
        </w:tc>
        <w:tc>
          <w:tcPr>
            <w:tcW w:w="1440" w:type="dxa"/>
            <w:vAlign w:val="bottom"/>
          </w:tcPr>
          <w:p>
            <w:pPr>
              <w:jc w:val="right"/>
              <w:ind w:right="534"/>
              <w:spacing w:after="0" w:line="138" w:lineRule="exact"/>
              <w:rPr>
                <w:sz w:val="20"/>
                <w:szCs w:val="20"/>
                <w:color w:val="auto"/>
              </w:rPr>
            </w:pPr>
            <w:r>
              <w:rPr>
                <w:rFonts w:ascii="Calibri" w:cs="Calibri" w:eastAsia="Calibri" w:hAnsi="Calibri"/>
                <w:sz w:val="12"/>
                <w:szCs w:val="12"/>
                <w:b w:val="1"/>
                <w:bCs w:val="1"/>
                <w:color w:val="auto"/>
              </w:rPr>
              <w:t>2023</w:t>
            </w: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jc w:val="right"/>
              <w:ind w:right="511"/>
              <w:spacing w:after="0" w:line="138" w:lineRule="exact"/>
              <w:rPr>
                <w:sz w:val="20"/>
                <w:szCs w:val="20"/>
                <w:color w:val="auto"/>
              </w:rPr>
            </w:pPr>
            <w:r>
              <w:rPr>
                <w:rFonts w:ascii="Calibri" w:cs="Calibri" w:eastAsia="Calibri" w:hAnsi="Calibri"/>
                <w:sz w:val="12"/>
                <w:szCs w:val="12"/>
                <w:b w:val="1"/>
                <w:bCs w:val="1"/>
                <w:color w:val="auto"/>
              </w:rPr>
              <w:t>2022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6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6920" w:type="dxa"/>
            <w:vAlign w:val="bottom"/>
            <w:gridSpan w:val="2"/>
            <w:shd w:val="clear" w:color="auto" w:fill="CFF0FC"/>
          </w:tcPr>
          <w:p>
            <w:pPr>
              <w:spacing w:after="0"/>
              <w:rPr>
                <w:sz w:val="20"/>
                <w:szCs w:val="20"/>
                <w:color w:val="auto"/>
              </w:rPr>
            </w:pPr>
            <w:r>
              <w:rPr>
                <w:rFonts w:ascii="MS PGothic" w:cs="MS PGothic" w:eastAsia="MS PGothic" w:hAnsi="MS PGothic"/>
                <w:sz w:val="15"/>
                <w:szCs w:val="15"/>
                <w:color w:val="auto"/>
              </w:rPr>
              <w:t>Transactons</w:t>
            </w:r>
          </w:p>
        </w:tc>
        <w:tc>
          <w:tcPr>
            <w:tcW w:w="1440" w:type="dxa"/>
            <w:vAlign w:val="bottom"/>
            <w:shd w:val="clear" w:color="auto" w:fill="CFF0FC"/>
          </w:tcPr>
          <w:p>
            <w:pPr>
              <w:jc w:val="right"/>
              <w:spacing w:after="0"/>
              <w:rPr>
                <w:sz w:val="20"/>
                <w:szCs w:val="20"/>
                <w:color w:val="auto"/>
              </w:rPr>
            </w:pPr>
            <w:r>
              <w:rPr>
                <w:rFonts w:ascii="MS PGothic" w:cs="MS PGothic" w:eastAsia="MS PGothic" w:hAnsi="MS PGothic"/>
                <w:sz w:val="15"/>
                <w:szCs w:val="15"/>
                <w:color w:val="auto"/>
              </w:rPr>
              <w:t>65,418</w:t>
            </w:r>
          </w:p>
        </w:tc>
        <w:tc>
          <w:tcPr>
            <w:tcW w:w="2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MS PGothic" w:cs="MS PGothic" w:eastAsia="MS PGothic" w:hAnsi="MS PGothic"/>
                <w:sz w:val="15"/>
                <w:szCs w:val="15"/>
                <w:color w:val="auto"/>
              </w:rPr>
              <w:t>190,594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676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44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540" w:type="dxa"/>
            <w:vAlign w:val="bottom"/>
            <w:shd w:val="clear" w:color="auto" w:fill="CFF0FC"/>
          </w:tcPr>
          <w:p>
            <w:pPr>
              <w:spacing w:after="0"/>
              <w:rPr>
                <w:sz w:val="2"/>
                <w:szCs w:val="2"/>
                <w:color w:val="auto"/>
              </w:rPr>
            </w:pPr>
          </w:p>
        </w:tc>
        <w:tc>
          <w:tcPr>
            <w:tcW w:w="8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Calibri" w:cs="Calibri" w:eastAsia="Calibri" w:hAnsi="Calibri"/>
          <w:sz w:val="15"/>
          <w:szCs w:val="15"/>
          <w:b w:val="1"/>
          <w:bCs w:val="1"/>
          <w:i w:val="1"/>
          <w:iCs w:val="1"/>
          <w:color w:val="auto"/>
        </w:rPr>
        <w:t>Quarterly Average Revenue per Subscribing Dealer (QARSD)</w:t>
      </w:r>
    </w:p>
    <w:p>
      <w:pPr>
        <w:spacing w:after="0" w:line="185" w:lineRule="exact"/>
        <w:rPr>
          <w:sz w:val="20"/>
          <w:szCs w:val="20"/>
          <w:color w:val="auto"/>
        </w:rPr>
      </w:pPr>
    </w:p>
    <w:p>
      <w:pPr>
        <w:jc w:val="both"/>
        <w:ind w:firstLine="511"/>
        <w:spacing w:after="0" w:line="303" w:lineRule="auto"/>
        <w:rPr>
          <w:sz w:val="20"/>
          <w:szCs w:val="20"/>
          <w:color w:val="auto"/>
        </w:rPr>
      </w:pPr>
      <w:r>
        <w:rPr>
          <w:rFonts w:ascii="MS PGothic" w:cs="MS PGothic" w:eastAsia="MS PGothic" w:hAnsi="MS PGothic"/>
          <w:sz w:val="15"/>
          <w:szCs w:val="15"/>
          <w:color w:val="auto"/>
        </w:rPr>
        <w:t>We defne QARSD, which is measured at the end of a fscal quarter, as the marketplace revenue primarily from subscriptons to our Listngs packages, RPM, our digital advertsing suite, and other digital add-on products during that trailing quarter divided by the average number of paying dealers in that marketplace during the quarter. We calculate the average number of paying dealers for a period by adding the number of paying dealers at the end of such period and the end of the prior period and dividing by two. This informaton is important to us, and we believe it provides useful informaton to investors, because we believe that our ability to grow QARSD is an indicator of the value propositon of our products and the ROI that our paying dealers realize from our products. In additon, increases in QARSD, which we believe refect the value of exposure to our engaged audience in relaton to subscripton cost, are driven in part by our ability to grow the volume of connectons to our users and the quality of those connectons, which result in increased opportunity to upsell package levels and cross-sell additonal products to our paying dealers.</w:t>
      </w:r>
    </w:p>
    <w:p>
      <w:pPr>
        <w:spacing w:after="0" w:line="164" w:lineRule="exact"/>
        <w:rPr>
          <w:sz w:val="20"/>
          <w:szCs w:val="20"/>
          <w:color w:val="auto"/>
        </w:rPr>
      </w:pPr>
    </w:p>
    <w:tbl>
      <w:tblPr>
        <w:tblLayout w:type="fixed"/>
        <w:tblInd w:w="560" w:type="dxa"/>
        <w:tblCellMar>
          <w:top w:w="0" w:type="dxa"/>
          <w:left w:w="0" w:type="dxa"/>
          <w:bottom w:w="0" w:type="dxa"/>
          <w:right w:w="0" w:type="dxa"/>
        </w:tblCellMar>
      </w:tblPr>
      <w:tr>
        <w:trPr>
          <w:trHeight w:val="146"/>
        </w:trPr>
        <w:tc>
          <w:tcPr>
            <w:tcW w:w="6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20" w:type="dxa"/>
            <w:vAlign w:val="bottom"/>
            <w:gridSpan w:val="3"/>
          </w:tcPr>
          <w:p>
            <w:pPr>
              <w:ind w:left="120"/>
              <w:spacing w:after="0"/>
              <w:rPr>
                <w:sz w:val="20"/>
                <w:szCs w:val="20"/>
                <w:color w:val="auto"/>
              </w:rPr>
            </w:pPr>
            <w:r>
              <w:rPr>
                <w:rFonts w:ascii="Calibri" w:cs="Calibri" w:eastAsia="Calibri" w:hAnsi="Calibri"/>
                <w:sz w:val="12"/>
                <w:szCs w:val="12"/>
                <w:b w:val="1"/>
                <w:bCs w:val="1"/>
                <w:color w:val="auto"/>
              </w:rPr>
              <w:t>As of December 31,</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6940" w:type="dxa"/>
            <w:vAlign w:val="bottom"/>
            <w:gridSpan w:val="2"/>
            <w:vMerge w:val="restart"/>
          </w:tcPr>
          <w:p>
            <w:pPr>
              <w:spacing w:after="0"/>
              <w:rPr>
                <w:sz w:val="20"/>
                <w:szCs w:val="20"/>
                <w:color w:val="auto"/>
              </w:rPr>
            </w:pPr>
            <w:r>
              <w:rPr>
                <w:rFonts w:ascii="Calibri" w:cs="Calibri" w:eastAsia="Calibri" w:hAnsi="Calibri"/>
                <w:sz w:val="12"/>
                <w:szCs w:val="12"/>
                <w:b w:val="1"/>
                <w:bCs w:val="1"/>
                <w:color w:val="auto"/>
              </w:rPr>
              <w:t>Quarterly Average Revenue per Subscribing Dealer (QARSD)</w:t>
            </w: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6940" w:type="dxa"/>
            <w:vAlign w:val="bottom"/>
            <w:gridSpan w:val="2"/>
            <w:vMerge w:val="continue"/>
          </w:tcPr>
          <w:p>
            <w:pPr>
              <w:spacing w:after="0"/>
              <w:rPr>
                <w:sz w:val="11"/>
                <w:szCs w:val="11"/>
                <w:color w:val="auto"/>
              </w:rPr>
            </w:pPr>
          </w:p>
        </w:tc>
        <w:tc>
          <w:tcPr>
            <w:tcW w:w="940" w:type="dxa"/>
            <w:vAlign w:val="bottom"/>
          </w:tcPr>
          <w:p>
            <w:pPr>
              <w:jc w:val="right"/>
              <w:ind w:right="27"/>
              <w:spacing w:after="0" w:line="138" w:lineRule="exact"/>
              <w:rPr>
                <w:sz w:val="20"/>
                <w:szCs w:val="20"/>
                <w:color w:val="auto"/>
              </w:rPr>
            </w:pPr>
            <w:r>
              <w:rPr>
                <w:rFonts w:ascii="Calibri" w:cs="Calibri" w:eastAsia="Calibri" w:hAnsi="Calibri"/>
                <w:sz w:val="12"/>
                <w:szCs w:val="12"/>
                <w:b w:val="1"/>
                <w:bCs w:val="1"/>
                <w:color w:val="auto"/>
              </w:rPr>
              <w:t>2023</w:t>
            </w: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40" w:type="dxa"/>
            <w:vAlign w:val="bottom"/>
          </w:tcPr>
          <w:p>
            <w:pPr>
              <w:jc w:val="right"/>
              <w:ind w:right="507"/>
              <w:spacing w:after="0" w:line="138" w:lineRule="exact"/>
              <w:rPr>
                <w:sz w:val="20"/>
                <w:szCs w:val="20"/>
                <w:color w:val="auto"/>
              </w:rPr>
            </w:pPr>
            <w:r>
              <w:rPr>
                <w:rFonts w:ascii="Calibri" w:cs="Calibri" w:eastAsia="Calibri" w:hAnsi="Calibri"/>
                <w:sz w:val="12"/>
                <w:szCs w:val="12"/>
                <w:b w:val="1"/>
                <w:bCs w:val="1"/>
                <w:color w:val="auto"/>
              </w:rPr>
              <w:t>2022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67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6940" w:type="dxa"/>
            <w:vAlign w:val="bottom"/>
            <w:tcBorders>
              <w:bottom w:val="single" w:sz="8" w:color="CFF0FC"/>
            </w:tcBorders>
            <w:gridSpan w:val="2"/>
            <w:shd w:val="clear" w:color="auto" w:fill="CFF0FC"/>
          </w:tcPr>
          <w:p>
            <w:pPr>
              <w:spacing w:after="0"/>
              <w:rPr>
                <w:sz w:val="20"/>
                <w:szCs w:val="20"/>
                <w:color w:val="auto"/>
              </w:rPr>
            </w:pPr>
            <w:r>
              <w:rPr>
                <w:rFonts w:ascii="MS PGothic" w:cs="MS PGothic" w:eastAsia="MS PGothic" w:hAnsi="MS PGothic"/>
                <w:sz w:val="15"/>
                <w:szCs w:val="15"/>
                <w:color w:val="auto"/>
              </w:rPr>
              <w:t>United States</w:t>
            </w:r>
          </w:p>
        </w:tc>
        <w:tc>
          <w:tcPr>
            <w:tcW w:w="940" w:type="dxa"/>
            <w:vAlign w:val="bottom"/>
            <w:tcBorders>
              <w:bottom w:val="single" w:sz="8" w:color="CFF0FC"/>
            </w:tcBorders>
            <w:shd w:val="clear" w:color="auto" w:fill="CFF0FC"/>
          </w:tcPr>
          <w:p>
            <w:pPr>
              <w:jc w:val="right"/>
              <w:ind w:right="767"/>
              <w:spacing w:after="0"/>
              <w:rPr>
                <w:sz w:val="20"/>
                <w:szCs w:val="20"/>
                <w:color w:val="auto"/>
              </w:rPr>
            </w:pPr>
            <w:r>
              <w:rPr>
                <w:rFonts w:ascii="MS PGothic" w:cs="MS PGothic" w:eastAsia="MS PGothic" w:hAnsi="MS PGothic"/>
                <w:sz w:val="15"/>
                <w:szCs w:val="15"/>
                <w:color w:val="auto"/>
              </w:rPr>
              <w:t>$</w:t>
            </w:r>
          </w:p>
        </w:tc>
        <w:tc>
          <w:tcPr>
            <w:tcW w:w="480" w:type="dxa"/>
            <w:vAlign w:val="bottom"/>
            <w:tcBorders>
              <w:bottom w:val="single" w:sz="8" w:color="CFF0FC"/>
            </w:tcBorders>
            <w:shd w:val="clear" w:color="auto" w:fill="CFF0FC"/>
          </w:tcPr>
          <w:p>
            <w:pPr>
              <w:ind w:left="120"/>
              <w:spacing w:after="0"/>
              <w:rPr>
                <w:sz w:val="20"/>
                <w:szCs w:val="20"/>
                <w:color w:val="auto"/>
              </w:rPr>
            </w:pPr>
            <w:r>
              <w:rPr>
                <w:rFonts w:ascii="MS PGothic" w:cs="MS PGothic" w:eastAsia="MS PGothic" w:hAnsi="MS PGothic"/>
                <w:sz w:val="15"/>
                <w:szCs w:val="15"/>
                <w:color w:val="auto"/>
              </w:rPr>
              <w:t>6,532</w:t>
            </w:r>
          </w:p>
        </w:tc>
        <w:tc>
          <w:tcPr>
            <w:tcW w:w="740" w:type="dxa"/>
            <w:vAlign w:val="bottom"/>
            <w:tcBorders>
              <w:bottom w:val="single" w:sz="8" w:color="CFF0FC"/>
            </w:tcBorders>
            <w:gridSpan w:val="2"/>
            <w:shd w:val="clear" w:color="auto" w:fill="CFF0FC"/>
          </w:tcPr>
          <w:p>
            <w:pPr>
              <w:jc w:val="right"/>
              <w:ind w:right="360"/>
              <w:spacing w:after="0"/>
              <w:rPr>
                <w:sz w:val="20"/>
                <w:szCs w:val="20"/>
                <w:color w:val="auto"/>
              </w:rPr>
            </w:pPr>
            <w:r>
              <w:rPr>
                <w:rFonts w:ascii="MS PGothic" w:cs="MS PGothic" w:eastAsia="MS PGothic" w:hAnsi="MS PGothic"/>
                <w:sz w:val="15"/>
                <w:szCs w:val="15"/>
                <w:color w:val="auto"/>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MS PGothic" w:cs="MS PGothic" w:eastAsia="MS PGothic" w:hAnsi="MS PGothic"/>
                <w:sz w:val="15"/>
                <w:szCs w:val="15"/>
                <w:color w:val="auto"/>
              </w:rPr>
              <w:t>5,842</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940" w:type="dxa"/>
            <w:vAlign w:val="bottom"/>
            <w:gridSpan w:val="2"/>
          </w:tcPr>
          <w:p>
            <w:pPr>
              <w:spacing w:after="0"/>
              <w:rPr>
                <w:sz w:val="20"/>
                <w:szCs w:val="20"/>
                <w:color w:val="auto"/>
              </w:rPr>
            </w:pPr>
            <w:r>
              <w:rPr>
                <w:rFonts w:ascii="MS PGothic" w:cs="MS PGothic" w:eastAsia="MS PGothic" w:hAnsi="MS PGothic"/>
                <w:sz w:val="15"/>
                <w:szCs w:val="15"/>
                <w:color w:val="auto"/>
              </w:rPr>
              <w:t>Internatonal</w:t>
            </w:r>
          </w:p>
        </w:tc>
        <w:tc>
          <w:tcPr>
            <w:tcW w:w="940" w:type="dxa"/>
            <w:vAlign w:val="bottom"/>
          </w:tcPr>
          <w:p>
            <w:pPr>
              <w:jc w:val="right"/>
              <w:ind w:right="767"/>
              <w:spacing w:after="0"/>
              <w:rPr>
                <w:sz w:val="20"/>
                <w:szCs w:val="20"/>
                <w:color w:val="auto"/>
              </w:rPr>
            </w:pPr>
            <w:r>
              <w:rPr>
                <w:rFonts w:ascii="MS PGothic" w:cs="MS PGothic" w:eastAsia="MS PGothic" w:hAnsi="MS PGothic"/>
                <w:sz w:val="15"/>
                <w:szCs w:val="15"/>
                <w:color w:val="auto"/>
              </w:rPr>
              <w:t>$</w:t>
            </w:r>
          </w:p>
        </w:tc>
        <w:tc>
          <w:tcPr>
            <w:tcW w:w="480" w:type="dxa"/>
            <w:vAlign w:val="bottom"/>
          </w:tcPr>
          <w:p>
            <w:pPr>
              <w:ind w:left="120"/>
              <w:spacing w:after="0"/>
              <w:rPr>
                <w:sz w:val="20"/>
                <w:szCs w:val="20"/>
                <w:color w:val="auto"/>
              </w:rPr>
            </w:pPr>
            <w:r>
              <w:rPr>
                <w:rFonts w:ascii="MS PGothic" w:cs="MS PGothic" w:eastAsia="MS PGothic" w:hAnsi="MS PGothic"/>
                <w:sz w:val="15"/>
                <w:szCs w:val="15"/>
                <w:color w:val="auto"/>
              </w:rPr>
              <w:t>1,773</w:t>
            </w:r>
          </w:p>
        </w:tc>
        <w:tc>
          <w:tcPr>
            <w:tcW w:w="740" w:type="dxa"/>
            <w:vAlign w:val="bottom"/>
            <w:gridSpan w:val="2"/>
          </w:tcPr>
          <w:p>
            <w:pPr>
              <w:jc w:val="right"/>
              <w:ind w:right="360"/>
              <w:spacing w:after="0"/>
              <w:rPr>
                <w:sz w:val="20"/>
                <w:szCs w:val="20"/>
                <w:color w:val="auto"/>
              </w:rPr>
            </w:pPr>
            <w:r>
              <w:rPr>
                <w:rFonts w:ascii="MS PGothic" w:cs="MS PGothic" w:eastAsia="MS PGothic" w:hAnsi="MS PGothic"/>
                <w:sz w:val="15"/>
                <w:szCs w:val="15"/>
                <w:color w:val="auto"/>
              </w:rPr>
              <w:t>$</w:t>
            </w:r>
          </w:p>
        </w:tc>
        <w:tc>
          <w:tcPr>
            <w:tcW w:w="940" w:type="dxa"/>
            <w:vAlign w:val="bottom"/>
          </w:tcPr>
          <w:p>
            <w:pPr>
              <w:jc w:val="right"/>
              <w:spacing w:after="0"/>
              <w:rPr>
                <w:sz w:val="20"/>
                <w:szCs w:val="20"/>
                <w:color w:val="auto"/>
              </w:rPr>
            </w:pPr>
            <w:r>
              <w:rPr>
                <w:rFonts w:ascii="MS PGothic" w:cs="MS PGothic" w:eastAsia="MS PGothic" w:hAnsi="MS PGothic"/>
                <w:sz w:val="15"/>
                <w:szCs w:val="15"/>
                <w:color w:val="auto"/>
              </w:rPr>
              <w:t>1,522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6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940" w:type="dxa"/>
            <w:vAlign w:val="bottom"/>
            <w:gridSpan w:val="2"/>
            <w:shd w:val="clear" w:color="auto" w:fill="CFF0FC"/>
          </w:tcPr>
          <w:p>
            <w:pPr>
              <w:spacing w:after="0"/>
              <w:rPr>
                <w:sz w:val="20"/>
                <w:szCs w:val="20"/>
                <w:color w:val="auto"/>
              </w:rPr>
            </w:pPr>
            <w:r>
              <w:rPr>
                <w:rFonts w:ascii="MS PGothic" w:cs="MS PGothic" w:eastAsia="MS PGothic" w:hAnsi="MS PGothic"/>
                <w:sz w:val="15"/>
                <w:szCs w:val="15"/>
                <w:color w:val="auto"/>
              </w:rPr>
              <w:t>Consolidated</w:t>
            </w:r>
          </w:p>
        </w:tc>
        <w:tc>
          <w:tcPr>
            <w:tcW w:w="940" w:type="dxa"/>
            <w:vAlign w:val="bottom"/>
            <w:shd w:val="clear" w:color="auto" w:fill="CFF0FC"/>
          </w:tcPr>
          <w:p>
            <w:pPr>
              <w:jc w:val="right"/>
              <w:ind w:right="767"/>
              <w:spacing w:after="0"/>
              <w:rPr>
                <w:sz w:val="20"/>
                <w:szCs w:val="20"/>
                <w:color w:val="auto"/>
              </w:rPr>
            </w:pPr>
            <w:r>
              <w:rPr>
                <w:rFonts w:ascii="MS PGothic" w:cs="MS PGothic" w:eastAsia="MS PGothic" w:hAnsi="MS PGothic"/>
                <w:sz w:val="15"/>
                <w:szCs w:val="15"/>
                <w:color w:val="auto"/>
              </w:rPr>
              <w:t>$</w:t>
            </w:r>
          </w:p>
        </w:tc>
        <w:tc>
          <w:tcPr>
            <w:tcW w:w="480" w:type="dxa"/>
            <w:vAlign w:val="bottom"/>
            <w:shd w:val="clear" w:color="auto" w:fill="CFF0FC"/>
          </w:tcPr>
          <w:p>
            <w:pPr>
              <w:ind w:left="120"/>
              <w:spacing w:after="0"/>
              <w:rPr>
                <w:sz w:val="20"/>
                <w:szCs w:val="20"/>
                <w:color w:val="auto"/>
              </w:rPr>
            </w:pPr>
            <w:r>
              <w:rPr>
                <w:rFonts w:ascii="MS PGothic" w:cs="MS PGothic" w:eastAsia="MS PGothic" w:hAnsi="MS PGothic"/>
                <w:sz w:val="15"/>
                <w:szCs w:val="15"/>
                <w:color w:val="auto"/>
              </w:rPr>
              <w:t>5,503</w:t>
            </w:r>
          </w:p>
        </w:tc>
        <w:tc>
          <w:tcPr>
            <w:tcW w:w="740" w:type="dxa"/>
            <w:vAlign w:val="bottom"/>
            <w:gridSpan w:val="2"/>
            <w:shd w:val="clear" w:color="auto" w:fill="CFF0FC"/>
          </w:tcPr>
          <w:p>
            <w:pPr>
              <w:jc w:val="right"/>
              <w:ind w:right="360"/>
              <w:spacing w:after="0"/>
              <w:rPr>
                <w:sz w:val="20"/>
                <w:szCs w:val="20"/>
                <w:color w:val="auto"/>
              </w:rPr>
            </w:pPr>
            <w:r>
              <w:rPr>
                <w:rFonts w:ascii="MS PGothic" w:cs="MS PGothic" w:eastAsia="MS PGothic" w:hAnsi="MS PGothic"/>
                <w:sz w:val="15"/>
                <w:szCs w:val="15"/>
                <w:color w:val="auto"/>
              </w:rPr>
              <w:t>$</w:t>
            </w:r>
          </w:p>
        </w:tc>
        <w:tc>
          <w:tcPr>
            <w:tcW w:w="940" w:type="dxa"/>
            <w:vAlign w:val="bottom"/>
            <w:shd w:val="clear" w:color="auto" w:fill="CFF0FC"/>
          </w:tcPr>
          <w:p>
            <w:pPr>
              <w:jc w:val="right"/>
              <w:spacing w:after="0"/>
              <w:rPr>
                <w:sz w:val="20"/>
                <w:szCs w:val="20"/>
                <w:color w:val="auto"/>
              </w:rPr>
            </w:pPr>
            <w:r>
              <w:rPr>
                <w:rFonts w:ascii="MS PGothic" w:cs="MS PGothic" w:eastAsia="MS PGothic" w:hAnsi="MS PGothic"/>
                <w:sz w:val="15"/>
                <w:szCs w:val="15"/>
                <w:color w:val="auto"/>
              </w:rPr>
              <w:t>4,921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676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940" w:type="dxa"/>
            <w:vAlign w:val="bottom"/>
            <w:shd w:val="clear" w:color="auto" w:fill="CFF0FC"/>
          </w:tcPr>
          <w:p>
            <w:pPr>
              <w:spacing w:after="0"/>
              <w:rPr>
                <w:sz w:val="2"/>
                <w:szCs w:val="2"/>
                <w:color w:val="auto"/>
              </w:rPr>
            </w:pPr>
          </w:p>
        </w:tc>
        <w:tc>
          <w:tcPr>
            <w:tcW w:w="480" w:type="dxa"/>
            <w:vAlign w:val="bottom"/>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9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Calibri" w:cs="Calibri" w:eastAsia="Calibri" w:hAnsi="Calibri"/>
          <w:sz w:val="15"/>
          <w:szCs w:val="15"/>
          <w:b w:val="1"/>
          <w:bCs w:val="1"/>
          <w:i w:val="1"/>
          <w:iCs w:val="1"/>
          <w:color w:val="auto"/>
        </w:rPr>
        <w:t>Consolidated Adjusted EBITDA, Adjusted EBITDA, and Adjusted EBITDA atributable to redeemable noncontrolling interest</w:t>
      </w:r>
    </w:p>
    <w:p>
      <w:pPr>
        <w:spacing w:after="0" w:line="185" w:lineRule="exact"/>
        <w:rPr>
          <w:sz w:val="20"/>
          <w:szCs w:val="20"/>
          <w:color w:val="auto"/>
        </w:rPr>
      </w:pPr>
    </w:p>
    <w:p>
      <w:pPr>
        <w:jc w:val="both"/>
        <w:ind w:firstLine="511"/>
        <w:spacing w:after="0" w:line="320" w:lineRule="auto"/>
        <w:rPr>
          <w:sz w:val="20"/>
          <w:szCs w:val="20"/>
          <w:color w:val="auto"/>
        </w:rPr>
      </w:pPr>
      <w:r>
        <w:rPr>
          <w:rFonts w:ascii="MS PGothic" w:cs="MS PGothic" w:eastAsia="MS PGothic" w:hAnsi="MS PGothic"/>
          <w:sz w:val="15"/>
          <w:szCs w:val="15"/>
          <w:color w:val="auto"/>
        </w:rPr>
        <w:t>To provide investors with additonal informaton regarding our fnancial results, we have presented within this Annual Report, Consolidated Adjusted EBITDA, Adjusted EBITDA, and Adjusted EBITDA atributable to redeemable noncontrolling interest, each of which is a non-GAAP fnancial measure. These non-GAAP fnancial measures are not based on any standardized methodology prescribed by GAAP, and are not necessarily comparable to any similarly ttled measures presented by other companies.</w:t>
      </w:r>
    </w:p>
    <w:p>
      <w:pPr>
        <w:spacing w:after="0" w:line="136" w:lineRule="exact"/>
        <w:rPr>
          <w:sz w:val="20"/>
          <w:szCs w:val="20"/>
          <w:color w:val="auto"/>
        </w:rPr>
      </w:pPr>
    </w:p>
    <w:p>
      <w:pPr>
        <w:jc w:val="both"/>
        <w:ind w:firstLine="511"/>
        <w:spacing w:after="0" w:line="389" w:lineRule="auto"/>
        <w:rPr>
          <w:sz w:val="20"/>
          <w:szCs w:val="20"/>
          <w:color w:val="auto"/>
        </w:rPr>
      </w:pPr>
      <w:r>
        <w:rPr>
          <w:rFonts w:ascii="MS PGothic" w:cs="MS PGothic" w:eastAsia="MS PGothic" w:hAnsi="MS PGothic"/>
          <w:sz w:val="14"/>
          <w:szCs w:val="14"/>
          <w:color w:val="auto"/>
        </w:rPr>
        <w:t>We defne Consolidated Adjusted EBITDA as consolidated net income, adjusted to exclude: depreciaton and amortzaton, impairment of long-lived assets, stock‑based compensaton expense, stock-based compensaton expense for CarOfer, LLC Units, as defned below, transacton-related expenses, other income, net, and provision for income taxes.</w:t>
      </w:r>
    </w:p>
    <w:p>
      <w:pPr>
        <w:spacing w:after="0" w:line="98" w:lineRule="exact"/>
        <w:rPr>
          <w:sz w:val="20"/>
          <w:szCs w:val="20"/>
          <w:color w:val="auto"/>
        </w:rPr>
      </w:pPr>
    </w:p>
    <w:p>
      <w:pPr>
        <w:ind w:left="500"/>
        <w:spacing w:after="0"/>
        <w:rPr>
          <w:sz w:val="20"/>
          <w:szCs w:val="20"/>
          <w:color w:val="auto"/>
        </w:rPr>
      </w:pPr>
      <w:r>
        <w:rPr>
          <w:rFonts w:ascii="MS PGothic" w:cs="MS PGothic" w:eastAsia="MS PGothic" w:hAnsi="MS PGothic"/>
          <w:sz w:val="15"/>
          <w:szCs w:val="15"/>
          <w:color w:val="auto"/>
        </w:rPr>
        <w:t>We defne Adjusted EBITDA as Consolidated Adjusted EBITDA adjusted to exclude Adjusted EBITDA atributable to redeemable noncontrolling interest.</w:t>
      </w:r>
    </w:p>
    <w:p>
      <w:pPr>
        <w:spacing w:after="0" w:line="218" w:lineRule="exact"/>
        <w:rPr>
          <w:sz w:val="20"/>
          <w:szCs w:val="20"/>
          <w:color w:val="auto"/>
        </w:rPr>
      </w:pPr>
    </w:p>
    <w:p>
      <w:pPr>
        <w:jc w:val="center"/>
        <w:spacing w:after="0"/>
        <w:rPr>
          <w:sz w:val="20"/>
          <w:szCs w:val="20"/>
          <w:color w:val="auto"/>
        </w:rPr>
      </w:pPr>
      <w:r>
        <w:rPr>
          <w:rFonts w:ascii="MS PGothic" w:cs="MS PGothic" w:eastAsia="MS PGothic" w:hAnsi="MS PGothic"/>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429895</wp:posOffset>
            </wp:positionV>
            <wp:extent cx="7178040" cy="400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3" w:right="319" w:bottom="1440" w:gutter="0" w:footer="0" w:header="0"/>
        </w:sectPr>
      </w:pPr>
    </w:p>
    <w:bookmarkStart w:id="53" w:name="page54"/>
    <w:bookmarkEnd w:id="53"/>
    <w:p>
      <w:pPr>
        <w:jc w:val="both"/>
        <w:ind w:firstLine="511"/>
        <w:spacing w:after="0" w:line="302" w:lineRule="auto"/>
        <w:rPr>
          <w:sz w:val="20"/>
          <w:szCs w:val="20"/>
          <w:color w:val="auto"/>
        </w:rPr>
      </w:pPr>
      <w:r>
        <w:rPr>
          <w:rFonts w:ascii="MS PGothic" w:cs="MS PGothic" w:eastAsia="MS PGothic" w:hAnsi="MS PGothic"/>
          <w:sz w:val="15"/>
          <w:szCs w:val="15"/>
          <w:color w:val="auto"/>
        </w:rPr>
        <w:t>We defne Adjusted EBITDA atributable to redeemable noncontrolling interest as net loss atributable to redeemable noncontrolling interest, adjusted to exclude: depreciaton and amortzaton, impairment of long-lived assets, stock‑based compensaton expense, stock-based compensaton expense for CarOfer, LLC Units, as defned below, other expense, net, and provision for income taxes. These exclusions are adjusted for redeemable noncontrolling interest of 38% by taking the noncontrolling interest's full fnancial results and multplying each line item in the reconciliaton by 38%. We note that we use 38%, versus 49%, to allocate the share of income (loss) because it represents the porton atributable to the redeemable noncontrolling interest. The 38% is exclusive of CO Incentve Units, Subject Units, and 2021 Incentve Units (as each term is defned in Note 2 to our consolidated fnancial statements included elsewhere in this Annual Report) liability-classifed awards which do not partcipate in the share of income (loss). Adjusted EBITDA atributable to redeemable noncontrolling interest is refectve of the 2023 CarOfer Transacton completed on December 1, 2023. Following the 2023 CarOfer Transacton, there is no redeemable noncontrolling interest as of December 1, 2023.</w:t>
      </w:r>
    </w:p>
    <w:p>
      <w:pPr>
        <w:spacing w:after="0" w:line="147" w:lineRule="exact"/>
        <w:rPr>
          <w:sz w:val="20"/>
          <w:szCs w:val="20"/>
          <w:color w:val="auto"/>
        </w:rPr>
      </w:pPr>
    </w:p>
    <w:p>
      <w:pPr>
        <w:jc w:val="both"/>
        <w:ind w:firstLine="511"/>
        <w:spacing w:after="0" w:line="305" w:lineRule="auto"/>
        <w:rPr>
          <w:sz w:val="20"/>
          <w:szCs w:val="20"/>
          <w:color w:val="auto"/>
        </w:rPr>
      </w:pPr>
      <w:r>
        <w:rPr>
          <w:rFonts w:ascii="MS PGothic" w:cs="MS PGothic" w:eastAsia="MS PGothic" w:hAnsi="MS PGothic"/>
          <w:sz w:val="15"/>
          <w:szCs w:val="15"/>
          <w:color w:val="auto"/>
        </w:rPr>
        <w:t>We have presented Consolidated Adjusted EBITDA and Adjusted EBITDA within this Annual Report because they are key measures used by our management and Board of Directors to understand and evaluate our operatng performance, generate future operatng plans, and make strategic decisions regarding the allocaton of capital. In partcular, we believe that the exclusion of certain items in calculatng Consolidated Adjusted EBITDA and Adjusted EBITDA can produce a useful measure for period‑to‑period comparisons of our business. We have presented Adjusted EBITDA atributable to redeemable noncontrolling interest because it is used by our management to reconcile Consolidated Adjusted EBITDA to Adjusted EBITDA. It represents the porton of Consolidated Adjusted EBITDA that is atributable to our redeemable noncontrolling interest. Adjusted EBITDA atributable to redeemable noncontrolling interest is not intended to be reviewed on its own.</w:t>
      </w:r>
    </w:p>
    <w:p>
      <w:pPr>
        <w:spacing w:after="0" w:line="145" w:lineRule="exact"/>
        <w:rPr>
          <w:sz w:val="20"/>
          <w:szCs w:val="20"/>
          <w:color w:val="auto"/>
        </w:rPr>
      </w:pPr>
    </w:p>
    <w:p>
      <w:pPr>
        <w:jc w:val="both"/>
        <w:ind w:firstLine="511"/>
        <w:spacing w:after="0" w:line="330" w:lineRule="auto"/>
        <w:rPr>
          <w:sz w:val="20"/>
          <w:szCs w:val="20"/>
          <w:color w:val="auto"/>
        </w:rPr>
      </w:pPr>
      <w:r>
        <w:rPr>
          <w:rFonts w:ascii="MS PGothic" w:cs="MS PGothic" w:eastAsia="MS PGothic" w:hAnsi="MS PGothic"/>
          <w:sz w:val="14"/>
          <w:szCs w:val="14"/>
          <w:color w:val="auto"/>
        </w:rPr>
        <w:t>We use Consolidated Adjusted EBITDA and Adjusted EBITDA to evaluate our operatng performance and trends and make planning decisions. We believe Consolidated Adjusted EBITDA and Adjusted EBITDA help identfy underlying trends in our business that could otherwise be masked by the efect of the expenses that we exclude. Accordingly, we believe that Consolidated Adjusted EBITDA and Adjusted EBITDA provide useful informaton to investors and others in understanding and evaluatng our operatng results, enhancing the overall understanding of our past performance and future prospects, and allowing for greater transparency with respect to key fnancial metrics used by our management in its fnancial and operatonal decision‑making. We use Adjusted EBITDA atributable to redeemable noncontrolling interest to reconcile Consolidated Adjusted EBITDA to Adjusted EBITDA. It enables an investor to gain a clearer understanding of the porton of Consolidated Adjusted EBITDA that is atributable to our redeemable noncontrolling interest.</w:t>
      </w:r>
    </w:p>
    <w:p>
      <w:pPr>
        <w:spacing w:after="0" w:line="134" w:lineRule="exact"/>
        <w:rPr>
          <w:sz w:val="20"/>
          <w:szCs w:val="20"/>
          <w:color w:val="auto"/>
        </w:rPr>
      </w:pPr>
    </w:p>
    <w:p>
      <w:pPr>
        <w:jc w:val="both"/>
        <w:ind w:firstLine="511"/>
        <w:spacing w:after="0" w:line="312" w:lineRule="auto"/>
        <w:rPr>
          <w:sz w:val="20"/>
          <w:szCs w:val="20"/>
          <w:color w:val="auto"/>
        </w:rPr>
      </w:pPr>
      <w:r>
        <w:rPr>
          <w:rFonts w:ascii="MS PGothic" w:cs="MS PGothic" w:eastAsia="MS PGothic" w:hAnsi="MS PGothic"/>
          <w:sz w:val="15"/>
          <w:szCs w:val="15"/>
          <w:color w:val="auto"/>
        </w:rPr>
        <w:t>Our Consolidated Adjusted EBITDA, Adjusted EBITDA, and Adjusted EBITDA atributable to redeemable noncontrolling interest are not prepared in accordance with GAAP, and should not be considered in isolaton of, or as an alternatve to, measures prepared in accordance with GAAP. There are a number of limitatons related to the use of Consolidated Adjusted EBITDA, Adjusted EBITDA, and Adjusted EBITDA atributable to redeemable noncontrolling interest rather than consolidated net income and net loss atributable to redeemable noncontrolling interest, respectvely, which are the most directly comparable GAAP equivalents. Some of these limitatons are:</w:t>
      </w:r>
    </w:p>
    <w:p>
      <w:pPr>
        <w:spacing w:after="0" w:line="152" w:lineRule="exact"/>
        <w:rPr>
          <w:sz w:val="20"/>
          <w:szCs w:val="20"/>
          <w:color w:val="auto"/>
        </w:rPr>
      </w:pPr>
    </w:p>
    <w:p>
      <w:pPr>
        <w:ind w:left="880" w:right="20" w:hanging="377"/>
        <w:spacing w:after="0" w:line="311" w:lineRule="auto"/>
        <w:tabs>
          <w:tab w:leader="none" w:pos="880" w:val="left"/>
        </w:tabs>
        <w:numPr>
          <w:ilvl w:val="0"/>
          <w:numId w:val="23"/>
        </w:numPr>
        <w:rPr>
          <w:rFonts w:ascii="Times New Roman" w:cs="Times New Roman" w:eastAsia="Times New Roman" w:hAnsi="Times New Roman"/>
          <w:sz w:val="15"/>
          <w:szCs w:val="15"/>
          <w:color w:val="auto"/>
        </w:rPr>
      </w:pPr>
      <w:r>
        <w:rPr>
          <w:rFonts w:ascii="MS PGothic" w:cs="MS PGothic" w:eastAsia="MS PGothic" w:hAnsi="MS PGothic"/>
          <w:sz w:val="15"/>
          <w:szCs w:val="15"/>
          <w:color w:val="auto"/>
        </w:rPr>
        <w:t>Consolidated Adjusted EBITDA, Adjusted EBITDA, and Adjusted EBITDA atributable to redeemable noncontrolling interest exclude depreciaton and amortzaton expense and, although these are non‑cash expenses, the assets being depreciated may have to be replaced in the future;</w:t>
      </w:r>
    </w:p>
    <w:p>
      <w:pPr>
        <w:spacing w:after="0" w:line="145" w:lineRule="exact"/>
        <w:rPr>
          <w:rFonts w:ascii="Times New Roman" w:cs="Times New Roman" w:eastAsia="Times New Roman" w:hAnsi="Times New Roman"/>
          <w:sz w:val="15"/>
          <w:szCs w:val="15"/>
          <w:color w:val="auto"/>
        </w:rPr>
      </w:pPr>
    </w:p>
    <w:p>
      <w:pPr>
        <w:ind w:left="880" w:hanging="377"/>
        <w:spacing w:after="0" w:line="311" w:lineRule="auto"/>
        <w:tabs>
          <w:tab w:leader="none" w:pos="880" w:val="left"/>
        </w:tabs>
        <w:numPr>
          <w:ilvl w:val="0"/>
          <w:numId w:val="23"/>
        </w:numPr>
        <w:rPr>
          <w:rFonts w:ascii="Times New Roman" w:cs="Times New Roman" w:eastAsia="Times New Roman" w:hAnsi="Times New Roman"/>
          <w:sz w:val="15"/>
          <w:szCs w:val="15"/>
          <w:color w:val="auto"/>
        </w:rPr>
      </w:pPr>
      <w:r>
        <w:rPr>
          <w:rFonts w:ascii="MS PGothic" w:cs="MS PGothic" w:eastAsia="MS PGothic" w:hAnsi="MS PGothic"/>
          <w:sz w:val="15"/>
          <w:szCs w:val="15"/>
          <w:color w:val="auto"/>
        </w:rPr>
        <w:t>Consolidated Adjusted EBITDA, Adjusted EBITDA, and Adjusted EBITDA atributable to redeemable noncontrolling interest exclude impairment of long-lived assets and, although these are non-cash adjustments, the assets being impaired may have to be replaced in the future;</w:t>
      </w:r>
    </w:p>
    <w:p>
      <w:pPr>
        <w:spacing w:after="0" w:line="145" w:lineRule="exact"/>
        <w:rPr>
          <w:rFonts w:ascii="Times New Roman" w:cs="Times New Roman" w:eastAsia="Times New Roman" w:hAnsi="Times New Roman"/>
          <w:sz w:val="15"/>
          <w:szCs w:val="15"/>
          <w:color w:val="auto"/>
        </w:rPr>
      </w:pPr>
    </w:p>
    <w:p>
      <w:pPr>
        <w:ind w:left="880" w:right="20" w:hanging="377"/>
        <w:spacing w:after="0" w:line="311" w:lineRule="auto"/>
        <w:tabs>
          <w:tab w:leader="none" w:pos="880" w:val="left"/>
        </w:tabs>
        <w:numPr>
          <w:ilvl w:val="0"/>
          <w:numId w:val="23"/>
        </w:numPr>
        <w:rPr>
          <w:rFonts w:ascii="Times New Roman" w:cs="Times New Roman" w:eastAsia="Times New Roman" w:hAnsi="Times New Roman"/>
          <w:sz w:val="15"/>
          <w:szCs w:val="15"/>
          <w:color w:val="auto"/>
        </w:rPr>
      </w:pPr>
      <w:r>
        <w:rPr>
          <w:rFonts w:ascii="MS PGothic" w:cs="MS PGothic" w:eastAsia="MS PGothic" w:hAnsi="MS PGothic"/>
          <w:sz w:val="15"/>
          <w:szCs w:val="15"/>
          <w:color w:val="auto"/>
        </w:rPr>
        <w:t>Consolidated Adjusted EBITDA, Adjusted EBITDA, and Adjusted EBITDA atributable to redeemable noncontrolling interest exclude stock‑based compensaton expense, which will be, for the foreseeable future, a signifcant recurring expense for our business and an important part of our compensaton strategy;</w:t>
      </w:r>
    </w:p>
    <w:p>
      <w:pPr>
        <w:spacing w:after="0" w:line="145" w:lineRule="exact"/>
        <w:rPr>
          <w:rFonts w:ascii="Times New Roman" w:cs="Times New Roman" w:eastAsia="Times New Roman" w:hAnsi="Times New Roman"/>
          <w:sz w:val="15"/>
          <w:szCs w:val="15"/>
          <w:color w:val="auto"/>
        </w:rPr>
      </w:pPr>
    </w:p>
    <w:p>
      <w:pPr>
        <w:jc w:val="both"/>
        <w:ind w:left="880" w:right="20" w:hanging="377"/>
        <w:spacing w:after="0" w:line="298" w:lineRule="auto"/>
        <w:tabs>
          <w:tab w:leader="none" w:pos="880" w:val="left"/>
        </w:tabs>
        <w:numPr>
          <w:ilvl w:val="0"/>
          <w:numId w:val="23"/>
        </w:numPr>
        <w:rPr>
          <w:rFonts w:ascii="Times New Roman" w:cs="Times New Roman" w:eastAsia="Times New Roman" w:hAnsi="Times New Roman"/>
          <w:sz w:val="15"/>
          <w:szCs w:val="15"/>
          <w:color w:val="auto"/>
        </w:rPr>
      </w:pPr>
      <w:r>
        <w:rPr>
          <w:rFonts w:ascii="MS PGothic" w:cs="MS PGothic" w:eastAsia="MS PGothic" w:hAnsi="MS PGothic"/>
          <w:sz w:val="15"/>
          <w:szCs w:val="15"/>
          <w:color w:val="auto"/>
        </w:rPr>
        <w:t>Consolidated Adjusted EBITDA, Adjusted EBITDA, and Adjusted EBITDA atributable to redeemable noncontrolling interest exclude stock‑based compensaton expense for CarOfer, LLC Units, which consists of one-tme modifcatons and expense associated with our CO Incentve Units and Subject Units, as defned in Note 2 to the consolidated fnancial statements, and Noncontrolling Interest Units, as defned in Note 4 to the consolidated fnancial statements,</w:t>
      </w:r>
    </w:p>
    <w:p>
      <w:pPr>
        <w:spacing w:after="0" w:line="150" w:lineRule="exact"/>
        <w:rPr>
          <w:sz w:val="20"/>
          <w:szCs w:val="20"/>
          <w:color w:val="auto"/>
        </w:rPr>
      </w:pPr>
    </w:p>
    <w:p>
      <w:pPr>
        <w:jc w:val="center"/>
        <w:spacing w:after="0"/>
        <w:rPr>
          <w:sz w:val="20"/>
          <w:szCs w:val="20"/>
          <w:color w:val="auto"/>
        </w:rPr>
      </w:pPr>
      <w:r>
        <w:rPr>
          <w:rFonts w:ascii="MS PGothic" w:cs="MS PGothic" w:eastAsia="MS PGothic" w:hAnsi="MS PGothic"/>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429895</wp:posOffset>
            </wp:positionV>
            <wp:extent cx="7178040" cy="400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4" w:right="319" w:bottom="1440" w:gutter="0" w:footer="0" w:header="0"/>
        </w:sectPr>
      </w:pPr>
    </w:p>
    <w:bookmarkStart w:id="54" w:name="page55"/>
    <w:bookmarkEnd w:id="54"/>
    <w:p>
      <w:pPr>
        <w:jc w:val="both"/>
        <w:ind w:left="880" w:hanging="377"/>
        <w:spacing w:after="0" w:line="241" w:lineRule="auto"/>
        <w:tabs>
          <w:tab w:leader="none" w:pos="880" w:val="left"/>
        </w:tabs>
        <w:numPr>
          <w:ilvl w:val="0"/>
          <w:numId w:val="24"/>
        </w:numPr>
        <w:rPr>
          <w:rFonts w:ascii="Times New Roman" w:cs="Times New Roman" w:eastAsia="Times New Roman" w:hAnsi="Times New Roman"/>
          <w:sz w:val="15"/>
          <w:szCs w:val="15"/>
          <w:color w:val="auto"/>
        </w:rPr>
      </w:pPr>
      <w:r>
        <w:rPr>
          <w:rFonts w:ascii="Calibri" w:cs="Calibri" w:eastAsia="Calibri" w:hAnsi="Calibri"/>
          <w:sz w:val="15"/>
          <w:szCs w:val="15"/>
          <w:color w:val="auto"/>
        </w:rPr>
        <w:t>Consolidated Adjusted EBITDA and Adjusted EBITDA exclude transacton and one-tme acquisiton-related expenses incurred by us during a reportng period, which are inclusive of certain transacton and integraton costs associated with the 2023 CarOfer Transacton and which may not be refectve of our operatonal performance during such period, for acquisitons that have been completed as of the fling date of our annual or quarterly report (as applicable) relatng to such period;</w:t>
      </w:r>
    </w:p>
    <w:p>
      <w:pPr>
        <w:spacing w:after="0" w:line="196" w:lineRule="exact"/>
        <w:rPr>
          <w:rFonts w:ascii="Times New Roman" w:cs="Times New Roman" w:eastAsia="Times New Roman" w:hAnsi="Times New Roman"/>
          <w:sz w:val="15"/>
          <w:szCs w:val="15"/>
          <w:color w:val="auto"/>
        </w:rPr>
      </w:pPr>
    </w:p>
    <w:p>
      <w:pPr>
        <w:ind w:left="880" w:right="20" w:hanging="377"/>
        <w:spacing w:after="0" w:line="241" w:lineRule="auto"/>
        <w:tabs>
          <w:tab w:leader="none" w:pos="880" w:val="left"/>
        </w:tabs>
        <w:numPr>
          <w:ilvl w:val="0"/>
          <w:numId w:val="24"/>
        </w:numPr>
        <w:rPr>
          <w:rFonts w:ascii="Times New Roman" w:cs="Times New Roman" w:eastAsia="Times New Roman" w:hAnsi="Times New Roman"/>
          <w:sz w:val="15"/>
          <w:szCs w:val="15"/>
          <w:color w:val="auto"/>
        </w:rPr>
      </w:pPr>
      <w:r>
        <w:rPr>
          <w:rFonts w:ascii="Calibri" w:cs="Calibri" w:eastAsia="Calibri" w:hAnsi="Calibri"/>
          <w:sz w:val="15"/>
          <w:szCs w:val="15"/>
          <w:color w:val="auto"/>
        </w:rPr>
        <w:t>Consolidated Adjusted EBITDA, Adjusted EBITDA, and Adjusted EBITDA atributable to redeemable noncontrolling interest exclude other income, net, which consists primarily of interest income earned on our cash and cash equivalents, foreign exchange gains, and losses and interest expense;</w:t>
      </w:r>
    </w:p>
    <w:p>
      <w:pPr>
        <w:spacing w:after="0" w:line="195" w:lineRule="exact"/>
        <w:rPr>
          <w:rFonts w:ascii="Times New Roman" w:cs="Times New Roman" w:eastAsia="Times New Roman" w:hAnsi="Times New Roman"/>
          <w:sz w:val="15"/>
          <w:szCs w:val="15"/>
          <w:color w:val="auto"/>
        </w:rPr>
      </w:pPr>
    </w:p>
    <w:p>
      <w:pPr>
        <w:ind w:left="880" w:hanging="377"/>
        <w:spacing w:after="0"/>
        <w:tabs>
          <w:tab w:leader="none" w:pos="880" w:val="left"/>
        </w:tabs>
        <w:numPr>
          <w:ilvl w:val="0"/>
          <w:numId w:val="24"/>
        </w:numPr>
        <w:rPr>
          <w:rFonts w:ascii="Times New Roman" w:cs="Times New Roman" w:eastAsia="Times New Roman" w:hAnsi="Times New Roman"/>
          <w:sz w:val="15"/>
          <w:szCs w:val="15"/>
          <w:color w:val="auto"/>
        </w:rPr>
      </w:pPr>
      <w:r>
        <w:rPr>
          <w:rFonts w:ascii="Calibri" w:cs="Calibri" w:eastAsia="Calibri" w:hAnsi="Calibri"/>
          <w:sz w:val="15"/>
          <w:szCs w:val="15"/>
          <w:color w:val="auto"/>
        </w:rPr>
        <w:t>Consolidated Adjusted EBITDA, Adjusted EBITDA, and Adjusted EBITDA atributable to redeemable noncontrolling interest exclude the provision for income taxes;</w:t>
      </w:r>
    </w:p>
    <w:p>
      <w:pPr>
        <w:spacing w:after="0" w:line="196" w:lineRule="exact"/>
        <w:rPr>
          <w:rFonts w:ascii="Times New Roman" w:cs="Times New Roman" w:eastAsia="Times New Roman" w:hAnsi="Times New Roman"/>
          <w:sz w:val="15"/>
          <w:szCs w:val="15"/>
          <w:color w:val="auto"/>
        </w:rPr>
      </w:pPr>
    </w:p>
    <w:p>
      <w:pPr>
        <w:ind w:left="880" w:right="20" w:hanging="377"/>
        <w:spacing w:after="0" w:line="241" w:lineRule="auto"/>
        <w:tabs>
          <w:tab w:leader="none" w:pos="880" w:val="left"/>
        </w:tabs>
        <w:numPr>
          <w:ilvl w:val="0"/>
          <w:numId w:val="24"/>
        </w:numPr>
        <w:rPr>
          <w:rFonts w:ascii="Times New Roman" w:cs="Times New Roman" w:eastAsia="Times New Roman" w:hAnsi="Times New Roman"/>
          <w:sz w:val="15"/>
          <w:szCs w:val="15"/>
          <w:color w:val="auto"/>
        </w:rPr>
      </w:pPr>
      <w:r>
        <w:rPr>
          <w:rFonts w:ascii="Calibri" w:cs="Calibri" w:eastAsia="Calibri" w:hAnsi="Calibri"/>
          <w:sz w:val="15"/>
          <w:szCs w:val="15"/>
          <w:color w:val="auto"/>
        </w:rPr>
        <w:t>Adjusted EBITDA excludes Adjusted EBITDA atributable to redeemable noncontrolling interest, which is calculated as the net loss atributable to redeemable noncontrolling interest, adjusted for all exclusions used to calculate Consolidated Adjusted EBITDA as described above; and</w:t>
      </w:r>
    </w:p>
    <w:p>
      <w:pPr>
        <w:spacing w:after="0" w:line="196" w:lineRule="exact"/>
        <w:rPr>
          <w:rFonts w:ascii="Times New Roman" w:cs="Times New Roman" w:eastAsia="Times New Roman" w:hAnsi="Times New Roman"/>
          <w:sz w:val="15"/>
          <w:szCs w:val="15"/>
          <w:color w:val="auto"/>
        </w:rPr>
      </w:pPr>
    </w:p>
    <w:p>
      <w:pPr>
        <w:ind w:left="880" w:right="20" w:hanging="377"/>
        <w:spacing w:after="0" w:line="241" w:lineRule="auto"/>
        <w:tabs>
          <w:tab w:leader="none" w:pos="880" w:val="left"/>
        </w:tabs>
        <w:numPr>
          <w:ilvl w:val="0"/>
          <w:numId w:val="24"/>
        </w:numPr>
        <w:rPr>
          <w:rFonts w:ascii="Times New Roman" w:cs="Times New Roman" w:eastAsia="Times New Roman" w:hAnsi="Times New Roman"/>
          <w:sz w:val="15"/>
          <w:szCs w:val="15"/>
          <w:color w:val="auto"/>
        </w:rPr>
      </w:pPr>
      <w:r>
        <w:rPr>
          <w:rFonts w:ascii="Calibri" w:cs="Calibri" w:eastAsia="Calibri" w:hAnsi="Calibri"/>
          <w:sz w:val="15"/>
          <w:szCs w:val="15"/>
          <w:color w:val="auto"/>
        </w:rPr>
        <w:t>other companies, including companies in our industry, may calculate Consolidated Adjusted EBITDA, Adjusted EBITDA, and Adjusted EBITDA atributable to redeemable noncontrolling interest diferently, which reduces their usefulness as a comparatve measure.</w:t>
      </w:r>
    </w:p>
    <w:p>
      <w:pPr>
        <w:spacing w:after="0" w:line="185" w:lineRule="exact"/>
        <w:rPr>
          <w:sz w:val="20"/>
          <w:szCs w:val="20"/>
          <w:color w:val="auto"/>
        </w:rPr>
      </w:pPr>
    </w:p>
    <w:p>
      <w:pPr>
        <w:ind w:firstLine="511"/>
        <w:spacing w:after="0" w:line="241" w:lineRule="auto"/>
        <w:rPr>
          <w:sz w:val="20"/>
          <w:szCs w:val="20"/>
          <w:color w:val="auto"/>
        </w:rPr>
      </w:pPr>
      <w:r>
        <w:rPr>
          <w:rFonts w:ascii="Calibri" w:cs="Calibri" w:eastAsia="Calibri" w:hAnsi="Calibri"/>
          <w:sz w:val="15"/>
          <w:szCs w:val="15"/>
          <w:color w:val="auto"/>
        </w:rPr>
        <w:t>Because of these limitatons, we consider, and you should consider, Consolidated Adjusted EBITDA, Adjusted EBITDA, and Adjusted EBITDA atributable to redeemable noncontrolling interest together with other operatng and fnancial performance measures presented in accordance with GAAP.</w:t>
      </w:r>
    </w:p>
    <w:p>
      <w:pPr>
        <w:spacing w:after="0" w:line="185" w:lineRule="exact"/>
        <w:rPr>
          <w:sz w:val="20"/>
          <w:szCs w:val="20"/>
          <w:color w:val="auto"/>
        </w:rPr>
      </w:pPr>
    </w:p>
    <w:p>
      <w:pPr>
        <w:ind w:firstLine="511"/>
        <w:spacing w:after="0" w:line="241" w:lineRule="auto"/>
        <w:rPr>
          <w:sz w:val="20"/>
          <w:szCs w:val="20"/>
          <w:color w:val="auto"/>
        </w:rPr>
      </w:pPr>
      <w:r>
        <w:rPr>
          <w:rFonts w:ascii="Calibri" w:cs="Calibri" w:eastAsia="Calibri" w:hAnsi="Calibri"/>
          <w:sz w:val="15"/>
          <w:szCs w:val="15"/>
          <w:color w:val="auto"/>
        </w:rPr>
        <w:t>For the years ended December 31, 2023 and 2022, the following table presents a reconciliaton of Consolidated Adjusted EBITDA and Adjusted EBITDA to consolidated net income, the most directly comparable measure calculated in accordance with GAAP for each of the periods presented.</w:t>
      </w:r>
    </w:p>
    <w:p>
      <w:pPr>
        <w:spacing w:after="0" w:line="386" w:lineRule="exact"/>
        <w:rPr>
          <w:sz w:val="20"/>
          <w:szCs w:val="20"/>
          <w:color w:val="auto"/>
        </w:rPr>
      </w:pPr>
    </w:p>
    <w:tbl>
      <w:tblPr>
        <w:tblLayout w:type="fixed"/>
        <w:tblInd w:w="560" w:type="dxa"/>
        <w:tblCellMar>
          <w:top w:w="0" w:type="dxa"/>
          <w:left w:w="0" w:type="dxa"/>
          <w:bottom w:w="0" w:type="dxa"/>
          <w:right w:w="0" w:type="dxa"/>
        </w:tblCellMar>
      </w:tblPr>
      <w:tr>
        <w:trPr>
          <w:trHeight w:val="146"/>
        </w:trPr>
        <w:tc>
          <w:tcPr>
            <w:tcW w:w="7240" w:type="dxa"/>
            <w:vAlign w:val="bottom"/>
          </w:tcPr>
          <w:p>
            <w:pPr>
              <w:spacing w:after="0"/>
              <w:rPr>
                <w:sz w:val="12"/>
                <w:szCs w:val="12"/>
                <w:color w:val="auto"/>
              </w:rPr>
            </w:pPr>
          </w:p>
        </w:tc>
        <w:tc>
          <w:tcPr>
            <w:tcW w:w="2900" w:type="dxa"/>
            <w:vAlign w:val="bottom"/>
            <w:gridSpan w:val="6"/>
          </w:tcPr>
          <w:p>
            <w:pPr>
              <w:jc w:val="right"/>
              <w:ind w:right="860"/>
              <w:spacing w:after="0"/>
              <w:rPr>
                <w:sz w:val="20"/>
                <w:szCs w:val="20"/>
                <w:color w:val="auto"/>
              </w:rPr>
            </w:pPr>
            <w:r>
              <w:rPr>
                <w:rFonts w:ascii="Calibri" w:cs="Calibri" w:eastAsia="Calibri" w:hAnsi="Calibri"/>
                <w:sz w:val="12"/>
                <w:szCs w:val="12"/>
                <w:b w:val="1"/>
                <w:bCs w:val="1"/>
                <w:color w:val="auto"/>
              </w:rPr>
              <w:t>Year Ended December 31,</w:t>
            </w:r>
          </w:p>
        </w:tc>
      </w:tr>
      <w:tr>
        <w:trPr>
          <w:trHeight w:val="28"/>
        </w:trPr>
        <w:tc>
          <w:tcPr>
            <w:tcW w:w="72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64"/>
        </w:trPr>
        <w:tc>
          <w:tcPr>
            <w:tcW w:w="724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Calibri" w:cs="Calibri" w:eastAsia="Calibri" w:hAnsi="Calibri"/>
                <w:sz w:val="12"/>
                <w:szCs w:val="12"/>
                <w:b w:val="1"/>
                <w:bCs w:val="1"/>
                <w:color w:val="auto"/>
              </w:rPr>
              <w:t>2023</w:t>
            </w:r>
          </w:p>
        </w:tc>
        <w:tc>
          <w:tcPr>
            <w:tcW w:w="5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85"/>
              <w:spacing w:after="0" w:line="164" w:lineRule="exact"/>
              <w:rPr>
                <w:sz w:val="20"/>
                <w:szCs w:val="20"/>
                <w:color w:val="auto"/>
              </w:rPr>
            </w:pPr>
            <w:r>
              <w:rPr>
                <w:rFonts w:ascii="Calibri" w:cs="Calibri" w:eastAsia="Calibri" w:hAnsi="Calibri"/>
                <w:sz w:val="12"/>
                <w:szCs w:val="12"/>
                <w:b w:val="1"/>
                <w:bCs w:val="1"/>
                <w:color w:val="auto"/>
              </w:rPr>
              <w:t>2022</w:t>
            </w:r>
            <w:r>
              <w:rPr>
                <w:rFonts w:ascii="Calibri" w:cs="Calibri" w:eastAsia="Calibri" w:hAnsi="Calibri"/>
                <w:sz w:val="16"/>
                <w:szCs w:val="16"/>
                <w:b w:val="1"/>
                <w:bCs w:val="1"/>
                <w:color w:val="auto"/>
                <w:vertAlign w:val="superscript"/>
              </w:rPr>
              <w:t>(1)</w:t>
            </w:r>
          </w:p>
        </w:tc>
        <w:tc>
          <w:tcPr>
            <w:tcW w:w="100" w:type="dxa"/>
            <w:vAlign w:val="bottom"/>
          </w:tcPr>
          <w:p>
            <w:pPr>
              <w:spacing w:after="0"/>
              <w:rPr>
                <w:sz w:val="14"/>
                <w:szCs w:val="14"/>
                <w:color w:val="auto"/>
              </w:rPr>
            </w:pPr>
          </w:p>
        </w:tc>
      </w:tr>
      <w:tr>
        <w:trPr>
          <w:trHeight w:val="137"/>
        </w:trPr>
        <w:tc>
          <w:tcPr>
            <w:tcW w:w="7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jc w:val="right"/>
              <w:ind w:right="25"/>
              <w:spacing w:after="0" w:line="138" w:lineRule="exact"/>
              <w:rPr>
                <w:sz w:val="20"/>
                <w:szCs w:val="20"/>
                <w:color w:val="auto"/>
              </w:rPr>
            </w:pPr>
            <w:r>
              <w:rPr>
                <w:rFonts w:ascii="Calibri" w:cs="Calibri" w:eastAsia="Calibri" w:hAnsi="Calibri"/>
                <w:sz w:val="12"/>
                <w:szCs w:val="12"/>
                <w:b w:val="1"/>
                <w:bCs w:val="1"/>
                <w:color w:val="auto"/>
              </w:rPr>
              <w:t>(in</w:t>
            </w:r>
          </w:p>
        </w:tc>
        <w:tc>
          <w:tcPr>
            <w:tcW w:w="620" w:type="dxa"/>
            <w:vAlign w:val="bottom"/>
            <w:gridSpan w:val="2"/>
          </w:tcPr>
          <w:p>
            <w:pPr>
              <w:jc w:val="right"/>
              <w:ind w:right="43"/>
              <w:spacing w:after="0" w:line="138" w:lineRule="exact"/>
              <w:rPr>
                <w:sz w:val="20"/>
                <w:szCs w:val="20"/>
                <w:color w:val="auto"/>
              </w:rPr>
            </w:pPr>
            <w:r>
              <w:rPr>
                <w:rFonts w:ascii="Calibri" w:cs="Calibri" w:eastAsia="Calibri" w:hAnsi="Calibri"/>
                <w:sz w:val="12"/>
                <w:szCs w:val="12"/>
                <w:b w:val="1"/>
                <w:bCs w:val="1"/>
                <w:color w:val="auto"/>
                <w:w w:val="86"/>
              </w:rPr>
              <w:t>thousands)</w:t>
            </w: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7"/>
        </w:trPr>
        <w:tc>
          <w:tcPr>
            <w:tcW w:w="7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7"/>
        </w:trPr>
        <w:tc>
          <w:tcPr>
            <w:tcW w:w="724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5"/>
                <w:szCs w:val="15"/>
                <w:b w:val="1"/>
                <w:bCs w:val="1"/>
                <w:color w:val="auto"/>
              </w:rPr>
              <w:t>Reconciliaton of Consolidated Adjusted EBITDA and Adjusted EBITDA:</w:t>
            </w:r>
          </w:p>
        </w:tc>
        <w:tc>
          <w:tcPr>
            <w:tcW w:w="760" w:type="dxa"/>
            <w:vAlign w:val="bottom"/>
            <w:tcBorders>
              <w:bottom w:val="single" w:sz="8" w:color="CFF0FC"/>
            </w:tcBorders>
            <w:shd w:val="clear" w:color="auto" w:fill="CFF0FC"/>
          </w:tcPr>
          <w:p>
            <w:pPr>
              <w:spacing w:after="0"/>
              <w:rPr>
                <w:sz w:val="16"/>
                <w:szCs w:val="16"/>
                <w:color w:val="auto"/>
              </w:rPr>
            </w:pPr>
          </w:p>
        </w:tc>
        <w:tc>
          <w:tcPr>
            <w:tcW w:w="50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CFF0FC"/>
            </w:tcBorders>
            <w:shd w:val="clear" w:color="auto" w:fill="CFF0FC"/>
          </w:tcPr>
          <w:p>
            <w:pPr>
              <w:spacing w:after="0"/>
              <w:rPr>
                <w:sz w:val="16"/>
                <w:szCs w:val="16"/>
                <w:color w:val="auto"/>
              </w:rPr>
            </w:pPr>
          </w:p>
        </w:tc>
        <w:tc>
          <w:tcPr>
            <w:tcW w:w="9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7240" w:type="dxa"/>
            <w:vAlign w:val="bottom"/>
          </w:tcPr>
          <w:p>
            <w:pPr>
              <w:spacing w:after="0"/>
              <w:rPr>
                <w:sz w:val="20"/>
                <w:szCs w:val="20"/>
                <w:color w:val="auto"/>
              </w:rPr>
            </w:pPr>
            <w:r>
              <w:rPr>
                <w:rFonts w:ascii="Calibri" w:cs="Calibri" w:eastAsia="Calibri" w:hAnsi="Calibri"/>
                <w:sz w:val="15"/>
                <w:szCs w:val="15"/>
                <w:color w:val="auto"/>
              </w:rPr>
              <w:t>Consolidated net income</w:t>
            </w:r>
          </w:p>
        </w:tc>
        <w:tc>
          <w:tcPr>
            <w:tcW w:w="760" w:type="dxa"/>
            <w:vAlign w:val="bottom"/>
          </w:tcPr>
          <w:p>
            <w:pPr>
              <w:jc w:val="right"/>
              <w:ind w:right="611"/>
              <w:spacing w:after="0"/>
              <w:rPr>
                <w:sz w:val="20"/>
                <w:szCs w:val="20"/>
                <w:color w:val="auto"/>
              </w:rPr>
            </w:pPr>
            <w:r>
              <w:rPr>
                <w:rFonts w:ascii="Calibri" w:cs="Calibri" w:eastAsia="Calibri" w:hAnsi="Calibri"/>
                <w:sz w:val="15"/>
                <w:szCs w:val="15"/>
                <w:color w:val="auto"/>
                <w:w w:val="78"/>
              </w:rPr>
              <w:t>$</w:t>
            </w:r>
          </w:p>
        </w:tc>
        <w:tc>
          <w:tcPr>
            <w:tcW w:w="500" w:type="dxa"/>
            <w:vAlign w:val="bottom"/>
          </w:tcPr>
          <w:p>
            <w:pPr>
              <w:jc w:val="right"/>
              <w:spacing w:after="0"/>
              <w:rPr>
                <w:sz w:val="20"/>
                <w:szCs w:val="20"/>
                <w:color w:val="auto"/>
              </w:rPr>
            </w:pPr>
            <w:r>
              <w:rPr>
                <w:rFonts w:ascii="Calibri" w:cs="Calibri" w:eastAsia="Calibri" w:hAnsi="Calibri"/>
                <w:sz w:val="15"/>
                <w:szCs w:val="15"/>
                <w:color w:val="auto"/>
              </w:rPr>
              <w:t>22,053</w:t>
            </w:r>
          </w:p>
        </w:tc>
        <w:tc>
          <w:tcPr>
            <w:tcW w:w="280" w:type="dxa"/>
            <w:vAlign w:val="bottom"/>
          </w:tcPr>
          <w:p>
            <w:pPr>
              <w:spacing w:after="0"/>
              <w:rPr>
                <w:sz w:val="15"/>
                <w:szCs w:val="15"/>
                <w:color w:val="auto"/>
              </w:rPr>
            </w:pPr>
          </w:p>
        </w:tc>
        <w:tc>
          <w:tcPr>
            <w:tcW w:w="340" w:type="dxa"/>
            <w:vAlign w:val="bottom"/>
          </w:tcPr>
          <w:p>
            <w:pPr>
              <w:jc w:val="right"/>
              <w:ind w:right="183"/>
              <w:spacing w:after="0"/>
              <w:rPr>
                <w:sz w:val="20"/>
                <w:szCs w:val="20"/>
                <w:color w:val="auto"/>
              </w:rPr>
            </w:pPr>
            <w:r>
              <w:rPr>
                <w:rFonts w:ascii="Calibri" w:cs="Calibri" w:eastAsia="Calibri" w:hAnsi="Calibri"/>
                <w:sz w:val="15"/>
                <w:szCs w:val="15"/>
                <w:color w:val="auto"/>
                <w:w w:val="78"/>
              </w:rPr>
              <w:t>$</w:t>
            </w:r>
          </w:p>
        </w:tc>
        <w:tc>
          <w:tcPr>
            <w:tcW w:w="920" w:type="dxa"/>
            <w:vAlign w:val="bottom"/>
          </w:tcPr>
          <w:p>
            <w:pPr>
              <w:jc w:val="right"/>
              <w:spacing w:after="0"/>
              <w:rPr>
                <w:sz w:val="20"/>
                <w:szCs w:val="20"/>
                <w:color w:val="auto"/>
              </w:rPr>
            </w:pPr>
            <w:r>
              <w:rPr>
                <w:rFonts w:ascii="Calibri" w:cs="Calibri" w:eastAsia="Calibri" w:hAnsi="Calibri"/>
                <w:sz w:val="15"/>
                <w:szCs w:val="15"/>
                <w:color w:val="auto"/>
              </w:rPr>
              <w:t>78,954</w:t>
            </w:r>
          </w:p>
        </w:tc>
        <w:tc>
          <w:tcPr>
            <w:tcW w:w="100" w:type="dxa"/>
            <w:vAlign w:val="bottom"/>
          </w:tcPr>
          <w:p>
            <w:pPr>
              <w:spacing w:after="0"/>
              <w:rPr>
                <w:sz w:val="15"/>
                <w:szCs w:val="15"/>
                <w:color w:val="auto"/>
              </w:rPr>
            </w:pPr>
          </w:p>
        </w:tc>
      </w:tr>
      <w:tr>
        <w:trPr>
          <w:trHeight w:val="24"/>
        </w:trPr>
        <w:tc>
          <w:tcPr>
            <w:tcW w:w="7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7"/>
        </w:trPr>
        <w:tc>
          <w:tcPr>
            <w:tcW w:w="724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5"/>
                <w:szCs w:val="15"/>
                <w:color w:val="auto"/>
              </w:rPr>
              <w:t>Depreciaton and amortzaton</w:t>
            </w:r>
          </w:p>
        </w:tc>
        <w:tc>
          <w:tcPr>
            <w:tcW w:w="760" w:type="dxa"/>
            <w:vAlign w:val="bottom"/>
            <w:tcBorders>
              <w:bottom w:val="single" w:sz="8" w:color="CFF0FC"/>
            </w:tcBorders>
            <w:shd w:val="clear" w:color="auto" w:fill="CFF0FC"/>
          </w:tcPr>
          <w:p>
            <w:pPr>
              <w:spacing w:after="0"/>
              <w:rPr>
                <w:sz w:val="16"/>
                <w:szCs w:val="16"/>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48,474</w:t>
            </w:r>
          </w:p>
        </w:tc>
        <w:tc>
          <w:tcPr>
            <w:tcW w:w="28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CFF0FC"/>
            </w:tcBorders>
            <w:shd w:val="clear" w:color="auto" w:fill="CFF0FC"/>
          </w:tcPr>
          <w:p>
            <w:pPr>
              <w:spacing w:after="0"/>
              <w:rPr>
                <w:sz w:val="16"/>
                <w:szCs w:val="16"/>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45,334</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7240" w:type="dxa"/>
            <w:vAlign w:val="bottom"/>
          </w:tcPr>
          <w:p>
            <w:pPr>
              <w:spacing w:after="0"/>
              <w:rPr>
                <w:sz w:val="20"/>
                <w:szCs w:val="20"/>
                <w:color w:val="auto"/>
              </w:rPr>
            </w:pPr>
            <w:r>
              <w:rPr>
                <w:rFonts w:ascii="Calibri" w:cs="Calibri" w:eastAsia="Calibri" w:hAnsi="Calibri"/>
                <w:sz w:val="15"/>
                <w:szCs w:val="15"/>
                <w:color w:val="auto"/>
              </w:rPr>
              <w:t>Impairment of long-lived assets</w:t>
            </w:r>
          </w:p>
        </w:tc>
        <w:tc>
          <w:tcPr>
            <w:tcW w:w="7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alibri" w:cs="Calibri" w:eastAsia="Calibri" w:hAnsi="Calibri"/>
                <w:sz w:val="15"/>
                <w:szCs w:val="15"/>
                <w:color w:val="auto"/>
              </w:rPr>
              <w:t>184</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alibri" w:cs="Calibri" w:eastAsia="Calibri" w:hAnsi="Calibri"/>
                <w:sz w:val="15"/>
                <w:szCs w:val="15"/>
                <w:color w:val="auto"/>
              </w:rPr>
              <w:t>165</w:t>
            </w:r>
          </w:p>
        </w:tc>
        <w:tc>
          <w:tcPr>
            <w:tcW w:w="100" w:type="dxa"/>
            <w:vAlign w:val="bottom"/>
          </w:tcPr>
          <w:p>
            <w:pPr>
              <w:spacing w:after="0"/>
              <w:rPr>
                <w:sz w:val="15"/>
                <w:szCs w:val="15"/>
                <w:color w:val="auto"/>
              </w:rPr>
            </w:pPr>
          </w:p>
        </w:tc>
      </w:tr>
      <w:tr>
        <w:trPr>
          <w:trHeight w:val="24"/>
        </w:trPr>
        <w:tc>
          <w:tcPr>
            <w:tcW w:w="7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7"/>
        </w:trPr>
        <w:tc>
          <w:tcPr>
            <w:tcW w:w="724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5"/>
                <w:szCs w:val="15"/>
                <w:color w:val="auto"/>
              </w:rPr>
              <w:t>Stock-based compensaton expense</w:t>
            </w:r>
          </w:p>
        </w:tc>
        <w:tc>
          <w:tcPr>
            <w:tcW w:w="760" w:type="dxa"/>
            <w:vAlign w:val="bottom"/>
            <w:tcBorders>
              <w:bottom w:val="single" w:sz="8" w:color="CFF0FC"/>
            </w:tcBorders>
            <w:shd w:val="clear" w:color="auto" w:fill="CFF0FC"/>
          </w:tcPr>
          <w:p>
            <w:pPr>
              <w:spacing w:after="0"/>
              <w:rPr>
                <w:sz w:val="16"/>
                <w:szCs w:val="16"/>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57,913</w:t>
            </w:r>
          </w:p>
        </w:tc>
        <w:tc>
          <w:tcPr>
            <w:tcW w:w="28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CFF0FC"/>
            </w:tcBorders>
            <w:shd w:val="clear" w:color="auto" w:fill="CFF0FC"/>
          </w:tcPr>
          <w:p>
            <w:pPr>
              <w:spacing w:after="0"/>
              <w:rPr>
                <w:sz w:val="16"/>
                <w:szCs w:val="16"/>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54,777</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7240" w:type="dxa"/>
            <w:vAlign w:val="bottom"/>
          </w:tcPr>
          <w:p>
            <w:pPr>
              <w:spacing w:after="0"/>
              <w:rPr>
                <w:sz w:val="20"/>
                <w:szCs w:val="20"/>
                <w:color w:val="auto"/>
              </w:rPr>
            </w:pPr>
            <w:r>
              <w:rPr>
                <w:rFonts w:ascii="Calibri" w:cs="Calibri" w:eastAsia="Calibri" w:hAnsi="Calibri"/>
                <w:sz w:val="15"/>
                <w:szCs w:val="15"/>
                <w:color w:val="auto"/>
              </w:rPr>
              <w:t>Stock-based compensaton expense for CarOfer, LLC Units</w:t>
            </w:r>
          </w:p>
        </w:tc>
        <w:tc>
          <w:tcPr>
            <w:tcW w:w="7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alibri" w:cs="Calibri" w:eastAsia="Calibri" w:hAnsi="Calibri"/>
                <w:sz w:val="15"/>
                <w:szCs w:val="15"/>
                <w:color w:val="auto"/>
              </w:rPr>
              <w:t>55,543</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gridSpan w:val="2"/>
          </w:tcPr>
          <w:p>
            <w:pPr>
              <w:jc w:val="right"/>
              <w:ind w:right="40"/>
              <w:spacing w:after="0"/>
              <w:rPr>
                <w:sz w:val="20"/>
                <w:szCs w:val="20"/>
                <w:color w:val="auto"/>
              </w:rPr>
            </w:pPr>
            <w:r>
              <w:rPr>
                <w:rFonts w:ascii="Calibri" w:cs="Calibri" w:eastAsia="Calibri" w:hAnsi="Calibri"/>
                <w:sz w:val="15"/>
                <w:szCs w:val="15"/>
                <w:color w:val="auto"/>
              </w:rPr>
              <w:t>(21,095 )</w:t>
            </w:r>
          </w:p>
        </w:tc>
      </w:tr>
      <w:tr>
        <w:trPr>
          <w:trHeight w:val="24"/>
        </w:trPr>
        <w:tc>
          <w:tcPr>
            <w:tcW w:w="7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7"/>
        </w:trPr>
        <w:tc>
          <w:tcPr>
            <w:tcW w:w="724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5"/>
                <w:szCs w:val="15"/>
                <w:color w:val="auto"/>
              </w:rPr>
              <w:t>Transacton-related expenses</w:t>
            </w:r>
          </w:p>
        </w:tc>
        <w:tc>
          <w:tcPr>
            <w:tcW w:w="760" w:type="dxa"/>
            <w:vAlign w:val="bottom"/>
            <w:tcBorders>
              <w:bottom w:val="single" w:sz="8" w:color="CFF0FC"/>
            </w:tcBorders>
            <w:shd w:val="clear" w:color="auto" w:fill="CFF0FC"/>
          </w:tcPr>
          <w:p>
            <w:pPr>
              <w:spacing w:after="0"/>
              <w:rPr>
                <w:sz w:val="16"/>
                <w:szCs w:val="16"/>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1,044</w:t>
            </w:r>
          </w:p>
        </w:tc>
        <w:tc>
          <w:tcPr>
            <w:tcW w:w="28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CFF0FC"/>
            </w:tcBorders>
            <w:shd w:val="clear" w:color="auto" w:fill="CFF0FC"/>
          </w:tcPr>
          <w:p>
            <w:pPr>
              <w:spacing w:after="0"/>
              <w:rPr>
                <w:sz w:val="16"/>
                <w:szCs w:val="16"/>
                <w:color w:val="auto"/>
              </w:rPr>
            </w:pPr>
          </w:p>
        </w:tc>
        <w:tc>
          <w:tcPr>
            <w:tcW w:w="102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Calibri" w:cs="Calibri" w:eastAsia="Calibri" w:hAnsi="Calibri"/>
                <w:sz w:val="15"/>
                <w:szCs w:val="15"/>
                <w:color w:val="auto"/>
              </w:rPr>
              <w:t>—</w:t>
            </w:r>
          </w:p>
        </w:tc>
      </w:tr>
      <w:tr>
        <w:trPr>
          <w:trHeight w:val="183"/>
        </w:trPr>
        <w:tc>
          <w:tcPr>
            <w:tcW w:w="7240" w:type="dxa"/>
            <w:vAlign w:val="bottom"/>
          </w:tcPr>
          <w:p>
            <w:pPr>
              <w:spacing w:after="0"/>
              <w:rPr>
                <w:sz w:val="20"/>
                <w:szCs w:val="20"/>
                <w:color w:val="auto"/>
              </w:rPr>
            </w:pPr>
            <w:r>
              <w:rPr>
                <w:rFonts w:ascii="Calibri" w:cs="Calibri" w:eastAsia="Calibri" w:hAnsi="Calibri"/>
                <w:sz w:val="15"/>
                <w:szCs w:val="15"/>
                <w:color w:val="auto"/>
              </w:rPr>
              <w:t>Other income, net</w:t>
            </w:r>
          </w:p>
        </w:tc>
        <w:tc>
          <w:tcPr>
            <w:tcW w:w="760" w:type="dxa"/>
            <w:vAlign w:val="bottom"/>
          </w:tcPr>
          <w:p>
            <w:pPr>
              <w:spacing w:after="0"/>
              <w:rPr>
                <w:sz w:val="15"/>
                <w:szCs w:val="15"/>
                <w:color w:val="auto"/>
              </w:rPr>
            </w:pPr>
          </w:p>
        </w:tc>
        <w:tc>
          <w:tcPr>
            <w:tcW w:w="780" w:type="dxa"/>
            <w:vAlign w:val="bottom"/>
            <w:gridSpan w:val="2"/>
          </w:tcPr>
          <w:p>
            <w:pPr>
              <w:jc w:val="right"/>
              <w:ind w:right="159"/>
              <w:spacing w:after="0"/>
              <w:rPr>
                <w:sz w:val="20"/>
                <w:szCs w:val="20"/>
                <w:color w:val="auto"/>
              </w:rPr>
            </w:pPr>
            <w:r>
              <w:rPr>
                <w:rFonts w:ascii="Calibri" w:cs="Calibri" w:eastAsia="Calibri" w:hAnsi="Calibri"/>
                <w:sz w:val="15"/>
                <w:szCs w:val="15"/>
                <w:color w:val="auto"/>
                <w:w w:val="99"/>
              </w:rPr>
              <w:t>(19,060 )</w:t>
            </w:r>
          </w:p>
        </w:tc>
        <w:tc>
          <w:tcPr>
            <w:tcW w:w="340" w:type="dxa"/>
            <w:vAlign w:val="bottom"/>
          </w:tcPr>
          <w:p>
            <w:pPr>
              <w:spacing w:after="0"/>
              <w:rPr>
                <w:sz w:val="15"/>
                <w:szCs w:val="15"/>
                <w:color w:val="auto"/>
              </w:rPr>
            </w:pPr>
          </w:p>
        </w:tc>
        <w:tc>
          <w:tcPr>
            <w:tcW w:w="1020" w:type="dxa"/>
            <w:vAlign w:val="bottom"/>
            <w:gridSpan w:val="2"/>
          </w:tcPr>
          <w:p>
            <w:pPr>
              <w:jc w:val="right"/>
              <w:ind w:right="40"/>
              <w:spacing w:after="0"/>
              <w:rPr>
                <w:sz w:val="20"/>
                <w:szCs w:val="20"/>
                <w:color w:val="auto"/>
              </w:rPr>
            </w:pPr>
            <w:r>
              <w:rPr>
                <w:rFonts w:ascii="Calibri" w:cs="Calibri" w:eastAsia="Calibri" w:hAnsi="Calibri"/>
                <w:sz w:val="15"/>
                <w:szCs w:val="15"/>
                <w:color w:val="auto"/>
              </w:rPr>
              <w:t>(2,884 )</w:t>
            </w:r>
          </w:p>
        </w:tc>
      </w:tr>
      <w:tr>
        <w:trPr>
          <w:trHeight w:val="24"/>
        </w:trPr>
        <w:tc>
          <w:tcPr>
            <w:tcW w:w="7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2"/>
        </w:trPr>
        <w:tc>
          <w:tcPr>
            <w:tcW w:w="724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5"/>
                <w:szCs w:val="15"/>
                <w:color w:val="auto"/>
              </w:rPr>
              <w:t>Provision for income taxes</w:t>
            </w:r>
          </w:p>
        </w:tc>
        <w:tc>
          <w:tcPr>
            <w:tcW w:w="76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29,634</w:t>
            </w:r>
          </w:p>
        </w:tc>
        <w:tc>
          <w:tcPr>
            <w:tcW w:w="2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32,408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75"/>
        </w:trPr>
        <w:tc>
          <w:tcPr>
            <w:tcW w:w="7240" w:type="dxa"/>
            <w:vAlign w:val="bottom"/>
            <w:tcBorders>
              <w:top w:val="single" w:sz="8" w:color="CFF0FC"/>
            </w:tcBorders>
          </w:tcPr>
          <w:p>
            <w:pPr>
              <w:spacing w:after="0" w:line="174" w:lineRule="exact"/>
              <w:rPr>
                <w:sz w:val="20"/>
                <w:szCs w:val="20"/>
                <w:color w:val="auto"/>
              </w:rPr>
            </w:pPr>
            <w:r>
              <w:rPr>
                <w:rFonts w:ascii="Calibri" w:cs="Calibri" w:eastAsia="Calibri" w:hAnsi="Calibri"/>
                <w:sz w:val="15"/>
                <w:szCs w:val="15"/>
                <w:color w:val="auto"/>
              </w:rPr>
              <w:t>Consolidated Adjusted EBITDA</w:t>
            </w:r>
          </w:p>
        </w:tc>
        <w:tc>
          <w:tcPr>
            <w:tcW w:w="76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jc w:val="right"/>
              <w:spacing w:after="0" w:line="174" w:lineRule="exact"/>
              <w:rPr>
                <w:sz w:val="20"/>
                <w:szCs w:val="20"/>
                <w:color w:val="auto"/>
              </w:rPr>
            </w:pPr>
            <w:r>
              <w:rPr>
                <w:rFonts w:ascii="Calibri" w:cs="Calibri" w:eastAsia="Calibri" w:hAnsi="Calibri"/>
                <w:sz w:val="15"/>
                <w:szCs w:val="15"/>
                <w:color w:val="auto"/>
                <w:w w:val="97"/>
              </w:rPr>
              <w:t>195,785</w:t>
            </w:r>
          </w:p>
        </w:tc>
        <w:tc>
          <w:tcPr>
            <w:tcW w:w="280" w:type="dxa"/>
            <w:vAlign w:val="bottom"/>
            <w:tcBorders>
              <w:top w:val="single" w:sz="8" w:color="CFF0FC"/>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line="174" w:lineRule="exact"/>
              <w:rPr>
                <w:sz w:val="20"/>
                <w:szCs w:val="20"/>
                <w:color w:val="auto"/>
              </w:rPr>
            </w:pPr>
            <w:r>
              <w:rPr>
                <w:rFonts w:ascii="Calibri" w:cs="Calibri" w:eastAsia="Calibri" w:hAnsi="Calibri"/>
                <w:sz w:val="15"/>
                <w:szCs w:val="15"/>
                <w:color w:val="auto"/>
              </w:rPr>
              <w:t>187,659</w:t>
            </w:r>
          </w:p>
        </w:tc>
        <w:tc>
          <w:tcPr>
            <w:tcW w:w="100" w:type="dxa"/>
            <w:vAlign w:val="bottom"/>
            <w:tcBorders>
              <w:top w:val="single" w:sz="8" w:color="CFF0FC"/>
            </w:tcBorders>
          </w:tcPr>
          <w:p>
            <w:pPr>
              <w:spacing w:after="0"/>
              <w:rPr>
                <w:sz w:val="15"/>
                <w:szCs w:val="15"/>
                <w:color w:val="auto"/>
              </w:rPr>
            </w:pPr>
          </w:p>
        </w:tc>
      </w:tr>
      <w:tr>
        <w:trPr>
          <w:trHeight w:val="24"/>
        </w:trPr>
        <w:tc>
          <w:tcPr>
            <w:tcW w:w="7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2"/>
        </w:trPr>
        <w:tc>
          <w:tcPr>
            <w:tcW w:w="724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5"/>
                <w:szCs w:val="15"/>
                <w:color w:val="auto"/>
              </w:rPr>
              <w:t>Adjusted EBITDA atributable to redeemable noncontrolling interest</w:t>
            </w:r>
          </w:p>
        </w:tc>
        <w:tc>
          <w:tcPr>
            <w:tcW w:w="76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83</w:t>
            </w:r>
          </w:p>
        </w:tc>
        <w:tc>
          <w:tcPr>
            <w:tcW w:w="2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1,006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79"/>
        </w:trPr>
        <w:tc>
          <w:tcPr>
            <w:tcW w:w="7240" w:type="dxa"/>
            <w:vAlign w:val="bottom"/>
            <w:tcBorders>
              <w:top w:val="single" w:sz="8" w:color="CFF0FC"/>
            </w:tcBorders>
          </w:tcPr>
          <w:p>
            <w:pPr>
              <w:spacing w:after="0" w:line="179" w:lineRule="exact"/>
              <w:rPr>
                <w:sz w:val="20"/>
                <w:szCs w:val="20"/>
                <w:color w:val="auto"/>
              </w:rPr>
            </w:pPr>
            <w:r>
              <w:rPr>
                <w:rFonts w:ascii="Calibri" w:cs="Calibri" w:eastAsia="Calibri" w:hAnsi="Calibri"/>
                <w:sz w:val="15"/>
                <w:szCs w:val="15"/>
                <w:color w:val="auto"/>
              </w:rPr>
              <w:t>Adjusted EBITDA</w:t>
            </w:r>
          </w:p>
        </w:tc>
        <w:tc>
          <w:tcPr>
            <w:tcW w:w="760" w:type="dxa"/>
            <w:vAlign w:val="bottom"/>
            <w:tcBorders>
              <w:top w:val="single" w:sz="8" w:color="auto"/>
            </w:tcBorders>
          </w:tcPr>
          <w:p>
            <w:pPr>
              <w:jc w:val="right"/>
              <w:ind w:right="611"/>
              <w:spacing w:after="0" w:line="179" w:lineRule="exact"/>
              <w:rPr>
                <w:sz w:val="20"/>
                <w:szCs w:val="20"/>
                <w:color w:val="auto"/>
              </w:rPr>
            </w:pPr>
            <w:r>
              <w:rPr>
                <w:rFonts w:ascii="Calibri" w:cs="Calibri" w:eastAsia="Calibri" w:hAnsi="Calibri"/>
                <w:sz w:val="15"/>
                <w:szCs w:val="15"/>
                <w:color w:val="auto"/>
                <w:w w:val="78"/>
              </w:rPr>
              <w:t>$</w:t>
            </w:r>
          </w:p>
        </w:tc>
        <w:tc>
          <w:tcPr>
            <w:tcW w:w="500" w:type="dxa"/>
            <w:vAlign w:val="bottom"/>
            <w:tcBorders>
              <w:top w:val="single" w:sz="8" w:color="auto"/>
            </w:tcBorders>
          </w:tcPr>
          <w:p>
            <w:pPr>
              <w:jc w:val="right"/>
              <w:spacing w:after="0" w:line="179" w:lineRule="exact"/>
              <w:rPr>
                <w:sz w:val="20"/>
                <w:szCs w:val="20"/>
                <w:color w:val="auto"/>
              </w:rPr>
            </w:pPr>
            <w:r>
              <w:rPr>
                <w:rFonts w:ascii="Calibri" w:cs="Calibri" w:eastAsia="Calibri" w:hAnsi="Calibri"/>
                <w:sz w:val="15"/>
                <w:szCs w:val="15"/>
                <w:color w:val="auto"/>
                <w:w w:val="97"/>
              </w:rPr>
              <w:t>195,702</w:t>
            </w:r>
          </w:p>
        </w:tc>
        <w:tc>
          <w:tcPr>
            <w:tcW w:w="280" w:type="dxa"/>
            <w:vAlign w:val="bottom"/>
            <w:tcBorders>
              <w:top w:val="single" w:sz="8" w:color="CFF0FC"/>
            </w:tcBorders>
          </w:tcPr>
          <w:p>
            <w:pPr>
              <w:spacing w:after="0"/>
              <w:rPr>
                <w:sz w:val="15"/>
                <w:szCs w:val="15"/>
                <w:color w:val="auto"/>
              </w:rPr>
            </w:pPr>
          </w:p>
        </w:tc>
        <w:tc>
          <w:tcPr>
            <w:tcW w:w="340" w:type="dxa"/>
            <w:vAlign w:val="bottom"/>
            <w:tcBorders>
              <w:top w:val="single" w:sz="8" w:color="auto"/>
            </w:tcBorders>
          </w:tcPr>
          <w:p>
            <w:pPr>
              <w:jc w:val="right"/>
              <w:ind w:right="183"/>
              <w:spacing w:after="0" w:line="179" w:lineRule="exact"/>
              <w:rPr>
                <w:sz w:val="20"/>
                <w:szCs w:val="20"/>
                <w:color w:val="auto"/>
              </w:rPr>
            </w:pPr>
            <w:r>
              <w:rPr>
                <w:rFonts w:ascii="Calibri" w:cs="Calibri" w:eastAsia="Calibri" w:hAnsi="Calibri"/>
                <w:sz w:val="15"/>
                <w:szCs w:val="15"/>
                <w:color w:val="auto"/>
                <w:w w:val="78"/>
              </w:rPr>
              <w:t>$</w:t>
            </w:r>
          </w:p>
        </w:tc>
        <w:tc>
          <w:tcPr>
            <w:tcW w:w="920" w:type="dxa"/>
            <w:vAlign w:val="bottom"/>
            <w:tcBorders>
              <w:top w:val="single" w:sz="8" w:color="auto"/>
            </w:tcBorders>
          </w:tcPr>
          <w:p>
            <w:pPr>
              <w:jc w:val="right"/>
              <w:spacing w:after="0" w:line="179" w:lineRule="exact"/>
              <w:rPr>
                <w:sz w:val="20"/>
                <w:szCs w:val="20"/>
                <w:color w:val="auto"/>
              </w:rPr>
            </w:pPr>
            <w:r>
              <w:rPr>
                <w:rFonts w:ascii="Calibri" w:cs="Calibri" w:eastAsia="Calibri" w:hAnsi="Calibri"/>
                <w:sz w:val="15"/>
                <w:szCs w:val="15"/>
                <w:color w:val="auto"/>
              </w:rPr>
              <w:t>186,653</w:t>
            </w:r>
          </w:p>
        </w:tc>
        <w:tc>
          <w:tcPr>
            <w:tcW w:w="100" w:type="dxa"/>
            <w:vAlign w:val="bottom"/>
            <w:tcBorders>
              <w:top w:val="single" w:sz="8" w:color="CFF0FC"/>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5759450</wp:posOffset>
            </wp:positionH>
            <wp:positionV relativeFrom="paragraph">
              <wp:posOffset>-396240</wp:posOffset>
            </wp:positionV>
            <wp:extent cx="66040"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6731000</wp:posOffset>
            </wp:positionH>
            <wp:positionV relativeFrom="paragraph">
              <wp:posOffset>-396240</wp:posOffset>
            </wp:positionV>
            <wp:extent cx="58420"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8420" cy="7620"/>
                    </a:xfrm>
                    <a:prstGeom prst="rect">
                      <a:avLst/>
                    </a:prstGeom>
                    <a:noFill/>
                  </pic:spPr>
                </pic:pic>
              </a:graphicData>
            </a:graphic>
          </wp:anchor>
        </w:drawing>
        <w:drawing>
          <wp:anchor simplePos="0" relativeHeight="251657728" behindDoc="1" locked="0" layoutInCell="0" allowOverlap="1">
            <wp:simplePos x="0" y="0"/>
            <wp:positionH relativeFrom="column">
              <wp:posOffset>5759450</wp:posOffset>
            </wp:positionH>
            <wp:positionV relativeFrom="paragraph">
              <wp:posOffset>-125730</wp:posOffset>
            </wp:positionV>
            <wp:extent cx="66040"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6731000</wp:posOffset>
            </wp:positionH>
            <wp:positionV relativeFrom="paragraph">
              <wp:posOffset>-125730</wp:posOffset>
            </wp:positionV>
            <wp:extent cx="58420"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8420" cy="7620"/>
                    </a:xfrm>
                    <a:prstGeom prst="rect">
                      <a:avLst/>
                    </a:prstGeom>
                    <a:noFill/>
                  </pic:spPr>
                </pic:pic>
              </a:graphicData>
            </a:graphic>
          </wp:anchor>
        </w:drawing>
      </w:r>
    </w:p>
    <w:p>
      <w:pPr>
        <w:ind w:left="1020" w:hanging="522"/>
        <w:spacing w:after="0" w:line="185" w:lineRule="auto"/>
        <w:tabs>
          <w:tab w:leader="none" w:pos="1020" w:val="left"/>
        </w:tabs>
        <w:numPr>
          <w:ilvl w:val="0"/>
          <w:numId w:val="25"/>
        </w:numPr>
        <w:rPr>
          <w:rFonts w:ascii="Calibri" w:cs="Calibri" w:eastAsia="Calibri" w:hAnsi="Calibri"/>
          <w:sz w:val="18"/>
          <w:szCs w:val="18"/>
          <w:color w:val="auto"/>
          <w:vertAlign w:val="subscript"/>
        </w:rPr>
      </w:pPr>
      <w:r>
        <w:rPr>
          <w:rFonts w:ascii="Calibri" w:cs="Calibri" w:eastAsia="Calibri" w:hAnsi="Calibri"/>
          <w:sz w:val="10"/>
          <w:szCs w:val="10"/>
          <w:color w:val="auto"/>
        </w:rPr>
        <w:t>We have updated the table above to separately disclose the stock-based compensaton expense for CarOfer, LLC Units and, as such, have updated the three months and year ended December 31, 2022 for comparatve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4948555</wp:posOffset>
            </wp:positionH>
            <wp:positionV relativeFrom="paragraph">
              <wp:posOffset>-94615</wp:posOffset>
            </wp:positionV>
            <wp:extent cx="1782445" cy="222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782445" cy="22225"/>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Calibri" w:cs="Calibri" w:eastAsia="Calibri" w:hAnsi="Calibri"/>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408940</wp:posOffset>
            </wp:positionV>
            <wp:extent cx="7178040" cy="400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45" w:right="319" w:bottom="1440" w:gutter="0" w:footer="0" w:header="0"/>
        </w:sectPr>
      </w:pPr>
    </w:p>
    <w:bookmarkStart w:id="55" w:name="page56"/>
    <w:bookmarkEnd w:id="55"/>
    <w:p>
      <w:pPr>
        <w:ind w:firstLine="511"/>
        <w:spacing w:after="0" w:line="347" w:lineRule="auto"/>
        <w:rPr>
          <w:sz w:val="20"/>
          <w:szCs w:val="20"/>
          <w:color w:val="auto"/>
        </w:rPr>
      </w:pPr>
      <w:r>
        <w:rPr>
          <w:rFonts w:ascii="MS PGothic" w:cs="MS PGothic" w:eastAsia="MS PGothic" w:hAnsi="MS PGothic"/>
          <w:sz w:val="15"/>
          <w:szCs w:val="15"/>
          <w:color w:val="auto"/>
        </w:rPr>
        <w:t>For the years ended December 31, 2023 and 2022, the following table presents a reconciliaton of Adjusted EBITDA atributable to redeemable noncontrolling interest to net loss atributable to redeemable noncontrolling interest, the most directly comparable measure calculated in accordance with GAAP, for each of the periods presented.</w:t>
      </w:r>
    </w:p>
    <w:p>
      <w:pPr>
        <w:spacing w:after="0" w:line="136" w:lineRule="exact"/>
        <w:rPr>
          <w:sz w:val="20"/>
          <w:szCs w:val="20"/>
          <w:color w:val="auto"/>
        </w:rPr>
      </w:pPr>
    </w:p>
    <w:tbl>
      <w:tblPr>
        <w:tblLayout w:type="fixed"/>
        <w:tblInd w:w="560" w:type="dxa"/>
        <w:tblCellMar>
          <w:top w:w="0" w:type="dxa"/>
          <w:left w:w="0" w:type="dxa"/>
          <w:bottom w:w="0" w:type="dxa"/>
          <w:right w:w="0" w:type="dxa"/>
        </w:tblCellMar>
      </w:tblPr>
      <w:tr>
        <w:trPr>
          <w:trHeight w:val="146"/>
        </w:trPr>
        <w:tc>
          <w:tcPr>
            <w:tcW w:w="7240" w:type="dxa"/>
            <w:vAlign w:val="bottom"/>
          </w:tcPr>
          <w:p>
            <w:pPr>
              <w:spacing w:after="0"/>
              <w:rPr>
                <w:sz w:val="12"/>
                <w:szCs w:val="12"/>
                <w:color w:val="auto"/>
              </w:rPr>
            </w:pPr>
          </w:p>
        </w:tc>
        <w:tc>
          <w:tcPr>
            <w:tcW w:w="2360" w:type="dxa"/>
            <w:vAlign w:val="bottom"/>
            <w:gridSpan w:val="4"/>
          </w:tcPr>
          <w:p>
            <w:pPr>
              <w:jc w:val="right"/>
              <w:ind w:right="248"/>
              <w:spacing w:after="0"/>
              <w:rPr>
                <w:sz w:val="20"/>
                <w:szCs w:val="20"/>
                <w:color w:val="auto"/>
              </w:rPr>
            </w:pPr>
            <w:r>
              <w:rPr>
                <w:rFonts w:ascii="Calibri" w:cs="Calibri" w:eastAsia="Calibri" w:hAnsi="Calibri"/>
                <w:sz w:val="12"/>
                <w:szCs w:val="12"/>
                <w:b w:val="1"/>
                <w:bCs w:val="1"/>
                <w:color w:val="auto"/>
              </w:rPr>
              <w:t>Year Ended December 31,</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8"/>
        </w:trPr>
        <w:tc>
          <w:tcPr>
            <w:tcW w:w="724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64"/>
        </w:trPr>
        <w:tc>
          <w:tcPr>
            <w:tcW w:w="724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Calibri" w:cs="Calibri" w:eastAsia="Calibri" w:hAnsi="Calibri"/>
                <w:sz w:val="12"/>
                <w:szCs w:val="12"/>
                <w:b w:val="1"/>
                <w:bCs w:val="1"/>
                <w:color w:val="auto"/>
              </w:rPr>
              <w:t>2023</w:t>
            </w:r>
          </w:p>
        </w:tc>
        <w:tc>
          <w:tcPr>
            <w:tcW w:w="4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Borders>
              <w:bottom w:val="single" w:sz="8" w:color="auto"/>
            </w:tcBorders>
          </w:tcPr>
          <w:p>
            <w:pPr>
              <w:jc w:val="right"/>
              <w:spacing w:after="0" w:line="164" w:lineRule="exact"/>
              <w:rPr>
                <w:sz w:val="20"/>
                <w:szCs w:val="20"/>
                <w:color w:val="auto"/>
              </w:rPr>
            </w:pPr>
            <w:r>
              <w:rPr>
                <w:rFonts w:ascii="Calibri" w:cs="Calibri" w:eastAsia="Calibri" w:hAnsi="Calibri"/>
                <w:sz w:val="12"/>
                <w:szCs w:val="12"/>
                <w:b w:val="1"/>
                <w:bCs w:val="1"/>
                <w:color w:val="auto"/>
              </w:rPr>
              <w:t>2022</w:t>
            </w:r>
            <w:r>
              <w:rPr>
                <w:rFonts w:ascii="Calibri" w:cs="Calibri" w:eastAsia="Calibri" w:hAnsi="Calibri"/>
                <w:sz w:val="16"/>
                <w:szCs w:val="16"/>
                <w:b w:val="1"/>
                <w:bCs w:val="1"/>
                <w:color w:val="auto"/>
                <w:vertAlign w:val="superscript"/>
              </w:rPr>
              <w:t>(1)</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7"/>
        </w:trPr>
        <w:tc>
          <w:tcPr>
            <w:tcW w:w="7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jc w:val="right"/>
              <w:ind w:right="25"/>
              <w:spacing w:after="0" w:line="138" w:lineRule="exact"/>
              <w:rPr>
                <w:sz w:val="20"/>
                <w:szCs w:val="20"/>
                <w:color w:val="auto"/>
              </w:rPr>
            </w:pPr>
            <w:r>
              <w:rPr>
                <w:rFonts w:ascii="Calibri" w:cs="Calibri" w:eastAsia="Calibri" w:hAnsi="Calibri"/>
                <w:sz w:val="12"/>
                <w:szCs w:val="12"/>
                <w:b w:val="1"/>
                <w:bCs w:val="1"/>
                <w:color w:val="auto"/>
              </w:rPr>
              <w:t>(in</w:t>
            </w:r>
          </w:p>
        </w:tc>
        <w:tc>
          <w:tcPr>
            <w:tcW w:w="1100" w:type="dxa"/>
            <w:vAlign w:val="bottom"/>
            <w:gridSpan w:val="2"/>
          </w:tcPr>
          <w:p>
            <w:pPr>
              <w:jc w:val="right"/>
              <w:ind w:right="528"/>
              <w:spacing w:after="0" w:line="138" w:lineRule="exact"/>
              <w:rPr>
                <w:sz w:val="20"/>
                <w:szCs w:val="20"/>
                <w:color w:val="auto"/>
              </w:rPr>
            </w:pPr>
            <w:r>
              <w:rPr>
                <w:rFonts w:ascii="Calibri" w:cs="Calibri" w:eastAsia="Calibri" w:hAnsi="Calibri"/>
                <w:sz w:val="12"/>
                <w:szCs w:val="12"/>
                <w:b w:val="1"/>
                <w:bCs w:val="1"/>
                <w:color w:val="auto"/>
                <w:w w:val="86"/>
              </w:rPr>
              <w:t>thousands)</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03"/>
        </w:trPr>
        <w:tc>
          <w:tcPr>
            <w:tcW w:w="7240" w:type="dxa"/>
            <w:vAlign w:val="bottom"/>
          </w:tcPr>
          <w:p>
            <w:pPr>
              <w:spacing w:after="0"/>
              <w:rPr>
                <w:sz w:val="20"/>
                <w:szCs w:val="20"/>
                <w:color w:val="auto"/>
              </w:rPr>
            </w:pPr>
            <w:r>
              <w:rPr>
                <w:rFonts w:ascii="Calibri" w:cs="Calibri" w:eastAsia="Calibri" w:hAnsi="Calibri"/>
                <w:sz w:val="15"/>
                <w:szCs w:val="15"/>
                <w:b w:val="1"/>
                <w:bCs w:val="1"/>
                <w:color w:val="auto"/>
              </w:rPr>
              <w:t>Reconciliaton of Adjusted EBITDA atributable to redeemable noncontrolling interest:</w:t>
            </w: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1"/>
        </w:trPr>
        <w:tc>
          <w:tcPr>
            <w:tcW w:w="7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7"/>
        </w:trPr>
        <w:tc>
          <w:tcPr>
            <w:tcW w:w="7240" w:type="dxa"/>
            <w:vAlign w:val="bottom"/>
            <w:tcBorders>
              <w:bottom w:val="single" w:sz="8" w:color="CFF0FC"/>
            </w:tcBorders>
            <w:shd w:val="clear" w:color="auto" w:fill="CFF0FC"/>
          </w:tcPr>
          <w:p>
            <w:pPr>
              <w:spacing w:after="0"/>
              <w:rPr>
                <w:sz w:val="20"/>
                <w:szCs w:val="20"/>
                <w:color w:val="auto"/>
              </w:rPr>
            </w:pPr>
            <w:r>
              <w:rPr>
                <w:rFonts w:ascii="MS PGothic" w:cs="MS PGothic" w:eastAsia="MS PGothic" w:hAnsi="MS PGothic"/>
                <w:sz w:val="15"/>
                <w:szCs w:val="15"/>
                <w:color w:val="auto"/>
              </w:rPr>
              <w:t>Net loss atributable to redeemable noncontrolling interest</w:t>
            </w:r>
          </w:p>
        </w:tc>
        <w:tc>
          <w:tcPr>
            <w:tcW w:w="780" w:type="dxa"/>
            <w:vAlign w:val="bottom"/>
            <w:tcBorders>
              <w:bottom w:val="single" w:sz="8" w:color="CFF0FC"/>
            </w:tcBorders>
            <w:shd w:val="clear" w:color="auto" w:fill="CFF0FC"/>
          </w:tcPr>
          <w:p>
            <w:pPr>
              <w:jc w:val="right"/>
              <w:ind w:right="631"/>
              <w:spacing w:after="0"/>
              <w:rPr>
                <w:sz w:val="20"/>
                <w:szCs w:val="20"/>
                <w:color w:val="auto"/>
              </w:rPr>
            </w:pPr>
            <w:r>
              <w:rPr>
                <w:rFonts w:ascii="MS PGothic" w:cs="MS PGothic" w:eastAsia="MS PGothic" w:hAnsi="MS PGothic"/>
                <w:sz w:val="15"/>
                <w:szCs w:val="15"/>
                <w:color w:val="auto"/>
                <w:w w:val="79"/>
              </w:rPr>
              <w:t>$</w:t>
            </w:r>
          </w:p>
        </w:tc>
        <w:tc>
          <w:tcPr>
            <w:tcW w:w="760" w:type="dxa"/>
            <w:vAlign w:val="bottom"/>
            <w:tcBorders>
              <w:bottom w:val="single" w:sz="8" w:color="CFF0FC"/>
            </w:tcBorders>
            <w:gridSpan w:val="2"/>
            <w:shd w:val="clear" w:color="auto" w:fill="CFF0FC"/>
          </w:tcPr>
          <w:p>
            <w:pPr>
              <w:jc w:val="right"/>
              <w:ind w:right="159"/>
              <w:spacing w:after="0"/>
              <w:rPr>
                <w:sz w:val="20"/>
                <w:szCs w:val="20"/>
                <w:color w:val="auto"/>
              </w:rPr>
            </w:pPr>
            <w:r>
              <w:rPr>
                <w:rFonts w:ascii="MS PGothic" w:cs="MS PGothic" w:eastAsia="MS PGothic" w:hAnsi="MS PGothic"/>
                <w:sz w:val="15"/>
                <w:szCs w:val="15"/>
                <w:color w:val="auto"/>
                <w:w w:val="95"/>
              </w:rPr>
              <w:t>(14,889 )</w:t>
            </w:r>
          </w:p>
        </w:tc>
        <w:tc>
          <w:tcPr>
            <w:tcW w:w="820" w:type="dxa"/>
            <w:vAlign w:val="bottom"/>
            <w:tcBorders>
              <w:bottom w:val="single" w:sz="8" w:color="CFF0FC"/>
            </w:tcBorders>
            <w:shd w:val="clear" w:color="auto" w:fill="CFF0FC"/>
          </w:tcPr>
          <w:p>
            <w:pPr>
              <w:jc w:val="right"/>
              <w:ind w:right="668"/>
              <w:spacing w:after="0"/>
              <w:rPr>
                <w:sz w:val="20"/>
                <w:szCs w:val="20"/>
                <w:color w:val="auto"/>
              </w:rPr>
            </w:pPr>
            <w:r>
              <w:rPr>
                <w:rFonts w:ascii="MS PGothic" w:cs="MS PGothic" w:eastAsia="MS PGothic" w:hAnsi="MS PGothic"/>
                <w:sz w:val="15"/>
                <w:szCs w:val="15"/>
                <w:color w:val="auto"/>
                <w:w w:val="79"/>
              </w:rPr>
              <w:t>$</w:t>
            </w:r>
          </w:p>
        </w:tc>
        <w:tc>
          <w:tcPr>
            <w:tcW w:w="540" w:type="dxa"/>
            <w:vAlign w:val="bottom"/>
            <w:tcBorders>
              <w:bottom w:val="single" w:sz="8" w:color="CFF0FC"/>
            </w:tcBorders>
            <w:gridSpan w:val="2"/>
            <w:shd w:val="clear" w:color="auto" w:fill="CFF0FC"/>
          </w:tcPr>
          <w:p>
            <w:pPr>
              <w:jc w:val="right"/>
              <w:ind w:right="40"/>
              <w:spacing w:after="0"/>
              <w:rPr>
                <w:sz w:val="20"/>
                <w:szCs w:val="20"/>
                <w:color w:val="auto"/>
              </w:rPr>
            </w:pPr>
            <w:r>
              <w:rPr>
                <w:rFonts w:ascii="MS PGothic" w:cs="MS PGothic" w:eastAsia="MS PGothic" w:hAnsi="MS PGothic"/>
                <w:sz w:val="15"/>
                <w:szCs w:val="15"/>
                <w:color w:val="auto"/>
              </w:rPr>
              <w:t>(5,433 )</w:t>
            </w:r>
          </w:p>
        </w:tc>
      </w:tr>
      <w:tr>
        <w:trPr>
          <w:trHeight w:val="207"/>
        </w:trPr>
        <w:tc>
          <w:tcPr>
            <w:tcW w:w="7240" w:type="dxa"/>
            <w:vAlign w:val="bottom"/>
          </w:tcPr>
          <w:p>
            <w:pPr>
              <w:spacing w:after="0" w:line="207" w:lineRule="exact"/>
              <w:rPr>
                <w:sz w:val="20"/>
                <w:szCs w:val="20"/>
                <w:color w:val="auto"/>
              </w:rPr>
            </w:pPr>
            <w:r>
              <w:rPr>
                <w:rFonts w:ascii="MS PGothic" w:cs="MS PGothic" w:eastAsia="MS PGothic" w:hAnsi="MS PGothic"/>
                <w:sz w:val="15"/>
                <w:szCs w:val="15"/>
                <w:color w:val="auto"/>
              </w:rPr>
              <w:t xml:space="preserve">Depreciaton and amortzaton </w:t>
            </w:r>
            <w:r>
              <w:rPr>
                <w:rFonts w:ascii="Calibri" w:cs="Calibri" w:eastAsia="Calibri" w:hAnsi="Calibri"/>
                <w:sz w:val="20"/>
                <w:szCs w:val="20"/>
                <w:color w:val="auto"/>
                <w:vertAlign w:val="superscript"/>
              </w:rPr>
              <w:t>(2)</w:t>
            </w:r>
          </w:p>
        </w:tc>
        <w:tc>
          <w:tcPr>
            <w:tcW w:w="7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MS PGothic" w:cs="MS PGothic" w:eastAsia="MS PGothic" w:hAnsi="MS PGothic"/>
                <w:sz w:val="15"/>
                <w:szCs w:val="15"/>
                <w:color w:val="auto"/>
              </w:rPr>
              <w:t>10,863</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MS PGothic" w:cs="MS PGothic" w:eastAsia="MS PGothic" w:hAnsi="MS PGothic"/>
                <w:sz w:val="15"/>
                <w:szCs w:val="15"/>
                <w:color w:val="auto"/>
              </w:rPr>
              <w:t>11,702</w:t>
            </w:r>
          </w:p>
        </w:tc>
        <w:tc>
          <w:tcPr>
            <w:tcW w:w="100" w:type="dxa"/>
            <w:vAlign w:val="bottom"/>
          </w:tcPr>
          <w:p>
            <w:pPr>
              <w:spacing w:after="0"/>
              <w:rPr>
                <w:sz w:val="18"/>
                <w:szCs w:val="18"/>
                <w:color w:val="auto"/>
              </w:rPr>
            </w:pPr>
          </w:p>
        </w:tc>
      </w:tr>
      <w:tr>
        <w:trPr>
          <w:trHeight w:val="207"/>
        </w:trPr>
        <w:tc>
          <w:tcPr>
            <w:tcW w:w="7240" w:type="dxa"/>
            <w:vAlign w:val="bottom"/>
            <w:shd w:val="clear" w:color="auto" w:fill="CFF0FC"/>
          </w:tcPr>
          <w:p>
            <w:pPr>
              <w:spacing w:after="0" w:line="207" w:lineRule="exact"/>
              <w:rPr>
                <w:sz w:val="20"/>
                <w:szCs w:val="20"/>
                <w:color w:val="auto"/>
              </w:rPr>
            </w:pPr>
            <w:r>
              <w:rPr>
                <w:rFonts w:ascii="MS PGothic" w:cs="MS PGothic" w:eastAsia="MS PGothic" w:hAnsi="MS PGothic"/>
                <w:sz w:val="15"/>
                <w:szCs w:val="15"/>
                <w:color w:val="auto"/>
              </w:rPr>
              <w:t xml:space="preserve">Impairment of long-lived assets </w:t>
            </w:r>
            <w:r>
              <w:rPr>
                <w:rFonts w:ascii="Calibri" w:cs="Calibri" w:eastAsia="Calibri" w:hAnsi="Calibri"/>
                <w:sz w:val="20"/>
                <w:szCs w:val="20"/>
                <w:color w:val="auto"/>
                <w:vertAlign w:val="superscript"/>
              </w:rPr>
              <w:t>(2)</w:t>
            </w:r>
          </w:p>
        </w:tc>
        <w:tc>
          <w:tcPr>
            <w:tcW w:w="78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MS PGothic" w:cs="MS PGothic" w:eastAsia="MS PGothic" w:hAnsi="MS PGothic"/>
                <w:sz w:val="15"/>
                <w:szCs w:val="15"/>
                <w:color w:val="auto"/>
              </w:rPr>
              <w:t>67</w:t>
            </w:r>
          </w:p>
        </w:tc>
        <w:tc>
          <w:tcPr>
            <w:tcW w:w="2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MS PGothic" w:cs="MS PGothic" w:eastAsia="MS PGothic" w:hAnsi="MS PGothic"/>
                <w:sz w:val="15"/>
                <w:szCs w:val="15"/>
                <w:color w:val="auto"/>
              </w:rPr>
              <w:t>63</w:t>
            </w:r>
          </w:p>
        </w:tc>
        <w:tc>
          <w:tcPr>
            <w:tcW w:w="100" w:type="dxa"/>
            <w:vAlign w:val="bottom"/>
            <w:shd w:val="clear" w:color="auto" w:fill="CFF0FC"/>
          </w:tcPr>
          <w:p>
            <w:pPr>
              <w:spacing w:after="0"/>
              <w:rPr>
                <w:sz w:val="18"/>
                <w:szCs w:val="18"/>
                <w:color w:val="auto"/>
              </w:rPr>
            </w:pPr>
          </w:p>
        </w:tc>
      </w:tr>
      <w:tr>
        <w:trPr>
          <w:trHeight w:val="207"/>
        </w:trPr>
        <w:tc>
          <w:tcPr>
            <w:tcW w:w="7240" w:type="dxa"/>
            <w:vAlign w:val="bottom"/>
          </w:tcPr>
          <w:p>
            <w:pPr>
              <w:spacing w:after="0" w:line="207" w:lineRule="exact"/>
              <w:rPr>
                <w:sz w:val="20"/>
                <w:szCs w:val="20"/>
                <w:color w:val="auto"/>
              </w:rPr>
            </w:pPr>
            <w:r>
              <w:rPr>
                <w:rFonts w:ascii="MS PGothic" w:cs="MS PGothic" w:eastAsia="MS PGothic" w:hAnsi="MS PGothic"/>
                <w:sz w:val="15"/>
                <w:szCs w:val="15"/>
                <w:color w:val="auto"/>
              </w:rPr>
              <w:t xml:space="preserve">Stock-based compensaton expense </w:t>
            </w:r>
            <w:r>
              <w:rPr>
                <w:rFonts w:ascii="Calibri" w:cs="Calibri" w:eastAsia="Calibri" w:hAnsi="Calibri"/>
                <w:sz w:val="20"/>
                <w:szCs w:val="20"/>
                <w:color w:val="auto"/>
                <w:vertAlign w:val="superscript"/>
              </w:rPr>
              <w:t>(2)</w:t>
            </w:r>
          </w:p>
        </w:tc>
        <w:tc>
          <w:tcPr>
            <w:tcW w:w="7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MS PGothic" w:cs="MS PGothic" w:eastAsia="MS PGothic" w:hAnsi="MS PGothic"/>
                <w:sz w:val="15"/>
                <w:szCs w:val="15"/>
                <w:color w:val="auto"/>
              </w:rPr>
              <w:t>783</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MS PGothic" w:cs="MS PGothic" w:eastAsia="MS PGothic" w:hAnsi="MS PGothic"/>
                <w:sz w:val="15"/>
                <w:szCs w:val="15"/>
                <w:color w:val="auto"/>
              </w:rPr>
              <w:t>731</w:t>
            </w:r>
          </w:p>
        </w:tc>
        <w:tc>
          <w:tcPr>
            <w:tcW w:w="100" w:type="dxa"/>
            <w:vAlign w:val="bottom"/>
          </w:tcPr>
          <w:p>
            <w:pPr>
              <w:spacing w:after="0"/>
              <w:rPr>
                <w:sz w:val="18"/>
                <w:szCs w:val="18"/>
                <w:color w:val="auto"/>
              </w:rPr>
            </w:pPr>
          </w:p>
        </w:tc>
      </w:tr>
      <w:tr>
        <w:trPr>
          <w:trHeight w:val="207"/>
        </w:trPr>
        <w:tc>
          <w:tcPr>
            <w:tcW w:w="7240" w:type="dxa"/>
            <w:vAlign w:val="bottom"/>
            <w:shd w:val="clear" w:color="auto" w:fill="CFF0FC"/>
          </w:tcPr>
          <w:p>
            <w:pPr>
              <w:spacing w:after="0" w:line="207" w:lineRule="exact"/>
              <w:rPr>
                <w:sz w:val="20"/>
                <w:szCs w:val="20"/>
                <w:color w:val="auto"/>
              </w:rPr>
            </w:pPr>
            <w:r>
              <w:rPr>
                <w:rFonts w:ascii="MS PGothic" w:cs="MS PGothic" w:eastAsia="MS PGothic" w:hAnsi="MS PGothic"/>
                <w:sz w:val="15"/>
                <w:szCs w:val="15"/>
                <w:color w:val="auto"/>
              </w:rPr>
              <w:t xml:space="preserve">Stock-based compensaton expense for CarOfer, LLC Units </w:t>
            </w:r>
            <w:r>
              <w:rPr>
                <w:rFonts w:ascii="Calibri" w:cs="Calibri" w:eastAsia="Calibri" w:hAnsi="Calibri"/>
                <w:sz w:val="20"/>
                <w:szCs w:val="20"/>
                <w:color w:val="auto"/>
                <w:vertAlign w:val="superscript"/>
              </w:rPr>
              <w:t>(2)</w:t>
            </w:r>
          </w:p>
        </w:tc>
        <w:tc>
          <w:tcPr>
            <w:tcW w:w="78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MS PGothic" w:cs="MS PGothic" w:eastAsia="MS PGothic" w:hAnsi="MS PGothic"/>
                <w:sz w:val="15"/>
                <w:szCs w:val="15"/>
                <w:color w:val="auto"/>
              </w:rPr>
              <w:t>2,249</w:t>
            </w:r>
          </w:p>
        </w:tc>
        <w:tc>
          <w:tcPr>
            <w:tcW w:w="2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40"/>
              <w:spacing w:after="0"/>
              <w:rPr>
                <w:sz w:val="20"/>
                <w:szCs w:val="20"/>
                <w:color w:val="auto"/>
              </w:rPr>
            </w:pPr>
            <w:r>
              <w:rPr>
                <w:rFonts w:ascii="MS PGothic" w:cs="MS PGothic" w:eastAsia="MS PGothic" w:hAnsi="MS PGothic"/>
                <w:sz w:val="15"/>
                <w:szCs w:val="15"/>
                <w:color w:val="auto"/>
              </w:rPr>
              <w:t>(8,043 )</w:t>
            </w:r>
          </w:p>
        </w:tc>
      </w:tr>
      <w:tr>
        <w:trPr>
          <w:trHeight w:val="207"/>
        </w:trPr>
        <w:tc>
          <w:tcPr>
            <w:tcW w:w="7240" w:type="dxa"/>
            <w:vAlign w:val="bottom"/>
          </w:tcPr>
          <w:p>
            <w:pPr>
              <w:spacing w:after="0" w:line="207" w:lineRule="exact"/>
              <w:rPr>
                <w:sz w:val="20"/>
                <w:szCs w:val="20"/>
                <w:color w:val="auto"/>
              </w:rPr>
            </w:pPr>
            <w:r>
              <w:rPr>
                <w:rFonts w:ascii="MS PGothic" w:cs="MS PGothic" w:eastAsia="MS PGothic" w:hAnsi="MS PGothic"/>
                <w:sz w:val="15"/>
                <w:szCs w:val="15"/>
                <w:color w:val="auto"/>
              </w:rPr>
              <w:t xml:space="preserve">Other expense, net </w:t>
            </w:r>
            <w:r>
              <w:rPr>
                <w:rFonts w:ascii="Calibri" w:cs="Calibri" w:eastAsia="Calibri" w:hAnsi="Calibri"/>
                <w:sz w:val="20"/>
                <w:szCs w:val="20"/>
                <w:color w:val="auto"/>
                <w:vertAlign w:val="superscript"/>
              </w:rPr>
              <w:t>(2)</w:t>
            </w:r>
          </w:p>
        </w:tc>
        <w:tc>
          <w:tcPr>
            <w:tcW w:w="7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MS PGothic" w:cs="MS PGothic" w:eastAsia="MS PGothic" w:hAnsi="MS PGothic"/>
                <w:sz w:val="15"/>
                <w:szCs w:val="15"/>
                <w:color w:val="auto"/>
              </w:rPr>
              <w:t>985</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MS PGothic" w:cs="MS PGothic" w:eastAsia="MS PGothic" w:hAnsi="MS PGothic"/>
                <w:sz w:val="15"/>
                <w:szCs w:val="15"/>
                <w:color w:val="auto"/>
              </w:rPr>
              <w:t>2,007</w:t>
            </w:r>
          </w:p>
        </w:tc>
        <w:tc>
          <w:tcPr>
            <w:tcW w:w="100" w:type="dxa"/>
            <w:vAlign w:val="bottom"/>
          </w:tcPr>
          <w:p>
            <w:pPr>
              <w:spacing w:after="0"/>
              <w:rPr>
                <w:sz w:val="18"/>
                <w:szCs w:val="18"/>
                <w:color w:val="auto"/>
              </w:rPr>
            </w:pPr>
          </w:p>
        </w:tc>
      </w:tr>
      <w:tr>
        <w:trPr>
          <w:trHeight w:val="207"/>
        </w:trPr>
        <w:tc>
          <w:tcPr>
            <w:tcW w:w="7240" w:type="dxa"/>
            <w:vAlign w:val="bottom"/>
            <w:shd w:val="clear" w:color="auto" w:fill="CFF0FC"/>
          </w:tcPr>
          <w:p>
            <w:pPr>
              <w:spacing w:after="0" w:line="207" w:lineRule="exact"/>
              <w:rPr>
                <w:sz w:val="20"/>
                <w:szCs w:val="20"/>
                <w:color w:val="auto"/>
              </w:rPr>
            </w:pPr>
            <w:r>
              <w:rPr>
                <w:rFonts w:ascii="MS PGothic" w:cs="MS PGothic" w:eastAsia="MS PGothic" w:hAnsi="MS PGothic"/>
                <w:sz w:val="15"/>
                <w:szCs w:val="15"/>
                <w:color w:val="auto"/>
              </w:rPr>
              <w:t xml:space="preserve">Provision for income taxes </w:t>
            </w:r>
            <w:r>
              <w:rPr>
                <w:rFonts w:ascii="Calibri" w:cs="Calibri" w:eastAsia="Calibri" w:hAnsi="Calibri"/>
                <w:sz w:val="20"/>
                <w:szCs w:val="20"/>
                <w:color w:val="auto"/>
                <w:vertAlign w:val="superscript"/>
              </w:rPr>
              <w:t>(2)</w:t>
            </w:r>
          </w:p>
        </w:tc>
        <w:tc>
          <w:tcPr>
            <w:tcW w:w="78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MS PGothic" w:cs="MS PGothic" w:eastAsia="MS PGothic" w:hAnsi="MS PGothic"/>
                <w:sz w:val="15"/>
                <w:szCs w:val="15"/>
                <w:color w:val="auto"/>
              </w:rPr>
              <w:t>25</w:t>
            </w:r>
          </w:p>
        </w:tc>
        <w:tc>
          <w:tcPr>
            <w:tcW w:w="2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40"/>
              <w:spacing w:after="0"/>
              <w:rPr>
                <w:sz w:val="20"/>
                <w:szCs w:val="20"/>
                <w:color w:val="auto"/>
              </w:rPr>
            </w:pPr>
            <w:r>
              <w:rPr>
                <w:rFonts w:ascii="MS PGothic" w:cs="MS PGothic" w:eastAsia="MS PGothic" w:hAnsi="MS PGothic"/>
                <w:sz w:val="15"/>
                <w:szCs w:val="15"/>
                <w:color w:val="auto"/>
              </w:rPr>
              <w:t>(21 )</w:t>
            </w:r>
          </w:p>
        </w:tc>
      </w:tr>
      <w:tr>
        <w:trPr>
          <w:trHeight w:val="179"/>
        </w:trPr>
        <w:tc>
          <w:tcPr>
            <w:tcW w:w="7240" w:type="dxa"/>
            <w:vAlign w:val="bottom"/>
            <w:tcBorders>
              <w:top w:val="single" w:sz="8" w:color="CFF0FC"/>
            </w:tcBorders>
          </w:tcPr>
          <w:p>
            <w:pPr>
              <w:spacing w:after="0"/>
              <w:rPr>
                <w:sz w:val="20"/>
                <w:szCs w:val="20"/>
                <w:color w:val="auto"/>
              </w:rPr>
            </w:pPr>
            <w:r>
              <w:rPr>
                <w:rFonts w:ascii="MS PGothic" w:cs="MS PGothic" w:eastAsia="MS PGothic" w:hAnsi="MS PGothic"/>
                <w:sz w:val="15"/>
                <w:szCs w:val="15"/>
                <w:color w:val="auto"/>
              </w:rPr>
              <w:t>Adjusted EBITDA atributable to redeemable noncontrolling interest</w:t>
            </w:r>
          </w:p>
        </w:tc>
        <w:tc>
          <w:tcPr>
            <w:tcW w:w="780" w:type="dxa"/>
            <w:vAlign w:val="bottom"/>
            <w:tcBorders>
              <w:top w:val="single" w:sz="8" w:color="auto"/>
            </w:tcBorders>
          </w:tcPr>
          <w:p>
            <w:pPr>
              <w:jc w:val="right"/>
              <w:ind w:right="631"/>
              <w:spacing w:after="0"/>
              <w:rPr>
                <w:sz w:val="20"/>
                <w:szCs w:val="20"/>
                <w:color w:val="auto"/>
              </w:rPr>
            </w:pPr>
            <w:r>
              <w:rPr>
                <w:rFonts w:ascii="MS PGothic" w:cs="MS PGothic" w:eastAsia="MS PGothic" w:hAnsi="MS PGothic"/>
                <w:sz w:val="15"/>
                <w:szCs w:val="15"/>
                <w:color w:val="auto"/>
                <w:w w:val="79"/>
              </w:rPr>
              <w:t>$</w:t>
            </w:r>
          </w:p>
        </w:tc>
        <w:tc>
          <w:tcPr>
            <w:tcW w:w="480" w:type="dxa"/>
            <w:vAlign w:val="bottom"/>
            <w:tcBorders>
              <w:top w:val="single" w:sz="8" w:color="auto"/>
            </w:tcBorders>
          </w:tcPr>
          <w:p>
            <w:pPr>
              <w:jc w:val="right"/>
              <w:spacing w:after="0"/>
              <w:rPr>
                <w:sz w:val="20"/>
                <w:szCs w:val="20"/>
                <w:color w:val="auto"/>
              </w:rPr>
            </w:pPr>
            <w:r>
              <w:rPr>
                <w:rFonts w:ascii="MS PGothic" w:cs="MS PGothic" w:eastAsia="MS PGothic" w:hAnsi="MS PGothic"/>
                <w:sz w:val="15"/>
                <w:szCs w:val="15"/>
                <w:color w:val="auto"/>
              </w:rPr>
              <w:t>83</w:t>
            </w:r>
          </w:p>
        </w:tc>
        <w:tc>
          <w:tcPr>
            <w:tcW w:w="280" w:type="dxa"/>
            <w:vAlign w:val="bottom"/>
            <w:tcBorders>
              <w:top w:val="single" w:sz="8" w:color="CFF0FC"/>
            </w:tcBorders>
          </w:tcPr>
          <w:p>
            <w:pPr>
              <w:spacing w:after="0"/>
              <w:rPr>
                <w:sz w:val="15"/>
                <w:szCs w:val="15"/>
                <w:color w:val="auto"/>
              </w:rPr>
            </w:pPr>
          </w:p>
        </w:tc>
        <w:tc>
          <w:tcPr>
            <w:tcW w:w="820" w:type="dxa"/>
            <w:vAlign w:val="bottom"/>
            <w:tcBorders>
              <w:top w:val="single" w:sz="8" w:color="auto"/>
            </w:tcBorders>
          </w:tcPr>
          <w:p>
            <w:pPr>
              <w:jc w:val="right"/>
              <w:ind w:right="668"/>
              <w:spacing w:after="0"/>
              <w:rPr>
                <w:sz w:val="20"/>
                <w:szCs w:val="20"/>
                <w:color w:val="auto"/>
              </w:rPr>
            </w:pPr>
            <w:r>
              <w:rPr>
                <w:rFonts w:ascii="MS PGothic" w:cs="MS PGothic" w:eastAsia="MS PGothic" w:hAnsi="MS PGothic"/>
                <w:sz w:val="15"/>
                <w:szCs w:val="15"/>
                <w:color w:val="auto"/>
                <w:w w:val="79"/>
              </w:rPr>
              <w:t>$</w:t>
            </w:r>
          </w:p>
        </w:tc>
        <w:tc>
          <w:tcPr>
            <w:tcW w:w="440" w:type="dxa"/>
            <w:vAlign w:val="bottom"/>
            <w:tcBorders>
              <w:top w:val="single" w:sz="8" w:color="auto"/>
            </w:tcBorders>
          </w:tcPr>
          <w:p>
            <w:pPr>
              <w:jc w:val="right"/>
              <w:spacing w:after="0"/>
              <w:rPr>
                <w:sz w:val="20"/>
                <w:szCs w:val="20"/>
                <w:color w:val="auto"/>
              </w:rPr>
            </w:pPr>
            <w:r>
              <w:rPr>
                <w:rFonts w:ascii="MS PGothic" w:cs="MS PGothic" w:eastAsia="MS PGothic" w:hAnsi="MS PGothic"/>
                <w:sz w:val="15"/>
                <w:szCs w:val="15"/>
                <w:color w:val="auto"/>
              </w:rPr>
              <w:t>1,006</w:t>
            </w:r>
          </w:p>
        </w:tc>
        <w:tc>
          <w:tcPr>
            <w:tcW w:w="100" w:type="dxa"/>
            <w:vAlign w:val="bottom"/>
            <w:tcBorders>
              <w:top w:val="single" w:sz="8" w:color="CFF0FC"/>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5759450</wp:posOffset>
            </wp:positionH>
            <wp:positionV relativeFrom="paragraph">
              <wp:posOffset>-125730</wp:posOffset>
            </wp:positionV>
            <wp:extent cx="66040"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6731000</wp:posOffset>
            </wp:positionH>
            <wp:positionV relativeFrom="paragraph">
              <wp:posOffset>-125730</wp:posOffset>
            </wp:positionV>
            <wp:extent cx="58420"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8420" cy="7620"/>
                    </a:xfrm>
                    <a:prstGeom prst="rect">
                      <a:avLst/>
                    </a:prstGeom>
                    <a:noFill/>
                  </pic:spPr>
                </pic:pic>
              </a:graphicData>
            </a:graphic>
          </wp:anchor>
        </w:drawing>
      </w:r>
    </w:p>
    <w:p>
      <w:pPr>
        <w:ind w:left="1020" w:hanging="522"/>
        <w:spacing w:after="0" w:line="185" w:lineRule="auto"/>
        <w:tabs>
          <w:tab w:leader="none" w:pos="1020" w:val="left"/>
        </w:tabs>
        <w:numPr>
          <w:ilvl w:val="0"/>
          <w:numId w:val="26"/>
        </w:numPr>
        <w:rPr>
          <w:rFonts w:ascii="Calibri" w:cs="Calibri" w:eastAsia="Calibri" w:hAnsi="Calibri"/>
          <w:sz w:val="18"/>
          <w:szCs w:val="18"/>
          <w:color w:val="auto"/>
          <w:vertAlign w:val="subscript"/>
        </w:rPr>
      </w:pPr>
      <w:r>
        <w:rPr>
          <w:rFonts w:ascii="Calibri" w:cs="Calibri" w:eastAsia="Calibri" w:hAnsi="Calibri"/>
          <w:sz w:val="10"/>
          <w:szCs w:val="10"/>
          <w:color w:val="auto"/>
        </w:rPr>
        <w:t>We have updated the table above to separately disclose the stock-based compensaton expense for CarOfer, LLC Units and, as such, have updated the three months and year ended December 31, 2022 for comparatve purposes.</w:t>
      </w:r>
    </w:p>
    <w:p>
      <w:pPr>
        <w:spacing w:after="0" w:line="28" w:lineRule="exact"/>
        <w:rPr>
          <w:rFonts w:ascii="Calibri" w:cs="Calibri" w:eastAsia="Calibri" w:hAnsi="Calibri"/>
          <w:sz w:val="18"/>
          <w:szCs w:val="18"/>
          <w:color w:val="auto"/>
          <w:vertAlign w:val="subscript"/>
        </w:rPr>
      </w:pPr>
    </w:p>
    <w:p>
      <w:pPr>
        <w:ind w:left="1020" w:hanging="522"/>
        <w:spacing w:after="0" w:line="188" w:lineRule="auto"/>
        <w:tabs>
          <w:tab w:leader="none" w:pos="1020" w:val="left"/>
        </w:tabs>
        <w:numPr>
          <w:ilvl w:val="0"/>
          <w:numId w:val="26"/>
        </w:numPr>
        <w:rPr>
          <w:rFonts w:ascii="Calibri" w:cs="Calibri" w:eastAsia="Calibri" w:hAnsi="Calibri"/>
          <w:sz w:val="20"/>
          <w:szCs w:val="20"/>
          <w:color w:val="auto"/>
          <w:vertAlign w:val="subscript"/>
        </w:rPr>
      </w:pPr>
      <w:r>
        <w:rPr>
          <w:rFonts w:ascii="Calibri" w:cs="Calibri" w:eastAsia="Calibri" w:hAnsi="Calibri"/>
          <w:sz w:val="10"/>
          <w:szCs w:val="10"/>
          <w:color w:val="auto"/>
        </w:rPr>
        <w:t>These exclusions are adjusted to refect the noncontrolling interest of 38% for the period prior to the 2023 CarOfer Transacton.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4948555</wp:posOffset>
            </wp:positionH>
            <wp:positionV relativeFrom="paragraph">
              <wp:posOffset>-233680</wp:posOffset>
            </wp:positionV>
            <wp:extent cx="1782445" cy="222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782445" cy="22225"/>
                    </a:xfrm>
                    <a:prstGeom prst="rect">
                      <a:avLst/>
                    </a:prstGeom>
                    <a:noFill/>
                  </pic:spPr>
                </pic:pic>
              </a:graphicData>
            </a:graphic>
          </wp:anchor>
        </w:drawing>
      </w:r>
    </w:p>
    <w:p>
      <w:pPr>
        <w:spacing w:after="0" w:line="248" w:lineRule="exact"/>
        <w:rPr>
          <w:sz w:val="20"/>
          <w:szCs w:val="20"/>
          <w:color w:val="auto"/>
        </w:rPr>
      </w:pPr>
    </w:p>
    <w:p>
      <w:pPr>
        <w:spacing w:after="0"/>
        <w:rPr>
          <w:sz w:val="20"/>
          <w:szCs w:val="20"/>
          <w:color w:val="auto"/>
        </w:rPr>
      </w:pPr>
      <w:r>
        <w:rPr>
          <w:rFonts w:ascii="Calibri" w:cs="Calibri" w:eastAsia="Calibri" w:hAnsi="Calibri"/>
          <w:sz w:val="15"/>
          <w:szCs w:val="15"/>
          <w:b w:val="1"/>
          <w:bCs w:val="1"/>
          <w:color w:val="auto"/>
        </w:rPr>
        <w:t>Components of Consolidated Income Statements</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b w:val="1"/>
          <w:bCs w:val="1"/>
          <w:i w:val="1"/>
          <w:iCs w:val="1"/>
          <w:color w:val="auto"/>
        </w:rPr>
        <w:t>Revenue</w:t>
      </w:r>
    </w:p>
    <w:p>
      <w:pPr>
        <w:spacing w:after="0" w:line="185" w:lineRule="exact"/>
        <w:rPr>
          <w:sz w:val="20"/>
          <w:szCs w:val="20"/>
          <w:color w:val="auto"/>
        </w:rPr>
      </w:pPr>
    </w:p>
    <w:p>
      <w:pPr>
        <w:jc w:val="both"/>
        <w:ind w:firstLine="511"/>
        <w:spacing w:after="0" w:line="302" w:lineRule="auto"/>
        <w:rPr>
          <w:sz w:val="20"/>
          <w:szCs w:val="20"/>
          <w:color w:val="auto"/>
        </w:rPr>
      </w:pPr>
      <w:r>
        <w:rPr>
          <w:rFonts w:ascii="MS PGothic" w:cs="MS PGothic" w:eastAsia="MS PGothic" w:hAnsi="MS PGothic"/>
          <w:sz w:val="15"/>
          <w:szCs w:val="15"/>
          <w:color w:val="auto"/>
        </w:rPr>
        <w:t>We derive our revenue from marketplace revenue, wholesale revenue, and product revenue. Marketplace revenue is included in the U.S. Marketplace segment and Other category of segment reportng. Wholesale revenue and product revenue are included in the Digital Wholesale segment. We generate marketplace revenue primarily from (i) dealer subscriptons to our Listngs packages, RPM, digital advertsing suite, Digital Retail, and Sell My Car - TDO, (ii) advertsing revenue from auto manufacturers and other auto‑related brand advertsers, and (iii) revenue from partnerships with fnancing services companies. We generate wholesale revenue primarily from (x) transacton fees earned from Dealer-to-Dealer transactons, (y) transacton fees earned from the sale of vehicles to dealers that we acquire at other marketplaces, and (z) transacton fees earned from performing inspecton and transportaton services, inclusive of Dealer-to-Dealer transactons, other marketplace-to-dealer transactons, and IMCO transactons. We generate product revenue primarily from (A) aggregate proceeds received from the sale of vehicles that were acquired through IMCO transactons, and (B) proceeds received from the sale of vehicles that were acquired through arbitraton.</w:t>
      </w:r>
    </w:p>
    <w:p>
      <w:pPr>
        <w:spacing w:after="0" w:line="147" w:lineRule="exact"/>
        <w:rPr>
          <w:sz w:val="20"/>
          <w:szCs w:val="20"/>
          <w:color w:val="auto"/>
        </w:rPr>
      </w:pPr>
    </w:p>
    <w:p>
      <w:pPr>
        <w:spacing w:after="0"/>
        <w:rPr>
          <w:sz w:val="20"/>
          <w:szCs w:val="20"/>
          <w:color w:val="auto"/>
        </w:rPr>
      </w:pPr>
      <w:r>
        <w:rPr>
          <w:rFonts w:ascii="Calibri" w:cs="Calibri" w:eastAsia="Calibri" w:hAnsi="Calibri"/>
          <w:sz w:val="15"/>
          <w:szCs w:val="15"/>
          <w:i w:val="1"/>
          <w:iCs w:val="1"/>
          <w:color w:val="auto"/>
        </w:rPr>
        <w:t>Marketplace Revenue</w:t>
      </w:r>
    </w:p>
    <w:p>
      <w:pPr>
        <w:spacing w:after="0" w:line="185" w:lineRule="exact"/>
        <w:rPr>
          <w:sz w:val="20"/>
          <w:szCs w:val="20"/>
          <w:color w:val="auto"/>
        </w:rPr>
      </w:pPr>
    </w:p>
    <w:p>
      <w:pPr>
        <w:jc w:val="both"/>
        <w:ind w:right="20" w:firstLine="511"/>
        <w:spacing w:after="0" w:line="347" w:lineRule="auto"/>
        <w:rPr>
          <w:sz w:val="20"/>
          <w:szCs w:val="20"/>
          <w:color w:val="auto"/>
        </w:rPr>
      </w:pPr>
      <w:r>
        <w:rPr>
          <w:rFonts w:ascii="MS PGothic" w:cs="MS PGothic" w:eastAsia="MS PGothic" w:hAnsi="MS PGothic"/>
          <w:sz w:val="15"/>
          <w:szCs w:val="15"/>
          <w:color w:val="auto"/>
        </w:rPr>
        <w:t>We ofer multple types of marketplace Listngs packages to our dealers for our CarGurus U.S. platorm (availability varies on our other marketplaces): Restricted Listngs, which is free; and various levels of Listngs packages, which each require a paid subscripton under a monthly, quarterly, semiannual, or annual subscripton basis.</w:t>
      </w:r>
    </w:p>
    <w:p>
      <w:pPr>
        <w:spacing w:after="0" w:line="119" w:lineRule="exact"/>
        <w:rPr>
          <w:sz w:val="20"/>
          <w:szCs w:val="20"/>
          <w:color w:val="auto"/>
        </w:rPr>
      </w:pPr>
    </w:p>
    <w:p>
      <w:pPr>
        <w:jc w:val="both"/>
        <w:ind w:firstLine="511"/>
        <w:spacing w:after="0" w:line="307" w:lineRule="auto"/>
        <w:rPr>
          <w:sz w:val="20"/>
          <w:szCs w:val="20"/>
          <w:color w:val="auto"/>
        </w:rPr>
      </w:pPr>
      <w:r>
        <w:rPr>
          <w:rFonts w:ascii="MS PGothic" w:cs="MS PGothic" w:eastAsia="MS PGothic" w:hAnsi="MS PGothic"/>
          <w:sz w:val="15"/>
          <w:szCs w:val="15"/>
          <w:color w:val="auto"/>
        </w:rPr>
        <w:t>Our subscriptons for customers generally auto-renew on a monthly basis and are cancellable by dealers with 30 days' advance notce prior to the commencement of the applicable renewal term. Subscripton pricing is determined based on a dealer’s inventory size, region, and our assessment of the connectons and ROI the platorm will provide them and is subject to discounts and/or fee reductons that we may ofer from tme to tme. We also ofer all dealers on the platorm access to our Dealer Dashboard, which includes a performance summary, Dealer Insights tool, and user review management platorm. Only dealers subscribing to a paid Listngs package have access to the Pricing Tool, Market Analysis tool, and IMV Scan tool.</w:t>
      </w:r>
    </w:p>
    <w:p>
      <w:pPr>
        <w:spacing w:after="0" w:line="145" w:lineRule="exact"/>
        <w:rPr>
          <w:sz w:val="20"/>
          <w:szCs w:val="20"/>
          <w:color w:val="auto"/>
        </w:rPr>
      </w:pPr>
    </w:p>
    <w:p>
      <w:pPr>
        <w:ind w:left="500"/>
        <w:spacing w:after="0"/>
        <w:rPr>
          <w:sz w:val="20"/>
          <w:szCs w:val="20"/>
          <w:color w:val="auto"/>
        </w:rPr>
      </w:pPr>
      <w:r>
        <w:rPr>
          <w:rFonts w:ascii="MS PGothic" w:cs="MS PGothic" w:eastAsia="MS PGothic" w:hAnsi="MS PGothic"/>
          <w:sz w:val="15"/>
          <w:szCs w:val="15"/>
          <w:color w:val="auto"/>
        </w:rPr>
        <w:t>We also ofer paid Listngs packages for the Autolist and PistonHeads websites.</w:t>
      </w:r>
    </w:p>
    <w:p>
      <w:pPr>
        <w:spacing w:after="0" w:line="218" w:lineRule="exact"/>
        <w:rPr>
          <w:sz w:val="20"/>
          <w:szCs w:val="20"/>
          <w:color w:val="auto"/>
        </w:rPr>
      </w:pPr>
    </w:p>
    <w:p>
      <w:pPr>
        <w:jc w:val="center"/>
        <w:spacing w:after="0"/>
        <w:rPr>
          <w:sz w:val="20"/>
          <w:szCs w:val="20"/>
          <w:color w:val="auto"/>
        </w:rPr>
      </w:pPr>
      <w:r>
        <w:rPr>
          <w:rFonts w:ascii="MS PGothic" w:cs="MS PGothic" w:eastAsia="MS PGothic" w:hAnsi="MS PGothic"/>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429895</wp:posOffset>
            </wp:positionV>
            <wp:extent cx="7178040" cy="400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4" w:right="319" w:bottom="1440" w:gutter="0" w:footer="0" w:header="0"/>
        </w:sectPr>
      </w:pPr>
    </w:p>
    <w:bookmarkStart w:id="56" w:name="page57"/>
    <w:bookmarkEnd w:id="56"/>
    <w:p>
      <w:pPr>
        <w:jc w:val="both"/>
        <w:ind w:firstLine="511"/>
        <w:spacing w:after="0" w:line="241" w:lineRule="auto"/>
        <w:rPr>
          <w:sz w:val="20"/>
          <w:szCs w:val="20"/>
          <w:color w:val="auto"/>
        </w:rPr>
      </w:pPr>
      <w:r>
        <w:rPr>
          <w:rFonts w:ascii="Calibri" w:cs="Calibri" w:eastAsia="Calibri" w:hAnsi="Calibri"/>
          <w:sz w:val="15"/>
          <w:szCs w:val="15"/>
          <w:color w:val="auto"/>
        </w:rPr>
        <w:t>In additon to displaying inventory in our marketplace and providing access to the Dealer Dashboard, we ofer dealers subscribing to certain of our Listngs packages other subscripton advertsing and customer acquisiton products and enhancements marketed under RPM and our digital advertsing suite. Through RPM, dealers can buy advertsing that appears in our marketplace, on other sites on the internet, and/or on high-convertng social media platorms. Such advertsements can be targeted by the user’s geography, search history, CarGurus website actvity, and a number of other targetng factors, allowing dealers to increase their visibility with in-market consumers and drive qualifed trafc for dealers.</w:t>
      </w:r>
    </w:p>
    <w:p>
      <w:pPr>
        <w:spacing w:after="0" w:line="185" w:lineRule="exact"/>
        <w:rPr>
          <w:sz w:val="20"/>
          <w:szCs w:val="20"/>
          <w:color w:val="auto"/>
        </w:rPr>
      </w:pPr>
    </w:p>
    <w:p>
      <w:pPr>
        <w:ind w:left="500"/>
        <w:spacing w:after="0"/>
        <w:rPr>
          <w:sz w:val="20"/>
          <w:szCs w:val="20"/>
          <w:color w:val="auto"/>
        </w:rPr>
      </w:pPr>
      <w:r>
        <w:rPr>
          <w:rFonts w:ascii="Calibri" w:cs="Calibri" w:eastAsia="Calibri" w:hAnsi="Calibri"/>
          <w:sz w:val="15"/>
          <w:szCs w:val="15"/>
          <w:color w:val="auto"/>
        </w:rPr>
        <w:t>We also ofer dealer advertsing products for the PistonHeads website.</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We also ofer dealers subscribing to certain of our Listngs packages other subscripton advertsing and customer acquisiton products and enhancements such as Digital Retail, which allows shoppers to complete much of the vehicle-purchase process online through the Dealers’ Listngs page. Digital Retail is comprised of (i) the Digital Deal Platorm, which gives dealers higher quality leads through upfront consumer-provided informaton, (ii) Geo Expansion, which expands the visibility of a dealer’s inventory in the search results beyond its local market, and (iii) Hard Pull Financing, which provides loan informaton.</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We also ofer dealers subscribing to certain of our Listngs packages other subscripton advertsing and customer acquisiton products and enhancements such as TDO, which allows dealers to pay for leads to receive direct access to shoppers actvely looking to sell their vehicles. Dealers can acquire inventory from shoppers who are looking to sell directly through the CarGurus Sell My Car page.</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Marketplace revenue also consists of non-dealer advertsing revenue from auto manufacturers and other auto-related brand advertsers sold on a cost-per-thousand impressions basis, or CPM basis. An impression is an advertsement loaded on a web page. In additon to advertsing sold on a CPM basis, we also have advertsing sold on a cost-per-click basis. Pricing is primarily based on advertsement size and positon on our websites and mobile applicatons. Auto manufacturers and other brand advertsers can execute advertsing campaigns that are targeted across a wide variety of parameters, including demographic groups, behavioral characteristcs, specifc auto brands, categories such as Certfed Pre-Owned, and segments such as hybrid vehicles. We do not provide minimum impression guarantees or other types of minimum guarantees in our contracts with customers. Advertsing is also sold indirectly through revenue sharing arrangements with advertsing exchange partners.</w:t>
      </w:r>
    </w:p>
    <w:p>
      <w:pPr>
        <w:spacing w:after="0" w:line="185" w:lineRule="exact"/>
        <w:rPr>
          <w:sz w:val="20"/>
          <w:szCs w:val="20"/>
          <w:color w:val="auto"/>
        </w:rPr>
      </w:pPr>
    </w:p>
    <w:p>
      <w:pPr>
        <w:ind w:left="500"/>
        <w:spacing w:after="0"/>
        <w:rPr>
          <w:sz w:val="20"/>
          <w:szCs w:val="20"/>
          <w:color w:val="auto"/>
        </w:rPr>
      </w:pPr>
      <w:r>
        <w:rPr>
          <w:rFonts w:ascii="Calibri" w:cs="Calibri" w:eastAsia="Calibri" w:hAnsi="Calibri"/>
          <w:sz w:val="15"/>
          <w:szCs w:val="15"/>
          <w:color w:val="auto"/>
        </w:rPr>
        <w:t>We also ofer non-dealer advertsing products for the Autolist and PistonHeads websites.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Marketplace revenue also includes revenue from partnerships with certain fnancing services companies pursuant to which we enable eligible consumers on our CarGurus U.S. website to pre-qualify for fnancing on cars from dealerships that ofer fnancing through such companies. We primarily generate revenue from these partnerships based on the number of funded loans from consumers who pre-qualify with our lending partners through our site.</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i w:val="1"/>
          <w:iCs w:val="1"/>
          <w:color w:val="auto"/>
        </w:rPr>
        <w:t>Wholesale Revenue</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The CarOfer Matrix enables buying dealers to create standing buy orders and provides instant ofers to selling dealers. Wholesale revenue includes transacton fees earned from Dealer-to-Dealer transactons, where we collect fees from both the buying and selling dealers. We also sell vehicles to dealers that we acquire at other marketplaces, where we collect a transacton fee from the buying dealers.</w:t>
      </w:r>
    </w:p>
    <w:p>
      <w:pPr>
        <w:spacing w:after="0" w:line="185" w:lineRule="exact"/>
        <w:rPr>
          <w:sz w:val="20"/>
          <w:szCs w:val="20"/>
          <w:color w:val="auto"/>
        </w:rPr>
      </w:pPr>
    </w:p>
    <w:p>
      <w:pPr>
        <w:jc w:val="both"/>
        <w:ind w:right="20" w:firstLine="511"/>
        <w:spacing w:after="0" w:line="241" w:lineRule="auto"/>
        <w:rPr>
          <w:sz w:val="20"/>
          <w:szCs w:val="20"/>
          <w:color w:val="auto"/>
        </w:rPr>
      </w:pPr>
      <w:r>
        <w:rPr>
          <w:rFonts w:ascii="Calibri" w:cs="Calibri" w:eastAsia="Calibri" w:hAnsi="Calibri"/>
          <w:sz w:val="15"/>
          <w:szCs w:val="15"/>
          <w:color w:val="auto"/>
        </w:rPr>
        <w:t>Wholesale revenue also includes fees earned from performing inspecton and transportaton services, where we collect fees from the buying dealer. Inspecton and transportaton service revenue is inclusive of Dealer-to-Dealer transactons, other marketplace to dealer transactons, and IMCO transactons.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Wholesale revenue also includes arbitraton in which the vehicle is rematched to a new buyer and not acquired by us. Arbitraton is the process by which we investgate and resolve claims from buying dealers.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Wholesale revenue also includes fees earned from certain guarantees ofered to dealers (which include 45-Day Guarantee and OferGuard products), where we collect fees from the buying dealer or selling dealer, as applicable.</w:t>
      </w:r>
    </w:p>
    <w:p>
      <w:pPr>
        <w:spacing w:after="0" w:line="184" w:lineRule="exact"/>
        <w:rPr>
          <w:sz w:val="20"/>
          <w:szCs w:val="20"/>
          <w:color w:val="auto"/>
        </w:rPr>
      </w:pPr>
    </w:p>
    <w:p>
      <w:pPr>
        <w:jc w:val="center"/>
        <w:spacing w:after="0"/>
        <w:rPr>
          <w:sz w:val="20"/>
          <w:szCs w:val="20"/>
          <w:color w:val="auto"/>
        </w:rPr>
      </w:pPr>
      <w:r>
        <w:rPr>
          <w:rFonts w:ascii="Calibri" w:cs="Calibri" w:eastAsia="Calibri" w:hAnsi="Calibri"/>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408940</wp:posOffset>
            </wp:positionV>
            <wp:extent cx="7178040" cy="400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4" w:right="319" w:bottom="1440" w:gutter="0" w:footer="0" w:header="0"/>
        </w:sectPr>
      </w:pPr>
    </w:p>
    <w:bookmarkStart w:id="57" w:name="page58"/>
    <w:bookmarkEnd w:id="57"/>
    <w:p>
      <w:pPr>
        <w:spacing w:after="0"/>
        <w:rPr>
          <w:sz w:val="20"/>
          <w:szCs w:val="20"/>
          <w:color w:val="auto"/>
        </w:rPr>
      </w:pPr>
      <w:r>
        <w:rPr>
          <w:rFonts w:ascii="Calibri" w:cs="Calibri" w:eastAsia="Calibri" w:hAnsi="Calibri"/>
          <w:sz w:val="15"/>
          <w:szCs w:val="15"/>
          <w:i w:val="1"/>
          <w:iCs w:val="1"/>
          <w:color w:val="auto"/>
        </w:rPr>
        <w:t>Product Revenue</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The CarOfer Matrix enables consumers who are selling vehicles to be instantly presented with an ofer. Product revenue includes the aggregate proceeds received from the sale of vehicles through IMCO transactons, including vehicle sale price and transacton fees collected from the buying dealers. Product revenue also includes proceeds received from the sale of vehicles acquired through arbitraton, including vehicle sale price and transacton fees collected from buying dealers. Arbitraton is the process by which we investgate and resolve claims from buying dealers. We control the vehicle in these transactons and therefore act as the principal.</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b w:val="1"/>
          <w:bCs w:val="1"/>
          <w:i w:val="1"/>
          <w:iCs w:val="1"/>
          <w:color w:val="auto"/>
        </w:rPr>
        <w:t>Cost of Revenue</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i w:val="1"/>
          <w:iCs w:val="1"/>
          <w:color w:val="auto"/>
        </w:rPr>
        <w:t>Marketplace Cost of Revenue</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Marketplace cost of revenue includes expenses related to supportng and hostng marketplace service oferings. These expenses include personnel and related expenses for our customer support team, including salaries, benefts, incentve compensaton, and stock-based compensaton; third-party service provider expenses such as advertsing, data, and hostng expenses; amortzaton of developed technology; amortzaton of capitalized website development; amortzaton of capitalized hostng arrangements; and allocated overhead expenses. We allocate overhead expenses, such as rent and facility expenses, informaton technology expense, and employee beneft expense, to all departments based on headcount. As such, general overhead expenses are refected in cost of revenue and each operatng expense category.</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i w:val="1"/>
          <w:iCs w:val="1"/>
          <w:color w:val="auto"/>
        </w:rPr>
        <w:t>Wholesale Cost of Revenue</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Wholesale cost of revenue includes expenses related to supportng and hostng Digital Wholesale service oferings, including Dealer-to-Dealer transactons and vehicles sold to dealers acquired at other marketplaces on the CarOfer Matrix. These expenses include vehicle transportaton and inspecton expenses; net losses on vehicles related to guarantees ofered to dealers through Dealer-to-Dealer transactons; personnel and related expenses for employees directly involved in the fulfllment and support of transactons, including salaries, benefts, incentve compensaton, and stock-based compensaton; third-party service provider expenses; amortzaton of developed technology; amortzaton of capitalized website development; and allocated overhead expenses. We allocate overhead expenses, such as rent and facility expenses, informaton technology expense, and employee beneft expense, to all departments based on headcount. As such, general overhead expenses are refected in cost of revenue and each operatng expense category.</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i w:val="1"/>
          <w:iCs w:val="1"/>
          <w:color w:val="auto"/>
        </w:rPr>
        <w:t>Product Cost of Revenue</w:t>
      </w:r>
    </w:p>
    <w:p>
      <w:pPr>
        <w:spacing w:after="0" w:line="185" w:lineRule="exact"/>
        <w:rPr>
          <w:sz w:val="20"/>
          <w:szCs w:val="20"/>
          <w:color w:val="auto"/>
        </w:rPr>
      </w:pPr>
    </w:p>
    <w:p>
      <w:pPr>
        <w:jc w:val="both"/>
        <w:ind w:right="20" w:firstLine="511"/>
        <w:spacing w:after="0" w:line="241" w:lineRule="auto"/>
        <w:rPr>
          <w:sz w:val="20"/>
          <w:szCs w:val="20"/>
          <w:color w:val="auto"/>
        </w:rPr>
      </w:pPr>
      <w:r>
        <w:rPr>
          <w:rFonts w:ascii="Calibri" w:cs="Calibri" w:eastAsia="Calibri" w:hAnsi="Calibri"/>
          <w:sz w:val="15"/>
          <w:szCs w:val="15"/>
          <w:color w:val="auto"/>
        </w:rPr>
        <w:t>Product cost of revenue includes expenses related to vehicles sold to dealers through IMCO transactons and vehicles sold to dealers acquired through arbitraton. These expenses include the cost of the vehicle and transportaton expenses.</w:t>
      </w:r>
    </w:p>
    <w:p>
      <w:pPr>
        <w:spacing w:after="0" w:line="184" w:lineRule="exact"/>
        <w:rPr>
          <w:sz w:val="20"/>
          <w:szCs w:val="20"/>
          <w:color w:val="auto"/>
        </w:rPr>
      </w:pPr>
    </w:p>
    <w:p>
      <w:pPr>
        <w:spacing w:after="0"/>
        <w:rPr>
          <w:sz w:val="20"/>
          <w:szCs w:val="20"/>
          <w:color w:val="auto"/>
        </w:rPr>
      </w:pPr>
      <w:r>
        <w:rPr>
          <w:rFonts w:ascii="Calibri" w:cs="Calibri" w:eastAsia="Calibri" w:hAnsi="Calibri"/>
          <w:sz w:val="15"/>
          <w:szCs w:val="15"/>
          <w:b w:val="1"/>
          <w:bCs w:val="1"/>
          <w:i w:val="1"/>
          <w:iCs w:val="1"/>
          <w:color w:val="auto"/>
        </w:rPr>
        <w:t>Operatng Expenses</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i w:val="1"/>
          <w:iCs w:val="1"/>
          <w:color w:val="auto"/>
        </w:rPr>
        <w:t>Sales and Marketng</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Sales and marketng expenses consist primarily of personnel and related expenses for our sales and marketng team, including salaries, benefts, incentve compensaton, commissions, and stock-based compensaton; expenses associated with consumer marketng, such as trafc acquisiton, brand building, and public relatons actvites; expenses associated with dealer marketng, such as content marketng, customer and promotonal events, and industry events; consultng services; sofware subscripton expenses; travel expenses; amortzaton of capitalized hostng arrangements; and allocated overhead expenses. A porton of our commissions that are related to obtaining a new contract are capitalized and amortzed over the estmated beneft period of customer relatonships. All other sales and marketng expenses are expensed as incurred. We expect sales and marketng expenses to fuctuate from quarter to quarter as we respond to changes in the macroeconomic and compettve landscapes afectng our existng dealers, consumer audience, and brand awareness, which will impact our results of operatons.</w:t>
      </w:r>
    </w:p>
    <w:p>
      <w:pPr>
        <w:spacing w:after="0" w:line="186" w:lineRule="exact"/>
        <w:rPr>
          <w:sz w:val="20"/>
          <w:szCs w:val="20"/>
          <w:color w:val="auto"/>
        </w:rPr>
      </w:pPr>
    </w:p>
    <w:p>
      <w:pPr>
        <w:jc w:val="center"/>
        <w:spacing w:after="0"/>
        <w:rPr>
          <w:sz w:val="20"/>
          <w:szCs w:val="20"/>
          <w:color w:val="auto"/>
        </w:rPr>
      </w:pPr>
      <w:r>
        <w:rPr>
          <w:rFonts w:ascii="Calibri" w:cs="Calibri" w:eastAsia="Calibri" w:hAnsi="Calibri"/>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408940</wp:posOffset>
            </wp:positionV>
            <wp:extent cx="7178040" cy="400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3" w:right="319" w:bottom="1440" w:gutter="0" w:footer="0" w:header="0"/>
        </w:sectPr>
      </w:pPr>
    </w:p>
    <w:bookmarkStart w:id="58" w:name="page59"/>
    <w:bookmarkEnd w:id="58"/>
    <w:p>
      <w:pPr>
        <w:spacing w:after="0"/>
        <w:rPr>
          <w:sz w:val="20"/>
          <w:szCs w:val="20"/>
          <w:color w:val="auto"/>
        </w:rPr>
      </w:pPr>
      <w:r>
        <w:rPr>
          <w:rFonts w:ascii="Calibri" w:cs="Calibri" w:eastAsia="Calibri" w:hAnsi="Calibri"/>
          <w:sz w:val="15"/>
          <w:szCs w:val="15"/>
          <w:i w:val="1"/>
          <w:iCs w:val="1"/>
          <w:color w:val="auto"/>
        </w:rPr>
        <w:t>Product, Technology, and Development</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Product, technology, and development expenses consist primarily of personnel and related expenses for our research and development team, including salaries, benefts, incentve compensaton, and stock-based compensaton; sofware subscripton expenses; consultng services; and allocated overhead expenses. Other than website development, internal-use sofware, and hostng arrangement expenses, research and development expenses are expensed as incurred. We expect product, technology, and development expenses to increase as we invest in additonal engineering resources to develop new solutons and make improvements to our existng platorm.</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i w:val="1"/>
          <w:iCs w:val="1"/>
          <w:color w:val="auto"/>
        </w:rPr>
        <w:t>General and Administratve</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General and administratve expenses consist primarily of personnel and related expenses for our executve, fnance, legal, people &amp; talent, and administratve teams, including salaries, benefts, incentve compensaton, and stock-based compensaton; expenses associated with professional fees for audit, tax, external legal, and consultng services; payment processing and billing expenses; insurance expenses; sofware subscripton expenses; and allocated overhead expenses. General and administratve expenses are expensed as incurred. We expect general and administratve expenses to increase as we contnue to scale our business.</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i w:val="1"/>
          <w:iCs w:val="1"/>
          <w:color w:val="auto"/>
        </w:rPr>
        <w:t>Depreciaton and Amortzaton</w:t>
      </w:r>
    </w:p>
    <w:p>
      <w:pPr>
        <w:spacing w:after="0" w:line="185" w:lineRule="exact"/>
        <w:rPr>
          <w:sz w:val="20"/>
          <w:szCs w:val="20"/>
          <w:color w:val="auto"/>
        </w:rPr>
      </w:pPr>
    </w:p>
    <w:p>
      <w:pPr>
        <w:ind w:left="500"/>
        <w:spacing w:after="0"/>
        <w:rPr>
          <w:sz w:val="20"/>
          <w:szCs w:val="20"/>
          <w:color w:val="auto"/>
        </w:rPr>
      </w:pPr>
      <w:r>
        <w:rPr>
          <w:rFonts w:ascii="Calibri" w:cs="Calibri" w:eastAsia="Calibri" w:hAnsi="Calibri"/>
          <w:sz w:val="15"/>
          <w:szCs w:val="15"/>
          <w:color w:val="auto"/>
        </w:rPr>
        <w:t>Depreciaton and amortzaton expenses consist of depreciaton on property and equipment and amortzaton of intangible assets and internal-use sofware.</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b w:val="1"/>
          <w:bCs w:val="1"/>
          <w:i w:val="1"/>
          <w:iCs w:val="1"/>
          <w:color w:val="auto"/>
        </w:rPr>
        <w:t>Other Income, Net</w:t>
      </w:r>
    </w:p>
    <w:p>
      <w:pPr>
        <w:spacing w:after="0" w:line="185" w:lineRule="exact"/>
        <w:rPr>
          <w:sz w:val="20"/>
          <w:szCs w:val="20"/>
          <w:color w:val="auto"/>
        </w:rPr>
      </w:pPr>
    </w:p>
    <w:p>
      <w:pPr>
        <w:jc w:val="both"/>
        <w:ind w:right="20" w:firstLine="511"/>
        <w:spacing w:after="0" w:line="241" w:lineRule="auto"/>
        <w:rPr>
          <w:sz w:val="20"/>
          <w:szCs w:val="20"/>
          <w:color w:val="auto"/>
        </w:rPr>
      </w:pPr>
      <w:r>
        <w:rPr>
          <w:rFonts w:ascii="Calibri" w:cs="Calibri" w:eastAsia="Calibri" w:hAnsi="Calibri"/>
          <w:sz w:val="15"/>
          <w:szCs w:val="15"/>
          <w:color w:val="auto"/>
        </w:rPr>
        <w:t>Other income, net consists primarily of interest income earned on our cash and cash equivalents, foreign exchange gains and losses, interest expense for undrawn fees related to our credit facility and amortzaton of deferred fnancing costs, and gains and losses associated with our investments.</w:t>
      </w:r>
    </w:p>
    <w:p>
      <w:pPr>
        <w:spacing w:after="0" w:line="184" w:lineRule="exact"/>
        <w:rPr>
          <w:sz w:val="20"/>
          <w:szCs w:val="20"/>
          <w:color w:val="auto"/>
        </w:rPr>
      </w:pPr>
    </w:p>
    <w:p>
      <w:pPr>
        <w:spacing w:after="0"/>
        <w:rPr>
          <w:sz w:val="20"/>
          <w:szCs w:val="20"/>
          <w:color w:val="auto"/>
        </w:rPr>
      </w:pPr>
      <w:r>
        <w:rPr>
          <w:rFonts w:ascii="Calibri" w:cs="Calibri" w:eastAsia="Calibri" w:hAnsi="Calibri"/>
          <w:sz w:val="15"/>
          <w:szCs w:val="15"/>
          <w:b w:val="1"/>
          <w:bCs w:val="1"/>
          <w:i w:val="1"/>
          <w:iCs w:val="1"/>
          <w:color w:val="auto"/>
        </w:rPr>
        <w:t>Provision for Income Taxes</w:t>
      </w:r>
    </w:p>
    <w:p>
      <w:pPr>
        <w:spacing w:after="0" w:line="185" w:lineRule="exact"/>
        <w:rPr>
          <w:sz w:val="20"/>
          <w:szCs w:val="20"/>
          <w:color w:val="auto"/>
        </w:rPr>
      </w:pPr>
    </w:p>
    <w:p>
      <w:pPr>
        <w:jc w:val="both"/>
        <w:ind w:right="20" w:firstLine="511"/>
        <w:spacing w:after="0" w:line="241" w:lineRule="auto"/>
        <w:rPr>
          <w:sz w:val="20"/>
          <w:szCs w:val="20"/>
          <w:color w:val="auto"/>
        </w:rPr>
      </w:pPr>
      <w:r>
        <w:rPr>
          <w:rFonts w:ascii="Calibri" w:cs="Calibri" w:eastAsia="Calibri" w:hAnsi="Calibri"/>
          <w:sz w:val="15"/>
          <w:szCs w:val="15"/>
          <w:color w:val="auto"/>
        </w:rPr>
        <w:t>We are subject to federal and state income taxes in the U.S. and taxes in foreign jurisdictons in which we operate. For the years ended December 31, 2023 and 2022, a provision for income taxes was recognized as a result of the consolidated taxable income positon.</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We recognize deferred tax assets and liabilites based on temporary diferences between the fnancial reportng and income tax bases of assets and liabilites using enacted tax rates in efect for the year in which the temporary diferences are expected to be recovered or setled.</w:t>
      </w:r>
    </w:p>
    <w:p>
      <w:pPr>
        <w:spacing w:after="0" w:line="185" w:lineRule="exact"/>
        <w:rPr>
          <w:sz w:val="20"/>
          <w:szCs w:val="20"/>
          <w:color w:val="auto"/>
        </w:rPr>
      </w:pPr>
    </w:p>
    <w:p>
      <w:pPr>
        <w:jc w:val="both"/>
        <w:ind w:right="20" w:firstLine="511"/>
        <w:spacing w:after="0" w:line="241" w:lineRule="auto"/>
        <w:rPr>
          <w:sz w:val="20"/>
          <w:szCs w:val="20"/>
          <w:color w:val="auto"/>
        </w:rPr>
      </w:pPr>
      <w:r>
        <w:rPr>
          <w:rFonts w:ascii="Calibri" w:cs="Calibri" w:eastAsia="Calibri" w:hAnsi="Calibri"/>
          <w:sz w:val="15"/>
          <w:szCs w:val="15"/>
          <w:color w:val="auto"/>
        </w:rPr>
        <w:t>We regularly assess the need to recognize a valuaton allowance against net deferred tax assets if, based upon the available evidence, it is more likely than not that some or all of the deferred tax assets will not be realized. As of December 31, 2023 and 2022, valuaton allowances were immaterial.</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We assess our income tax positons and recognize an income tax beneft or expense based upon our evaluaton of the facts, circumstances, and informaton available at the reportng date. For the year ended December 31, 2023, there was $0.2 million income tax expense related to uncertain tax provisions. As of December 31, 2023, the income tax liability related to uncertain tax positons, exclusive of immaterial interest or penaltes related to uncertain tax provisions, was $0.8 million, which would favorably afect our efectve tax rate, if recognized. For the year ended December 31, 2022, income tax expense and liability related to uncertain tax positons, exclusive of immaterial interest or penaltes related to uncertain tax provisions, was $0.6 million, which would favorably afect our efectve tax rate, if recognized.</w:t>
      </w:r>
    </w:p>
    <w:p>
      <w:pPr>
        <w:spacing w:after="0" w:line="185" w:lineRule="exact"/>
        <w:rPr>
          <w:sz w:val="20"/>
          <w:szCs w:val="20"/>
          <w:color w:val="auto"/>
        </w:rPr>
      </w:pPr>
    </w:p>
    <w:p>
      <w:pPr>
        <w:jc w:val="center"/>
        <w:spacing w:after="0"/>
        <w:rPr>
          <w:sz w:val="20"/>
          <w:szCs w:val="20"/>
          <w:color w:val="auto"/>
        </w:rPr>
      </w:pPr>
      <w:r>
        <w:rPr>
          <w:rFonts w:ascii="Calibri" w:cs="Calibri" w:eastAsia="Calibri" w:hAnsi="Calibri"/>
          <w:sz w:val="15"/>
          <w:szCs w:val="15"/>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408940</wp:posOffset>
            </wp:positionV>
            <wp:extent cx="7178040" cy="400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3" w:right="319" w:bottom="1440" w:gutter="0" w:footer="0" w:header="0"/>
        </w:sectPr>
      </w:pPr>
    </w:p>
    <w:bookmarkStart w:id="59" w:name="page60"/>
    <w:bookmarkEnd w:id="59"/>
    <w:p>
      <w:pPr>
        <w:spacing w:after="0"/>
        <w:rPr>
          <w:sz w:val="20"/>
          <w:szCs w:val="20"/>
          <w:color w:val="auto"/>
        </w:rPr>
      </w:pPr>
      <w:r>
        <w:rPr>
          <w:rFonts w:ascii="Calibri" w:cs="Calibri" w:eastAsia="Calibri" w:hAnsi="Calibri"/>
          <w:sz w:val="15"/>
          <w:szCs w:val="15"/>
          <w:b w:val="1"/>
          <w:bCs w:val="1"/>
          <w:color w:val="auto"/>
        </w:rPr>
        <w:t>Results of Operatons</w:t>
      </w:r>
    </w:p>
    <w:p>
      <w:pPr>
        <w:spacing w:after="0" w:line="185" w:lineRule="exact"/>
        <w:rPr>
          <w:sz w:val="20"/>
          <w:szCs w:val="20"/>
          <w:color w:val="auto"/>
        </w:rPr>
      </w:pPr>
    </w:p>
    <w:p>
      <w:pPr>
        <w:ind w:left="500"/>
        <w:spacing w:after="0"/>
        <w:rPr>
          <w:sz w:val="20"/>
          <w:szCs w:val="20"/>
          <w:color w:val="auto"/>
        </w:rPr>
      </w:pPr>
      <w:r>
        <w:rPr>
          <w:rFonts w:ascii="Calibri" w:cs="Calibri" w:eastAsia="Calibri" w:hAnsi="Calibri"/>
          <w:sz w:val="15"/>
          <w:szCs w:val="15"/>
          <w:color w:val="auto"/>
        </w:rPr>
        <w:t>For the years ended December 31, 2023 and 2022, our consolidated income statements are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56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900" w:type="dxa"/>
            <w:vAlign w:val="bottom"/>
            <w:gridSpan w:val="3"/>
          </w:tcPr>
          <w:p>
            <w:pPr>
              <w:ind w:left="560"/>
              <w:spacing w:after="0"/>
              <w:rPr>
                <w:sz w:val="20"/>
                <w:szCs w:val="20"/>
                <w:color w:val="auto"/>
              </w:rPr>
            </w:pPr>
            <w:r>
              <w:rPr>
                <w:rFonts w:ascii="Calibri" w:cs="Calibri" w:eastAsia="Calibri" w:hAnsi="Calibri"/>
                <w:sz w:val="12"/>
                <w:szCs w:val="12"/>
                <w:b w:val="1"/>
                <w:bCs w:val="1"/>
                <w:color w:val="auto"/>
              </w:rPr>
              <w:t>Year Ended December 31,</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56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56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jc w:val="right"/>
              <w:ind w:right="506"/>
              <w:spacing w:after="0" w:line="138" w:lineRule="exact"/>
              <w:rPr>
                <w:sz w:val="20"/>
                <w:szCs w:val="20"/>
                <w:color w:val="auto"/>
              </w:rPr>
            </w:pPr>
            <w:r>
              <w:rPr>
                <w:rFonts w:ascii="Calibri" w:cs="Calibri" w:eastAsia="Calibri" w:hAnsi="Calibri"/>
                <w:sz w:val="12"/>
                <w:szCs w:val="12"/>
                <w:b w:val="1"/>
                <w:bCs w:val="1"/>
                <w:color w:val="auto"/>
              </w:rPr>
              <w:t>2023</w:t>
            </w: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jc w:val="right"/>
              <w:ind w:right="504"/>
              <w:spacing w:after="0" w:line="138" w:lineRule="exact"/>
              <w:rPr>
                <w:sz w:val="20"/>
                <w:szCs w:val="20"/>
                <w:color w:val="auto"/>
              </w:rPr>
            </w:pPr>
            <w:r>
              <w:rPr>
                <w:rFonts w:ascii="Calibri" w:cs="Calibri" w:eastAsia="Calibri" w:hAnsi="Calibri"/>
                <w:sz w:val="12"/>
                <w:szCs w:val="12"/>
                <w:b w:val="1"/>
                <w:bCs w:val="1"/>
                <w:color w:val="auto"/>
              </w:rPr>
              <w:t>2022</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56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jc w:val="right"/>
              <w:spacing w:after="0" w:line="138" w:lineRule="exact"/>
              <w:rPr>
                <w:sz w:val="20"/>
                <w:szCs w:val="20"/>
                <w:color w:val="auto"/>
              </w:rPr>
            </w:pPr>
            <w:r>
              <w:rPr>
                <w:rFonts w:ascii="Calibri" w:cs="Calibri" w:eastAsia="Calibri" w:hAnsi="Calibri"/>
                <w:sz w:val="12"/>
                <w:szCs w:val="12"/>
                <w:b w:val="1"/>
                <w:bCs w:val="1"/>
                <w:color w:val="auto"/>
              </w:rPr>
              <w:t>(dollars</w:t>
            </w:r>
          </w:p>
        </w:tc>
        <w:tc>
          <w:tcPr>
            <w:tcW w:w="820" w:type="dxa"/>
            <w:vAlign w:val="bottom"/>
            <w:gridSpan w:val="2"/>
          </w:tcPr>
          <w:p>
            <w:pPr>
              <w:jc w:val="center"/>
              <w:ind w:right="63"/>
              <w:spacing w:after="0" w:line="138" w:lineRule="exact"/>
              <w:rPr>
                <w:sz w:val="20"/>
                <w:szCs w:val="20"/>
                <w:color w:val="auto"/>
              </w:rPr>
            </w:pPr>
            <w:r>
              <w:rPr>
                <w:rFonts w:ascii="Calibri" w:cs="Calibri" w:eastAsia="Calibri" w:hAnsi="Calibri"/>
                <w:sz w:val="12"/>
                <w:szCs w:val="12"/>
                <w:b w:val="1"/>
                <w:bCs w:val="1"/>
                <w:color w:val="auto"/>
              </w:rPr>
              <w:t>in thousands)</w:t>
            </w: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560" w:type="dxa"/>
            <w:vAlign w:val="bottom"/>
          </w:tcPr>
          <w:p>
            <w:pPr>
              <w:spacing w:after="0"/>
              <w:rPr>
                <w:sz w:val="16"/>
                <w:szCs w:val="16"/>
                <w:color w:val="auto"/>
              </w:rPr>
            </w:pPr>
          </w:p>
        </w:tc>
        <w:tc>
          <w:tcPr>
            <w:tcW w:w="428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5"/>
                <w:szCs w:val="15"/>
                <w:color w:val="auto"/>
              </w:rPr>
              <w:t>Revenue:</w:t>
            </w:r>
          </w:p>
        </w:tc>
        <w:tc>
          <w:tcPr>
            <w:tcW w:w="266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CFF0FC"/>
            </w:tcBorders>
            <w:shd w:val="clear" w:color="auto" w:fill="CFF0FC"/>
          </w:tcPr>
          <w:p>
            <w:pPr>
              <w:spacing w:after="0"/>
              <w:rPr>
                <w:sz w:val="16"/>
                <w:szCs w:val="16"/>
                <w:color w:val="auto"/>
              </w:rPr>
            </w:pPr>
          </w:p>
        </w:tc>
        <w:tc>
          <w:tcPr>
            <w:tcW w:w="108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540" w:type="dxa"/>
            <w:vAlign w:val="bottom"/>
            <w:tcBorders>
              <w:bottom w:val="single" w:sz="8" w:color="CFF0FC"/>
            </w:tcBorders>
            <w:shd w:val="clear" w:color="auto" w:fill="CFF0FC"/>
          </w:tcPr>
          <w:p>
            <w:pPr>
              <w:spacing w:after="0"/>
              <w:rPr>
                <w:sz w:val="16"/>
                <w:szCs w:val="16"/>
                <w:color w:val="auto"/>
              </w:rPr>
            </w:pPr>
          </w:p>
        </w:tc>
        <w:tc>
          <w:tcPr>
            <w:tcW w:w="8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4280" w:type="dxa"/>
            <w:vAlign w:val="bottom"/>
          </w:tcPr>
          <w:p>
            <w:pPr>
              <w:ind w:left="160"/>
              <w:spacing w:after="0"/>
              <w:rPr>
                <w:sz w:val="20"/>
                <w:szCs w:val="20"/>
                <w:color w:val="auto"/>
              </w:rPr>
            </w:pPr>
            <w:r>
              <w:rPr>
                <w:rFonts w:ascii="Calibri" w:cs="Calibri" w:eastAsia="Calibri" w:hAnsi="Calibri"/>
                <w:sz w:val="15"/>
                <w:szCs w:val="15"/>
                <w:color w:val="auto"/>
              </w:rPr>
              <w:t>Marketplace</w:t>
            </w:r>
          </w:p>
        </w:tc>
        <w:tc>
          <w:tcPr>
            <w:tcW w:w="3000" w:type="dxa"/>
            <w:vAlign w:val="bottom"/>
            <w:gridSpan w:val="2"/>
          </w:tcPr>
          <w:p>
            <w:pPr>
              <w:jc w:val="right"/>
              <w:ind w:right="163"/>
              <w:spacing w:after="0"/>
              <w:rPr>
                <w:sz w:val="20"/>
                <w:szCs w:val="20"/>
                <w:color w:val="auto"/>
              </w:rPr>
            </w:pPr>
            <w:r>
              <w:rPr>
                <w:rFonts w:ascii="Calibri" w:cs="Calibri" w:eastAsia="Calibri" w:hAnsi="Calibri"/>
                <w:sz w:val="15"/>
                <w:szCs w:val="15"/>
                <w:color w:val="auto"/>
              </w:rPr>
              <w:t>$</w:t>
            </w:r>
          </w:p>
        </w:tc>
        <w:tc>
          <w:tcPr>
            <w:tcW w:w="1080" w:type="dxa"/>
            <w:vAlign w:val="bottom"/>
          </w:tcPr>
          <w:p>
            <w:pPr>
              <w:jc w:val="right"/>
              <w:spacing w:after="0"/>
              <w:rPr>
                <w:sz w:val="20"/>
                <w:szCs w:val="20"/>
                <w:color w:val="auto"/>
              </w:rPr>
            </w:pPr>
            <w:r>
              <w:rPr>
                <w:rFonts w:ascii="Calibri" w:cs="Calibri" w:eastAsia="Calibri" w:hAnsi="Calibri"/>
                <w:sz w:val="15"/>
                <w:szCs w:val="15"/>
                <w:color w:val="auto"/>
              </w:rPr>
              <w:t>698,236</w:t>
            </w:r>
          </w:p>
        </w:tc>
        <w:tc>
          <w:tcPr>
            <w:tcW w:w="280" w:type="dxa"/>
            <w:vAlign w:val="bottom"/>
          </w:tcPr>
          <w:p>
            <w:pPr>
              <w:spacing w:after="0"/>
              <w:rPr>
                <w:sz w:val="15"/>
                <w:szCs w:val="15"/>
                <w:color w:val="auto"/>
              </w:rPr>
            </w:pPr>
          </w:p>
        </w:tc>
        <w:tc>
          <w:tcPr>
            <w:tcW w:w="540" w:type="dxa"/>
            <w:vAlign w:val="bottom"/>
          </w:tcPr>
          <w:p>
            <w:pPr>
              <w:jc w:val="center"/>
              <w:ind w:right="343"/>
              <w:spacing w:after="0"/>
              <w:rPr>
                <w:sz w:val="20"/>
                <w:szCs w:val="20"/>
                <w:color w:val="auto"/>
              </w:rPr>
            </w:pPr>
            <w:r>
              <w:rPr>
                <w:rFonts w:ascii="Calibri" w:cs="Calibri" w:eastAsia="Calibri" w:hAnsi="Calibri"/>
                <w:sz w:val="15"/>
                <w:szCs w:val="15"/>
                <w:color w:val="auto"/>
              </w:rPr>
              <w:t>$</w:t>
            </w:r>
          </w:p>
        </w:tc>
        <w:tc>
          <w:tcPr>
            <w:tcW w:w="860" w:type="dxa"/>
            <w:vAlign w:val="bottom"/>
          </w:tcPr>
          <w:p>
            <w:pPr>
              <w:jc w:val="right"/>
              <w:spacing w:after="0"/>
              <w:rPr>
                <w:sz w:val="20"/>
                <w:szCs w:val="20"/>
                <w:color w:val="auto"/>
              </w:rPr>
            </w:pPr>
            <w:r>
              <w:rPr>
                <w:rFonts w:ascii="Calibri" w:cs="Calibri" w:eastAsia="Calibri" w:hAnsi="Calibri"/>
                <w:sz w:val="15"/>
                <w:szCs w:val="15"/>
                <w:color w:val="auto"/>
              </w:rPr>
              <w:t>658,771</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6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560" w:type="dxa"/>
            <w:vAlign w:val="bottom"/>
          </w:tcPr>
          <w:p>
            <w:pPr>
              <w:spacing w:after="0"/>
              <w:rPr>
                <w:sz w:val="16"/>
                <w:szCs w:val="16"/>
                <w:color w:val="auto"/>
              </w:rPr>
            </w:pPr>
          </w:p>
        </w:tc>
        <w:tc>
          <w:tcPr>
            <w:tcW w:w="4280" w:type="dxa"/>
            <w:vAlign w:val="bottom"/>
            <w:tcBorders>
              <w:bottom w:val="single" w:sz="8" w:color="CFF0FC"/>
            </w:tcBorders>
            <w:shd w:val="clear" w:color="auto" w:fill="CFF0FC"/>
          </w:tcPr>
          <w:p>
            <w:pPr>
              <w:ind w:left="160"/>
              <w:spacing w:after="0"/>
              <w:rPr>
                <w:sz w:val="20"/>
                <w:szCs w:val="20"/>
                <w:color w:val="auto"/>
              </w:rPr>
            </w:pPr>
            <w:r>
              <w:rPr>
                <w:rFonts w:ascii="Calibri" w:cs="Calibri" w:eastAsia="Calibri" w:hAnsi="Calibri"/>
                <w:sz w:val="15"/>
                <w:szCs w:val="15"/>
                <w:color w:val="auto"/>
              </w:rPr>
              <w:t>Wholesale</w:t>
            </w:r>
          </w:p>
        </w:tc>
        <w:tc>
          <w:tcPr>
            <w:tcW w:w="266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CFF0FC"/>
            </w:tcBorders>
            <w:shd w:val="clear" w:color="auto" w:fill="CFF0FC"/>
          </w:tcPr>
          <w:p>
            <w:pPr>
              <w:spacing w:after="0"/>
              <w:rPr>
                <w:sz w:val="16"/>
                <w:szCs w:val="16"/>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100,908</w:t>
            </w:r>
          </w:p>
        </w:tc>
        <w:tc>
          <w:tcPr>
            <w:tcW w:w="280" w:type="dxa"/>
            <w:vAlign w:val="bottom"/>
            <w:tcBorders>
              <w:bottom w:val="single" w:sz="8" w:color="CFF0FC"/>
            </w:tcBorders>
            <w:shd w:val="clear" w:color="auto" w:fill="CFF0FC"/>
          </w:tcPr>
          <w:p>
            <w:pPr>
              <w:spacing w:after="0"/>
              <w:rPr>
                <w:sz w:val="16"/>
                <w:szCs w:val="16"/>
                <w:color w:val="auto"/>
              </w:rPr>
            </w:pPr>
          </w:p>
        </w:tc>
        <w:tc>
          <w:tcPr>
            <w:tcW w:w="540" w:type="dxa"/>
            <w:vAlign w:val="bottom"/>
            <w:tcBorders>
              <w:bottom w:val="single" w:sz="8" w:color="CFF0FC"/>
            </w:tcBorders>
            <w:shd w:val="clear" w:color="auto" w:fill="CFF0FC"/>
          </w:tcPr>
          <w:p>
            <w:pPr>
              <w:spacing w:after="0"/>
              <w:rPr>
                <w:sz w:val="16"/>
                <w:szCs w:val="16"/>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237,635</w:t>
            </w:r>
          </w:p>
        </w:tc>
        <w:tc>
          <w:tcPr>
            <w:tcW w:w="100" w:type="dxa"/>
            <w:vAlign w:val="bottom"/>
            <w:tcBorders>
              <w:bottom w:val="single" w:sz="8" w:color="CFF0FC"/>
            </w:tcBorders>
            <w:shd w:val="clear" w:color="auto" w:fill="CFF0FC"/>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4280" w:type="dxa"/>
            <w:vAlign w:val="bottom"/>
          </w:tcPr>
          <w:p>
            <w:pPr>
              <w:ind w:left="160"/>
              <w:spacing w:after="0"/>
              <w:rPr>
                <w:sz w:val="20"/>
                <w:szCs w:val="20"/>
                <w:color w:val="auto"/>
              </w:rPr>
            </w:pPr>
            <w:r>
              <w:rPr>
                <w:rFonts w:ascii="Calibri" w:cs="Calibri" w:eastAsia="Calibri" w:hAnsi="Calibri"/>
                <w:sz w:val="15"/>
                <w:szCs w:val="15"/>
                <w:color w:val="auto"/>
              </w:rPr>
              <w:t>Product</w:t>
            </w:r>
          </w:p>
        </w:tc>
        <w:tc>
          <w:tcPr>
            <w:tcW w:w="2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alibri" w:cs="Calibri" w:eastAsia="Calibri" w:hAnsi="Calibri"/>
                <w:sz w:val="15"/>
                <w:szCs w:val="15"/>
                <w:color w:val="auto"/>
              </w:rPr>
              <w:t>115,098</w:t>
            </w: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alibri" w:cs="Calibri" w:eastAsia="Calibri" w:hAnsi="Calibri"/>
                <w:sz w:val="15"/>
                <w:szCs w:val="15"/>
                <w:color w:val="auto"/>
              </w:rPr>
              <w:t>758,629</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6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560" w:type="dxa"/>
            <w:vAlign w:val="bottom"/>
          </w:tcPr>
          <w:p>
            <w:pPr>
              <w:spacing w:after="0"/>
              <w:rPr>
                <w:sz w:val="15"/>
                <w:szCs w:val="15"/>
                <w:color w:val="auto"/>
              </w:rPr>
            </w:pPr>
          </w:p>
        </w:tc>
        <w:tc>
          <w:tcPr>
            <w:tcW w:w="4280" w:type="dxa"/>
            <w:vAlign w:val="bottom"/>
            <w:tcBorders>
              <w:bottom w:val="single" w:sz="8" w:color="CFF0FC"/>
            </w:tcBorders>
            <w:shd w:val="clear" w:color="auto" w:fill="CFF0FC"/>
          </w:tcPr>
          <w:p>
            <w:pPr>
              <w:ind w:left="320"/>
              <w:spacing w:after="0" w:line="174" w:lineRule="exact"/>
              <w:rPr>
                <w:sz w:val="20"/>
                <w:szCs w:val="20"/>
                <w:color w:val="auto"/>
              </w:rPr>
            </w:pPr>
            <w:r>
              <w:rPr>
                <w:rFonts w:ascii="Calibri" w:cs="Calibri" w:eastAsia="Calibri" w:hAnsi="Calibri"/>
                <w:sz w:val="15"/>
                <w:szCs w:val="15"/>
                <w:color w:val="auto"/>
              </w:rPr>
              <w:t>Total revenue</w:t>
            </w:r>
          </w:p>
        </w:tc>
        <w:tc>
          <w:tcPr>
            <w:tcW w:w="266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CFF0FC"/>
            </w:tcBorders>
            <w:shd w:val="clear" w:color="auto" w:fill="CFF0FC"/>
          </w:tcPr>
          <w:p>
            <w:pPr>
              <w:spacing w:after="0"/>
              <w:rPr>
                <w:sz w:val="15"/>
                <w:szCs w:val="15"/>
                <w:color w:val="auto"/>
              </w:rPr>
            </w:pPr>
          </w:p>
        </w:tc>
        <w:tc>
          <w:tcPr>
            <w:tcW w:w="1080" w:type="dxa"/>
            <w:vAlign w:val="bottom"/>
            <w:tcBorders>
              <w:bottom w:val="single" w:sz="8" w:color="CFF0FC"/>
            </w:tcBorders>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914,242</w:t>
            </w:r>
          </w:p>
        </w:tc>
        <w:tc>
          <w:tcPr>
            <w:tcW w:w="280" w:type="dxa"/>
            <w:vAlign w:val="bottom"/>
            <w:tcBorders>
              <w:bottom w:val="single" w:sz="8" w:color="CFF0FC"/>
            </w:tcBorders>
            <w:shd w:val="clear" w:color="auto" w:fill="CFF0FC"/>
          </w:tcPr>
          <w:p>
            <w:pPr>
              <w:spacing w:after="0"/>
              <w:rPr>
                <w:sz w:val="15"/>
                <w:szCs w:val="15"/>
                <w:color w:val="auto"/>
              </w:rPr>
            </w:pPr>
          </w:p>
        </w:tc>
        <w:tc>
          <w:tcPr>
            <w:tcW w:w="54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1,655,035</w:t>
            </w:r>
          </w:p>
        </w:tc>
        <w:tc>
          <w:tcPr>
            <w:tcW w:w="100" w:type="dxa"/>
            <w:vAlign w:val="bottom"/>
            <w:tcBorders>
              <w:bottom w:val="single" w:sz="8" w:color="CFF0FC"/>
            </w:tcBorders>
            <w:shd w:val="clear" w:color="auto" w:fill="CFF0FC"/>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4280" w:type="dxa"/>
            <w:vAlign w:val="bottom"/>
          </w:tcPr>
          <w:p>
            <w:pPr>
              <w:spacing w:after="0"/>
              <w:rPr>
                <w:sz w:val="20"/>
                <w:szCs w:val="20"/>
                <w:color w:val="auto"/>
              </w:rPr>
            </w:pPr>
            <w:r>
              <w:rPr>
                <w:rFonts w:ascii="Calibri" w:cs="Calibri" w:eastAsia="Calibri" w:hAnsi="Calibri"/>
                <w:sz w:val="15"/>
                <w:szCs w:val="15"/>
                <w:color w:val="auto"/>
              </w:rPr>
              <w:t>Cost of revenue:</w:t>
            </w:r>
          </w:p>
        </w:tc>
        <w:tc>
          <w:tcPr>
            <w:tcW w:w="2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6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560" w:type="dxa"/>
            <w:vAlign w:val="bottom"/>
          </w:tcPr>
          <w:p>
            <w:pPr>
              <w:spacing w:after="0"/>
              <w:rPr>
                <w:sz w:val="16"/>
                <w:szCs w:val="16"/>
                <w:color w:val="auto"/>
              </w:rPr>
            </w:pPr>
          </w:p>
        </w:tc>
        <w:tc>
          <w:tcPr>
            <w:tcW w:w="4280" w:type="dxa"/>
            <w:vAlign w:val="bottom"/>
            <w:tcBorders>
              <w:bottom w:val="single" w:sz="8" w:color="CFF0FC"/>
            </w:tcBorders>
            <w:shd w:val="clear" w:color="auto" w:fill="CFF0FC"/>
          </w:tcPr>
          <w:p>
            <w:pPr>
              <w:ind w:left="160"/>
              <w:spacing w:after="0"/>
              <w:rPr>
                <w:sz w:val="20"/>
                <w:szCs w:val="20"/>
                <w:color w:val="auto"/>
              </w:rPr>
            </w:pPr>
            <w:r>
              <w:rPr>
                <w:rFonts w:ascii="Calibri" w:cs="Calibri" w:eastAsia="Calibri" w:hAnsi="Calibri"/>
                <w:sz w:val="15"/>
                <w:szCs w:val="15"/>
                <w:color w:val="auto"/>
              </w:rPr>
              <w:t>Marketplace</w:t>
            </w:r>
          </w:p>
        </w:tc>
        <w:tc>
          <w:tcPr>
            <w:tcW w:w="266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CFF0FC"/>
            </w:tcBorders>
            <w:shd w:val="clear" w:color="auto" w:fill="CFF0FC"/>
          </w:tcPr>
          <w:p>
            <w:pPr>
              <w:spacing w:after="0"/>
              <w:rPr>
                <w:sz w:val="16"/>
                <w:szCs w:val="16"/>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60,020</w:t>
            </w:r>
          </w:p>
        </w:tc>
        <w:tc>
          <w:tcPr>
            <w:tcW w:w="280" w:type="dxa"/>
            <w:vAlign w:val="bottom"/>
            <w:tcBorders>
              <w:bottom w:val="single" w:sz="8" w:color="CFF0FC"/>
            </w:tcBorders>
            <w:shd w:val="clear" w:color="auto" w:fill="CFF0FC"/>
          </w:tcPr>
          <w:p>
            <w:pPr>
              <w:spacing w:after="0"/>
              <w:rPr>
                <w:sz w:val="16"/>
                <w:szCs w:val="16"/>
                <w:color w:val="auto"/>
              </w:rPr>
            </w:pPr>
          </w:p>
        </w:tc>
        <w:tc>
          <w:tcPr>
            <w:tcW w:w="540" w:type="dxa"/>
            <w:vAlign w:val="bottom"/>
            <w:tcBorders>
              <w:bottom w:val="single" w:sz="8" w:color="CFF0FC"/>
            </w:tcBorders>
            <w:shd w:val="clear" w:color="auto" w:fill="CFF0FC"/>
          </w:tcPr>
          <w:p>
            <w:pPr>
              <w:spacing w:after="0"/>
              <w:rPr>
                <w:sz w:val="16"/>
                <w:szCs w:val="16"/>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56,040</w:t>
            </w:r>
          </w:p>
        </w:tc>
        <w:tc>
          <w:tcPr>
            <w:tcW w:w="100" w:type="dxa"/>
            <w:vAlign w:val="bottom"/>
            <w:tcBorders>
              <w:bottom w:val="single" w:sz="8" w:color="CFF0FC"/>
            </w:tcBorders>
            <w:shd w:val="clear" w:color="auto" w:fill="CFF0FC"/>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4280" w:type="dxa"/>
            <w:vAlign w:val="bottom"/>
          </w:tcPr>
          <w:p>
            <w:pPr>
              <w:ind w:left="160"/>
              <w:spacing w:after="0"/>
              <w:rPr>
                <w:sz w:val="20"/>
                <w:szCs w:val="20"/>
                <w:color w:val="auto"/>
              </w:rPr>
            </w:pPr>
            <w:r>
              <w:rPr>
                <w:rFonts w:ascii="Calibri" w:cs="Calibri" w:eastAsia="Calibri" w:hAnsi="Calibri"/>
                <w:sz w:val="15"/>
                <w:szCs w:val="15"/>
                <w:color w:val="auto"/>
              </w:rPr>
              <w:t>Wholesale</w:t>
            </w:r>
          </w:p>
        </w:tc>
        <w:tc>
          <w:tcPr>
            <w:tcW w:w="2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alibri" w:cs="Calibri" w:eastAsia="Calibri" w:hAnsi="Calibri"/>
                <w:sz w:val="15"/>
                <w:szCs w:val="15"/>
                <w:color w:val="auto"/>
              </w:rPr>
              <w:t>90,066</w:t>
            </w: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alibri" w:cs="Calibri" w:eastAsia="Calibri" w:hAnsi="Calibri"/>
                <w:sz w:val="15"/>
                <w:szCs w:val="15"/>
                <w:color w:val="auto"/>
              </w:rPr>
              <w:t>176,446</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6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60" w:type="dxa"/>
            <w:vAlign w:val="bottom"/>
          </w:tcPr>
          <w:p>
            <w:pPr>
              <w:spacing w:after="0"/>
              <w:rPr>
                <w:sz w:val="18"/>
                <w:szCs w:val="18"/>
                <w:color w:val="auto"/>
              </w:rPr>
            </w:pPr>
          </w:p>
        </w:tc>
        <w:tc>
          <w:tcPr>
            <w:tcW w:w="4280" w:type="dxa"/>
            <w:vAlign w:val="bottom"/>
            <w:tcBorders>
              <w:bottom w:val="single" w:sz="8" w:color="CFF0FC"/>
            </w:tcBorders>
            <w:shd w:val="clear" w:color="auto" w:fill="CFF0FC"/>
          </w:tcPr>
          <w:p>
            <w:pPr>
              <w:ind w:left="160"/>
              <w:spacing w:after="0"/>
              <w:rPr>
                <w:sz w:val="20"/>
                <w:szCs w:val="20"/>
                <w:color w:val="auto"/>
              </w:rPr>
            </w:pPr>
            <w:r>
              <w:rPr>
                <w:rFonts w:ascii="Calibri" w:cs="Calibri" w:eastAsia="Calibri" w:hAnsi="Calibri"/>
                <w:sz w:val="15"/>
                <w:szCs w:val="15"/>
                <w:color w:val="auto"/>
              </w:rPr>
              <w:t>Product</w:t>
            </w:r>
          </w:p>
        </w:tc>
        <w:tc>
          <w:tcPr>
            <w:tcW w:w="26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112,702</w:t>
            </w:r>
          </w:p>
        </w:tc>
        <w:tc>
          <w:tcPr>
            <w:tcW w:w="28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764,996</w:t>
            </w: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60" w:type="dxa"/>
            <w:vAlign w:val="bottom"/>
          </w:tcPr>
          <w:p>
            <w:pPr>
              <w:spacing w:after="0"/>
              <w:rPr>
                <w:sz w:val="15"/>
                <w:szCs w:val="15"/>
                <w:color w:val="auto"/>
              </w:rPr>
            </w:pPr>
          </w:p>
        </w:tc>
        <w:tc>
          <w:tcPr>
            <w:tcW w:w="4280" w:type="dxa"/>
            <w:vAlign w:val="bottom"/>
            <w:tcBorders>
              <w:top w:val="single" w:sz="8" w:color="CFF0FC"/>
            </w:tcBorders>
          </w:tcPr>
          <w:p>
            <w:pPr>
              <w:ind w:left="320"/>
              <w:spacing w:after="0" w:line="174" w:lineRule="exact"/>
              <w:rPr>
                <w:sz w:val="20"/>
                <w:szCs w:val="20"/>
                <w:color w:val="auto"/>
              </w:rPr>
            </w:pPr>
            <w:r>
              <w:rPr>
                <w:rFonts w:ascii="Calibri" w:cs="Calibri" w:eastAsia="Calibri" w:hAnsi="Calibri"/>
                <w:sz w:val="15"/>
                <w:szCs w:val="15"/>
                <w:color w:val="auto"/>
              </w:rPr>
              <w:t>Total cost of revenue</w:t>
            </w:r>
          </w:p>
        </w:tc>
        <w:tc>
          <w:tcPr>
            <w:tcW w:w="2660" w:type="dxa"/>
            <w:vAlign w:val="bottom"/>
            <w:tcBorders>
              <w:top w:val="single" w:sz="8" w:color="CFF0FC"/>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line="174" w:lineRule="exact"/>
              <w:rPr>
                <w:sz w:val="20"/>
                <w:szCs w:val="20"/>
                <w:color w:val="auto"/>
              </w:rPr>
            </w:pPr>
            <w:r>
              <w:rPr>
                <w:rFonts w:ascii="Calibri" w:cs="Calibri" w:eastAsia="Calibri" w:hAnsi="Calibri"/>
                <w:sz w:val="15"/>
                <w:szCs w:val="15"/>
                <w:color w:val="auto"/>
              </w:rPr>
              <w:t>262,788</w:t>
            </w:r>
          </w:p>
        </w:tc>
        <w:tc>
          <w:tcPr>
            <w:tcW w:w="280" w:type="dxa"/>
            <w:vAlign w:val="bottom"/>
            <w:tcBorders>
              <w:top w:val="single" w:sz="8" w:color="CFF0FC"/>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line="174" w:lineRule="exact"/>
              <w:rPr>
                <w:sz w:val="20"/>
                <w:szCs w:val="20"/>
                <w:color w:val="auto"/>
              </w:rPr>
            </w:pPr>
            <w:r>
              <w:rPr>
                <w:rFonts w:ascii="Calibri" w:cs="Calibri" w:eastAsia="Calibri" w:hAnsi="Calibri"/>
                <w:sz w:val="15"/>
                <w:szCs w:val="15"/>
                <w:color w:val="auto"/>
              </w:rPr>
              <w:t>997,482</w:t>
            </w:r>
          </w:p>
        </w:tc>
        <w:tc>
          <w:tcPr>
            <w:tcW w:w="100" w:type="dxa"/>
            <w:vAlign w:val="bottom"/>
            <w:tcBorders>
              <w:top w:val="single" w:sz="8" w:color="CFF0FC"/>
            </w:tcBorders>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6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560" w:type="dxa"/>
            <w:vAlign w:val="bottom"/>
          </w:tcPr>
          <w:p>
            <w:pPr>
              <w:spacing w:after="0"/>
              <w:rPr>
                <w:sz w:val="15"/>
                <w:szCs w:val="15"/>
                <w:color w:val="auto"/>
              </w:rPr>
            </w:pPr>
          </w:p>
        </w:tc>
        <w:tc>
          <w:tcPr>
            <w:tcW w:w="4280" w:type="dxa"/>
            <w:vAlign w:val="bottom"/>
            <w:tcBorders>
              <w:bottom w:val="single" w:sz="8" w:color="CFF0FC"/>
            </w:tcBorders>
            <w:shd w:val="clear" w:color="auto" w:fill="CFF0FC"/>
          </w:tcPr>
          <w:p>
            <w:pPr>
              <w:spacing w:after="0" w:line="174" w:lineRule="exact"/>
              <w:rPr>
                <w:sz w:val="20"/>
                <w:szCs w:val="20"/>
                <w:color w:val="auto"/>
              </w:rPr>
            </w:pPr>
            <w:r>
              <w:rPr>
                <w:rFonts w:ascii="Calibri" w:cs="Calibri" w:eastAsia="Calibri" w:hAnsi="Calibri"/>
                <w:sz w:val="15"/>
                <w:szCs w:val="15"/>
                <w:color w:val="auto"/>
              </w:rPr>
              <w:t>Gross proft</w:t>
            </w:r>
          </w:p>
        </w:tc>
        <w:tc>
          <w:tcPr>
            <w:tcW w:w="266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CFF0FC"/>
            </w:tcBorders>
            <w:shd w:val="clear" w:color="auto" w:fill="CFF0FC"/>
          </w:tcPr>
          <w:p>
            <w:pPr>
              <w:spacing w:after="0"/>
              <w:rPr>
                <w:sz w:val="15"/>
                <w:szCs w:val="15"/>
                <w:color w:val="auto"/>
              </w:rPr>
            </w:pPr>
          </w:p>
        </w:tc>
        <w:tc>
          <w:tcPr>
            <w:tcW w:w="1080" w:type="dxa"/>
            <w:vAlign w:val="bottom"/>
            <w:tcBorders>
              <w:bottom w:val="single" w:sz="8" w:color="CFF0FC"/>
            </w:tcBorders>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651,454</w:t>
            </w:r>
          </w:p>
        </w:tc>
        <w:tc>
          <w:tcPr>
            <w:tcW w:w="280" w:type="dxa"/>
            <w:vAlign w:val="bottom"/>
            <w:tcBorders>
              <w:bottom w:val="single" w:sz="8" w:color="CFF0FC"/>
            </w:tcBorders>
            <w:shd w:val="clear" w:color="auto" w:fill="CFF0FC"/>
          </w:tcPr>
          <w:p>
            <w:pPr>
              <w:spacing w:after="0"/>
              <w:rPr>
                <w:sz w:val="15"/>
                <w:szCs w:val="15"/>
                <w:color w:val="auto"/>
              </w:rPr>
            </w:pPr>
          </w:p>
        </w:tc>
        <w:tc>
          <w:tcPr>
            <w:tcW w:w="54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657,553</w:t>
            </w:r>
          </w:p>
        </w:tc>
        <w:tc>
          <w:tcPr>
            <w:tcW w:w="100" w:type="dxa"/>
            <w:vAlign w:val="bottom"/>
            <w:tcBorders>
              <w:bottom w:val="single" w:sz="8" w:color="CFF0FC"/>
            </w:tcBorders>
            <w:shd w:val="clear" w:color="auto" w:fill="CFF0FC"/>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4280" w:type="dxa"/>
            <w:vAlign w:val="bottom"/>
          </w:tcPr>
          <w:p>
            <w:pPr>
              <w:spacing w:after="0"/>
              <w:rPr>
                <w:sz w:val="20"/>
                <w:szCs w:val="20"/>
                <w:color w:val="auto"/>
              </w:rPr>
            </w:pPr>
            <w:r>
              <w:rPr>
                <w:rFonts w:ascii="Calibri" w:cs="Calibri" w:eastAsia="Calibri" w:hAnsi="Calibri"/>
                <w:sz w:val="15"/>
                <w:szCs w:val="15"/>
                <w:color w:val="auto"/>
              </w:rPr>
              <w:t>Operatng expenses:</w:t>
            </w:r>
          </w:p>
        </w:tc>
        <w:tc>
          <w:tcPr>
            <w:tcW w:w="2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6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560" w:type="dxa"/>
            <w:vAlign w:val="bottom"/>
          </w:tcPr>
          <w:p>
            <w:pPr>
              <w:spacing w:after="0"/>
              <w:rPr>
                <w:sz w:val="16"/>
                <w:szCs w:val="16"/>
                <w:color w:val="auto"/>
              </w:rPr>
            </w:pPr>
          </w:p>
        </w:tc>
        <w:tc>
          <w:tcPr>
            <w:tcW w:w="4280" w:type="dxa"/>
            <w:vAlign w:val="bottom"/>
            <w:tcBorders>
              <w:bottom w:val="single" w:sz="8" w:color="CFF0FC"/>
            </w:tcBorders>
            <w:shd w:val="clear" w:color="auto" w:fill="CFF0FC"/>
          </w:tcPr>
          <w:p>
            <w:pPr>
              <w:ind w:left="160"/>
              <w:spacing w:after="0"/>
              <w:rPr>
                <w:sz w:val="20"/>
                <w:szCs w:val="20"/>
                <w:color w:val="auto"/>
              </w:rPr>
            </w:pPr>
            <w:r>
              <w:rPr>
                <w:rFonts w:ascii="Calibri" w:cs="Calibri" w:eastAsia="Calibri" w:hAnsi="Calibri"/>
                <w:sz w:val="15"/>
                <w:szCs w:val="15"/>
                <w:color w:val="auto"/>
              </w:rPr>
              <w:t>Sales and marketng</w:t>
            </w:r>
          </w:p>
        </w:tc>
        <w:tc>
          <w:tcPr>
            <w:tcW w:w="266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CFF0FC"/>
            </w:tcBorders>
            <w:shd w:val="clear" w:color="auto" w:fill="CFF0FC"/>
          </w:tcPr>
          <w:p>
            <w:pPr>
              <w:spacing w:after="0"/>
              <w:rPr>
                <w:sz w:val="16"/>
                <w:szCs w:val="16"/>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304,070</w:t>
            </w:r>
          </w:p>
        </w:tc>
        <w:tc>
          <w:tcPr>
            <w:tcW w:w="280" w:type="dxa"/>
            <w:vAlign w:val="bottom"/>
            <w:tcBorders>
              <w:bottom w:val="single" w:sz="8" w:color="CFF0FC"/>
            </w:tcBorders>
            <w:shd w:val="clear" w:color="auto" w:fill="CFF0FC"/>
          </w:tcPr>
          <w:p>
            <w:pPr>
              <w:spacing w:after="0"/>
              <w:rPr>
                <w:sz w:val="16"/>
                <w:szCs w:val="16"/>
                <w:color w:val="auto"/>
              </w:rPr>
            </w:pPr>
          </w:p>
        </w:tc>
        <w:tc>
          <w:tcPr>
            <w:tcW w:w="540" w:type="dxa"/>
            <w:vAlign w:val="bottom"/>
            <w:tcBorders>
              <w:bottom w:val="single" w:sz="8" w:color="CFF0FC"/>
            </w:tcBorders>
            <w:shd w:val="clear" w:color="auto" w:fill="CFF0FC"/>
          </w:tcPr>
          <w:p>
            <w:pPr>
              <w:spacing w:after="0"/>
              <w:rPr>
                <w:sz w:val="16"/>
                <w:szCs w:val="16"/>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336,708</w:t>
            </w:r>
          </w:p>
        </w:tc>
        <w:tc>
          <w:tcPr>
            <w:tcW w:w="100" w:type="dxa"/>
            <w:vAlign w:val="bottom"/>
            <w:tcBorders>
              <w:bottom w:val="single" w:sz="8" w:color="CFF0FC"/>
            </w:tcBorders>
            <w:shd w:val="clear" w:color="auto" w:fill="CFF0FC"/>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4280" w:type="dxa"/>
            <w:vAlign w:val="bottom"/>
          </w:tcPr>
          <w:p>
            <w:pPr>
              <w:ind w:left="160"/>
              <w:spacing w:after="0"/>
              <w:rPr>
                <w:sz w:val="20"/>
                <w:szCs w:val="20"/>
                <w:color w:val="auto"/>
              </w:rPr>
            </w:pPr>
            <w:r>
              <w:rPr>
                <w:rFonts w:ascii="Calibri" w:cs="Calibri" w:eastAsia="Calibri" w:hAnsi="Calibri"/>
                <w:sz w:val="15"/>
                <w:szCs w:val="15"/>
                <w:color w:val="auto"/>
              </w:rPr>
              <w:t>Product, technology, and development</w:t>
            </w:r>
          </w:p>
        </w:tc>
        <w:tc>
          <w:tcPr>
            <w:tcW w:w="2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alibri" w:cs="Calibri" w:eastAsia="Calibri" w:hAnsi="Calibri"/>
                <w:sz w:val="15"/>
                <w:szCs w:val="15"/>
                <w:color w:val="auto"/>
              </w:rPr>
              <w:t>146,169</w:t>
            </w: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alibri" w:cs="Calibri" w:eastAsia="Calibri" w:hAnsi="Calibri"/>
                <w:sz w:val="15"/>
                <w:szCs w:val="15"/>
                <w:color w:val="auto"/>
              </w:rPr>
              <w:t>123,768</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6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560" w:type="dxa"/>
            <w:vAlign w:val="bottom"/>
          </w:tcPr>
          <w:p>
            <w:pPr>
              <w:spacing w:after="0"/>
              <w:rPr>
                <w:sz w:val="16"/>
                <w:szCs w:val="16"/>
                <w:color w:val="auto"/>
              </w:rPr>
            </w:pPr>
          </w:p>
        </w:tc>
        <w:tc>
          <w:tcPr>
            <w:tcW w:w="4280" w:type="dxa"/>
            <w:vAlign w:val="bottom"/>
            <w:tcBorders>
              <w:bottom w:val="single" w:sz="8" w:color="CFF0FC"/>
            </w:tcBorders>
            <w:shd w:val="clear" w:color="auto" w:fill="CFF0FC"/>
          </w:tcPr>
          <w:p>
            <w:pPr>
              <w:ind w:left="160"/>
              <w:spacing w:after="0"/>
              <w:rPr>
                <w:sz w:val="20"/>
                <w:szCs w:val="20"/>
                <w:color w:val="auto"/>
              </w:rPr>
            </w:pPr>
            <w:r>
              <w:rPr>
                <w:rFonts w:ascii="Calibri" w:cs="Calibri" w:eastAsia="Calibri" w:hAnsi="Calibri"/>
                <w:sz w:val="15"/>
                <w:szCs w:val="15"/>
                <w:color w:val="auto"/>
              </w:rPr>
              <w:t>General and administratve</w:t>
            </w:r>
          </w:p>
        </w:tc>
        <w:tc>
          <w:tcPr>
            <w:tcW w:w="266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CFF0FC"/>
            </w:tcBorders>
            <w:shd w:val="clear" w:color="auto" w:fill="CFF0FC"/>
          </w:tcPr>
          <w:p>
            <w:pPr>
              <w:spacing w:after="0"/>
              <w:rPr>
                <w:sz w:val="16"/>
                <w:szCs w:val="16"/>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152,757</w:t>
            </w:r>
          </w:p>
        </w:tc>
        <w:tc>
          <w:tcPr>
            <w:tcW w:w="280" w:type="dxa"/>
            <w:vAlign w:val="bottom"/>
            <w:tcBorders>
              <w:bottom w:val="single" w:sz="8" w:color="CFF0FC"/>
            </w:tcBorders>
            <w:shd w:val="clear" w:color="auto" w:fill="CFF0FC"/>
          </w:tcPr>
          <w:p>
            <w:pPr>
              <w:spacing w:after="0"/>
              <w:rPr>
                <w:sz w:val="16"/>
                <w:szCs w:val="16"/>
                <w:color w:val="auto"/>
              </w:rPr>
            </w:pPr>
          </w:p>
        </w:tc>
        <w:tc>
          <w:tcPr>
            <w:tcW w:w="540" w:type="dxa"/>
            <w:vAlign w:val="bottom"/>
            <w:tcBorders>
              <w:bottom w:val="single" w:sz="8" w:color="CFF0FC"/>
            </w:tcBorders>
            <w:shd w:val="clear" w:color="auto" w:fill="CFF0FC"/>
          </w:tcPr>
          <w:p>
            <w:pPr>
              <w:spacing w:after="0"/>
              <w:rPr>
                <w:sz w:val="16"/>
                <w:szCs w:val="16"/>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73,117</w:t>
            </w:r>
          </w:p>
        </w:tc>
        <w:tc>
          <w:tcPr>
            <w:tcW w:w="100" w:type="dxa"/>
            <w:vAlign w:val="bottom"/>
            <w:tcBorders>
              <w:bottom w:val="single" w:sz="8" w:color="CFF0FC"/>
            </w:tcBorders>
            <w:shd w:val="clear" w:color="auto" w:fill="CFF0FC"/>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4280" w:type="dxa"/>
            <w:vAlign w:val="bottom"/>
          </w:tcPr>
          <w:p>
            <w:pPr>
              <w:ind w:left="160"/>
              <w:spacing w:after="0"/>
              <w:rPr>
                <w:sz w:val="20"/>
                <w:szCs w:val="20"/>
                <w:color w:val="auto"/>
              </w:rPr>
            </w:pPr>
            <w:r>
              <w:rPr>
                <w:rFonts w:ascii="Calibri" w:cs="Calibri" w:eastAsia="Calibri" w:hAnsi="Calibri"/>
                <w:sz w:val="15"/>
                <w:szCs w:val="15"/>
                <w:color w:val="auto"/>
              </w:rPr>
              <w:t>Depreciaton and amortzaton</w:t>
            </w:r>
          </w:p>
        </w:tc>
        <w:tc>
          <w:tcPr>
            <w:tcW w:w="2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alibri" w:cs="Calibri" w:eastAsia="Calibri" w:hAnsi="Calibri"/>
                <w:sz w:val="15"/>
                <w:szCs w:val="15"/>
                <w:color w:val="auto"/>
              </w:rPr>
              <w:t>15,831</w:t>
            </w: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alibri" w:cs="Calibri" w:eastAsia="Calibri" w:hAnsi="Calibri"/>
                <w:sz w:val="15"/>
                <w:szCs w:val="15"/>
                <w:color w:val="auto"/>
              </w:rPr>
              <w:t>15,482</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6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60" w:type="dxa"/>
            <w:vAlign w:val="bottom"/>
          </w:tcPr>
          <w:p>
            <w:pPr>
              <w:spacing w:after="0"/>
              <w:rPr>
                <w:sz w:val="17"/>
                <w:szCs w:val="17"/>
                <w:color w:val="auto"/>
              </w:rPr>
            </w:pPr>
          </w:p>
        </w:tc>
        <w:tc>
          <w:tcPr>
            <w:tcW w:w="4280" w:type="dxa"/>
            <w:vAlign w:val="bottom"/>
            <w:tcBorders>
              <w:bottom w:val="single" w:sz="8" w:color="CFF0FC"/>
            </w:tcBorders>
            <w:shd w:val="clear" w:color="auto" w:fill="CFF0FC"/>
          </w:tcPr>
          <w:p>
            <w:pPr>
              <w:ind w:left="320"/>
              <w:spacing w:after="0" w:line="174" w:lineRule="exact"/>
              <w:rPr>
                <w:sz w:val="20"/>
                <w:szCs w:val="20"/>
                <w:color w:val="auto"/>
              </w:rPr>
            </w:pPr>
            <w:r>
              <w:rPr>
                <w:rFonts w:ascii="Calibri" w:cs="Calibri" w:eastAsia="Calibri" w:hAnsi="Calibri"/>
                <w:sz w:val="15"/>
                <w:szCs w:val="15"/>
                <w:color w:val="auto"/>
              </w:rPr>
              <w:t>Total operatng expenses</w:t>
            </w:r>
          </w:p>
        </w:tc>
        <w:tc>
          <w:tcPr>
            <w:tcW w:w="266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CFF0FC"/>
            </w:tcBorders>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618,827</w:t>
            </w:r>
          </w:p>
        </w:tc>
        <w:tc>
          <w:tcPr>
            <w:tcW w:w="28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CFF0FC"/>
            </w:tcBorders>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549,075</w:t>
            </w:r>
          </w:p>
        </w:tc>
        <w:tc>
          <w:tcPr>
            <w:tcW w:w="100" w:type="dxa"/>
            <w:vAlign w:val="bottom"/>
            <w:tcBorders>
              <w:bottom w:val="single" w:sz="8" w:color="CFF0FC"/>
            </w:tcBorders>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60" w:type="dxa"/>
            <w:vAlign w:val="bottom"/>
          </w:tcPr>
          <w:p>
            <w:pPr>
              <w:spacing w:after="0"/>
              <w:rPr>
                <w:sz w:val="15"/>
                <w:szCs w:val="15"/>
                <w:color w:val="auto"/>
              </w:rPr>
            </w:pPr>
          </w:p>
        </w:tc>
        <w:tc>
          <w:tcPr>
            <w:tcW w:w="4280" w:type="dxa"/>
            <w:vAlign w:val="bottom"/>
            <w:tcBorders>
              <w:top w:val="single" w:sz="8" w:color="CFF0FC"/>
            </w:tcBorders>
          </w:tcPr>
          <w:p>
            <w:pPr>
              <w:spacing w:after="0" w:line="174" w:lineRule="exact"/>
              <w:rPr>
                <w:sz w:val="20"/>
                <w:szCs w:val="20"/>
                <w:color w:val="auto"/>
              </w:rPr>
            </w:pPr>
            <w:r>
              <w:rPr>
                <w:rFonts w:ascii="Calibri" w:cs="Calibri" w:eastAsia="Calibri" w:hAnsi="Calibri"/>
                <w:sz w:val="15"/>
                <w:szCs w:val="15"/>
                <w:color w:val="auto"/>
              </w:rPr>
              <w:t>Income from operatons</w:t>
            </w:r>
          </w:p>
        </w:tc>
        <w:tc>
          <w:tcPr>
            <w:tcW w:w="2660" w:type="dxa"/>
            <w:vAlign w:val="bottom"/>
            <w:tcBorders>
              <w:top w:val="single" w:sz="8" w:color="CFF0FC"/>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line="174" w:lineRule="exact"/>
              <w:rPr>
                <w:sz w:val="20"/>
                <w:szCs w:val="20"/>
                <w:color w:val="auto"/>
              </w:rPr>
            </w:pPr>
            <w:r>
              <w:rPr>
                <w:rFonts w:ascii="Calibri" w:cs="Calibri" w:eastAsia="Calibri" w:hAnsi="Calibri"/>
                <w:sz w:val="15"/>
                <w:szCs w:val="15"/>
                <w:color w:val="auto"/>
              </w:rPr>
              <w:t>32,627</w:t>
            </w:r>
          </w:p>
        </w:tc>
        <w:tc>
          <w:tcPr>
            <w:tcW w:w="280" w:type="dxa"/>
            <w:vAlign w:val="bottom"/>
            <w:tcBorders>
              <w:top w:val="single" w:sz="8" w:color="CFF0FC"/>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line="174" w:lineRule="exact"/>
              <w:rPr>
                <w:sz w:val="20"/>
                <w:szCs w:val="20"/>
                <w:color w:val="auto"/>
              </w:rPr>
            </w:pPr>
            <w:r>
              <w:rPr>
                <w:rFonts w:ascii="Calibri" w:cs="Calibri" w:eastAsia="Calibri" w:hAnsi="Calibri"/>
                <w:sz w:val="15"/>
                <w:szCs w:val="15"/>
                <w:color w:val="auto"/>
              </w:rPr>
              <w:t>108,478</w:t>
            </w:r>
          </w:p>
        </w:tc>
        <w:tc>
          <w:tcPr>
            <w:tcW w:w="100" w:type="dxa"/>
            <w:vAlign w:val="bottom"/>
            <w:tcBorders>
              <w:top w:val="single" w:sz="8" w:color="CFF0FC"/>
            </w:tcBorders>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6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560" w:type="dxa"/>
            <w:vAlign w:val="bottom"/>
          </w:tcPr>
          <w:p>
            <w:pPr>
              <w:spacing w:after="0"/>
              <w:rPr>
                <w:sz w:val="16"/>
                <w:szCs w:val="16"/>
                <w:color w:val="auto"/>
              </w:rPr>
            </w:pPr>
          </w:p>
        </w:tc>
        <w:tc>
          <w:tcPr>
            <w:tcW w:w="428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5"/>
                <w:szCs w:val="15"/>
                <w:color w:val="auto"/>
              </w:rPr>
              <w:t>Other income, net:</w:t>
            </w:r>
          </w:p>
        </w:tc>
        <w:tc>
          <w:tcPr>
            <w:tcW w:w="266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CFF0FC"/>
            </w:tcBorders>
            <w:shd w:val="clear" w:color="auto" w:fill="CFF0FC"/>
          </w:tcPr>
          <w:p>
            <w:pPr>
              <w:spacing w:after="0"/>
              <w:rPr>
                <w:sz w:val="16"/>
                <w:szCs w:val="16"/>
                <w:color w:val="auto"/>
              </w:rPr>
            </w:pPr>
          </w:p>
        </w:tc>
        <w:tc>
          <w:tcPr>
            <w:tcW w:w="108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540" w:type="dxa"/>
            <w:vAlign w:val="bottom"/>
            <w:tcBorders>
              <w:bottom w:val="single" w:sz="8" w:color="CFF0FC"/>
            </w:tcBorders>
            <w:shd w:val="clear" w:color="auto" w:fill="CFF0FC"/>
          </w:tcPr>
          <w:p>
            <w:pPr>
              <w:spacing w:after="0"/>
              <w:rPr>
                <w:sz w:val="16"/>
                <w:szCs w:val="16"/>
                <w:color w:val="auto"/>
              </w:rPr>
            </w:pPr>
          </w:p>
        </w:tc>
        <w:tc>
          <w:tcPr>
            <w:tcW w:w="8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4280" w:type="dxa"/>
            <w:vAlign w:val="bottom"/>
          </w:tcPr>
          <w:p>
            <w:pPr>
              <w:ind w:left="160"/>
              <w:spacing w:after="0"/>
              <w:rPr>
                <w:sz w:val="20"/>
                <w:szCs w:val="20"/>
                <w:color w:val="auto"/>
              </w:rPr>
            </w:pPr>
            <w:r>
              <w:rPr>
                <w:rFonts w:ascii="Calibri" w:cs="Calibri" w:eastAsia="Calibri" w:hAnsi="Calibri"/>
                <w:sz w:val="15"/>
                <w:szCs w:val="15"/>
                <w:color w:val="auto"/>
              </w:rPr>
              <w:t>Interest income</w:t>
            </w:r>
          </w:p>
        </w:tc>
        <w:tc>
          <w:tcPr>
            <w:tcW w:w="2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alibri" w:cs="Calibri" w:eastAsia="Calibri" w:hAnsi="Calibri"/>
                <w:sz w:val="15"/>
                <w:szCs w:val="15"/>
                <w:color w:val="auto"/>
              </w:rPr>
              <w:t>18,430</w:t>
            </w: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alibri" w:cs="Calibri" w:eastAsia="Calibri" w:hAnsi="Calibri"/>
                <w:sz w:val="15"/>
                <w:szCs w:val="15"/>
                <w:color w:val="auto"/>
              </w:rPr>
              <w:t>3,845</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6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60" w:type="dxa"/>
            <w:vAlign w:val="bottom"/>
          </w:tcPr>
          <w:p>
            <w:pPr>
              <w:spacing w:after="0"/>
              <w:rPr>
                <w:sz w:val="18"/>
                <w:szCs w:val="18"/>
                <w:color w:val="auto"/>
              </w:rPr>
            </w:pPr>
          </w:p>
        </w:tc>
        <w:tc>
          <w:tcPr>
            <w:tcW w:w="4280" w:type="dxa"/>
            <w:vAlign w:val="bottom"/>
            <w:tcBorders>
              <w:bottom w:val="single" w:sz="8" w:color="CFF0FC"/>
            </w:tcBorders>
            <w:shd w:val="clear" w:color="auto" w:fill="CFF0FC"/>
          </w:tcPr>
          <w:p>
            <w:pPr>
              <w:ind w:left="160"/>
              <w:spacing w:after="0"/>
              <w:rPr>
                <w:sz w:val="20"/>
                <w:szCs w:val="20"/>
                <w:color w:val="auto"/>
              </w:rPr>
            </w:pPr>
            <w:r>
              <w:rPr>
                <w:rFonts w:ascii="Calibri" w:cs="Calibri" w:eastAsia="Calibri" w:hAnsi="Calibri"/>
                <w:sz w:val="15"/>
                <w:szCs w:val="15"/>
                <w:color w:val="auto"/>
              </w:rPr>
              <w:t>Other income (expense), net</w:t>
            </w:r>
          </w:p>
        </w:tc>
        <w:tc>
          <w:tcPr>
            <w:tcW w:w="26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630</w:t>
            </w:r>
          </w:p>
        </w:tc>
        <w:tc>
          <w:tcPr>
            <w:tcW w:w="28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gridSpan w:val="2"/>
            <w:shd w:val="clear" w:color="auto" w:fill="CFF0FC"/>
          </w:tcPr>
          <w:p>
            <w:pPr>
              <w:jc w:val="right"/>
              <w:ind w:right="40"/>
              <w:spacing w:after="0"/>
              <w:rPr>
                <w:sz w:val="20"/>
                <w:szCs w:val="20"/>
                <w:color w:val="auto"/>
              </w:rPr>
            </w:pPr>
            <w:r>
              <w:rPr>
                <w:rFonts w:ascii="Calibri" w:cs="Calibri" w:eastAsia="Calibri" w:hAnsi="Calibri"/>
                <w:sz w:val="15"/>
                <w:szCs w:val="15"/>
                <w:color w:val="auto"/>
              </w:rPr>
              <w:t>(961 )</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60" w:type="dxa"/>
            <w:vAlign w:val="bottom"/>
          </w:tcPr>
          <w:p>
            <w:pPr>
              <w:spacing w:after="0"/>
              <w:rPr>
                <w:sz w:val="15"/>
                <w:szCs w:val="15"/>
                <w:color w:val="auto"/>
              </w:rPr>
            </w:pPr>
          </w:p>
        </w:tc>
        <w:tc>
          <w:tcPr>
            <w:tcW w:w="4280" w:type="dxa"/>
            <w:vAlign w:val="bottom"/>
            <w:tcBorders>
              <w:top w:val="single" w:sz="8" w:color="CFF0FC"/>
            </w:tcBorders>
          </w:tcPr>
          <w:p>
            <w:pPr>
              <w:ind w:left="320"/>
              <w:spacing w:after="0" w:line="174" w:lineRule="exact"/>
              <w:rPr>
                <w:sz w:val="20"/>
                <w:szCs w:val="20"/>
                <w:color w:val="auto"/>
              </w:rPr>
            </w:pPr>
            <w:r>
              <w:rPr>
                <w:rFonts w:ascii="Calibri" w:cs="Calibri" w:eastAsia="Calibri" w:hAnsi="Calibri"/>
                <w:sz w:val="15"/>
                <w:szCs w:val="15"/>
                <w:color w:val="auto"/>
              </w:rPr>
              <w:t>Total other income, net</w:t>
            </w:r>
          </w:p>
        </w:tc>
        <w:tc>
          <w:tcPr>
            <w:tcW w:w="2660" w:type="dxa"/>
            <w:vAlign w:val="bottom"/>
            <w:tcBorders>
              <w:top w:val="single" w:sz="8" w:color="CFF0FC"/>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line="174" w:lineRule="exact"/>
              <w:rPr>
                <w:sz w:val="20"/>
                <w:szCs w:val="20"/>
                <w:color w:val="auto"/>
              </w:rPr>
            </w:pPr>
            <w:r>
              <w:rPr>
                <w:rFonts w:ascii="Calibri" w:cs="Calibri" w:eastAsia="Calibri" w:hAnsi="Calibri"/>
                <w:sz w:val="15"/>
                <w:szCs w:val="15"/>
                <w:color w:val="auto"/>
              </w:rPr>
              <w:t>19,060</w:t>
            </w:r>
          </w:p>
        </w:tc>
        <w:tc>
          <w:tcPr>
            <w:tcW w:w="280" w:type="dxa"/>
            <w:vAlign w:val="bottom"/>
            <w:tcBorders>
              <w:top w:val="single" w:sz="8" w:color="CFF0FC"/>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line="174" w:lineRule="exact"/>
              <w:rPr>
                <w:sz w:val="20"/>
                <w:szCs w:val="20"/>
                <w:color w:val="auto"/>
              </w:rPr>
            </w:pPr>
            <w:r>
              <w:rPr>
                <w:rFonts w:ascii="Calibri" w:cs="Calibri" w:eastAsia="Calibri" w:hAnsi="Calibri"/>
                <w:sz w:val="15"/>
                <w:szCs w:val="15"/>
                <w:color w:val="auto"/>
              </w:rPr>
              <w:t>2,884</w:t>
            </w:r>
          </w:p>
        </w:tc>
        <w:tc>
          <w:tcPr>
            <w:tcW w:w="100" w:type="dxa"/>
            <w:vAlign w:val="bottom"/>
            <w:tcBorders>
              <w:top w:val="single" w:sz="8" w:color="CFF0FC"/>
            </w:tcBorders>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6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560" w:type="dxa"/>
            <w:vAlign w:val="bottom"/>
          </w:tcPr>
          <w:p>
            <w:pPr>
              <w:spacing w:after="0"/>
              <w:rPr>
                <w:sz w:val="16"/>
                <w:szCs w:val="16"/>
                <w:color w:val="auto"/>
              </w:rPr>
            </w:pPr>
          </w:p>
        </w:tc>
        <w:tc>
          <w:tcPr>
            <w:tcW w:w="428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5"/>
                <w:szCs w:val="15"/>
                <w:color w:val="auto"/>
              </w:rPr>
              <w:t>Income before income taxes</w:t>
            </w:r>
          </w:p>
        </w:tc>
        <w:tc>
          <w:tcPr>
            <w:tcW w:w="266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CFF0FC"/>
            </w:tcBorders>
            <w:shd w:val="clear" w:color="auto" w:fill="CFF0FC"/>
          </w:tcPr>
          <w:p>
            <w:pPr>
              <w:spacing w:after="0"/>
              <w:rPr>
                <w:sz w:val="16"/>
                <w:szCs w:val="16"/>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51,687</w:t>
            </w:r>
          </w:p>
        </w:tc>
        <w:tc>
          <w:tcPr>
            <w:tcW w:w="280" w:type="dxa"/>
            <w:vAlign w:val="bottom"/>
            <w:tcBorders>
              <w:bottom w:val="single" w:sz="8" w:color="CFF0FC"/>
            </w:tcBorders>
            <w:shd w:val="clear" w:color="auto" w:fill="CFF0FC"/>
          </w:tcPr>
          <w:p>
            <w:pPr>
              <w:spacing w:after="0"/>
              <w:rPr>
                <w:sz w:val="16"/>
                <w:szCs w:val="16"/>
                <w:color w:val="auto"/>
              </w:rPr>
            </w:pPr>
          </w:p>
        </w:tc>
        <w:tc>
          <w:tcPr>
            <w:tcW w:w="540" w:type="dxa"/>
            <w:vAlign w:val="bottom"/>
            <w:tcBorders>
              <w:bottom w:val="single" w:sz="8" w:color="CFF0FC"/>
            </w:tcBorders>
            <w:shd w:val="clear" w:color="auto" w:fill="CFF0FC"/>
          </w:tcPr>
          <w:p>
            <w:pPr>
              <w:spacing w:after="0"/>
              <w:rPr>
                <w:sz w:val="16"/>
                <w:szCs w:val="16"/>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111,362</w:t>
            </w:r>
          </w:p>
        </w:tc>
        <w:tc>
          <w:tcPr>
            <w:tcW w:w="100" w:type="dxa"/>
            <w:vAlign w:val="bottom"/>
            <w:tcBorders>
              <w:bottom w:val="single" w:sz="8" w:color="CFF0FC"/>
            </w:tcBorders>
            <w:shd w:val="clear" w:color="auto" w:fill="CFF0FC"/>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4280" w:type="dxa"/>
            <w:vAlign w:val="bottom"/>
          </w:tcPr>
          <w:p>
            <w:pPr>
              <w:spacing w:after="0"/>
              <w:rPr>
                <w:sz w:val="20"/>
                <w:szCs w:val="20"/>
                <w:color w:val="auto"/>
              </w:rPr>
            </w:pPr>
            <w:r>
              <w:rPr>
                <w:rFonts w:ascii="Calibri" w:cs="Calibri" w:eastAsia="Calibri" w:hAnsi="Calibri"/>
                <w:sz w:val="15"/>
                <w:szCs w:val="15"/>
                <w:color w:val="auto"/>
              </w:rPr>
              <w:t>Provision for income taxes</w:t>
            </w:r>
          </w:p>
        </w:tc>
        <w:tc>
          <w:tcPr>
            <w:tcW w:w="2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alibri" w:cs="Calibri" w:eastAsia="Calibri" w:hAnsi="Calibri"/>
                <w:sz w:val="15"/>
                <w:szCs w:val="15"/>
                <w:color w:val="auto"/>
              </w:rPr>
              <w:t>29,634</w:t>
            </w: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alibri" w:cs="Calibri" w:eastAsia="Calibri" w:hAnsi="Calibri"/>
                <w:sz w:val="15"/>
                <w:szCs w:val="15"/>
                <w:color w:val="auto"/>
              </w:rPr>
              <w:t>32,408</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6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560" w:type="dxa"/>
            <w:vAlign w:val="bottom"/>
          </w:tcPr>
          <w:p>
            <w:pPr>
              <w:spacing w:after="0"/>
              <w:rPr>
                <w:sz w:val="15"/>
                <w:szCs w:val="15"/>
                <w:color w:val="auto"/>
              </w:rPr>
            </w:pPr>
          </w:p>
        </w:tc>
        <w:tc>
          <w:tcPr>
            <w:tcW w:w="4280" w:type="dxa"/>
            <w:vAlign w:val="bottom"/>
            <w:tcBorders>
              <w:bottom w:val="single" w:sz="8" w:color="CFF0FC"/>
            </w:tcBorders>
            <w:shd w:val="clear" w:color="auto" w:fill="CFF0FC"/>
          </w:tcPr>
          <w:p>
            <w:pPr>
              <w:spacing w:after="0" w:line="174" w:lineRule="exact"/>
              <w:rPr>
                <w:sz w:val="20"/>
                <w:szCs w:val="20"/>
                <w:color w:val="auto"/>
              </w:rPr>
            </w:pPr>
            <w:r>
              <w:rPr>
                <w:rFonts w:ascii="Calibri" w:cs="Calibri" w:eastAsia="Calibri" w:hAnsi="Calibri"/>
                <w:sz w:val="15"/>
                <w:szCs w:val="15"/>
                <w:color w:val="auto"/>
              </w:rPr>
              <w:t>Consolidated net income</w:t>
            </w:r>
          </w:p>
        </w:tc>
        <w:tc>
          <w:tcPr>
            <w:tcW w:w="266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CFF0FC"/>
            </w:tcBorders>
            <w:shd w:val="clear" w:color="auto" w:fill="CFF0FC"/>
          </w:tcPr>
          <w:p>
            <w:pPr>
              <w:spacing w:after="0"/>
              <w:rPr>
                <w:sz w:val="15"/>
                <w:szCs w:val="15"/>
                <w:color w:val="auto"/>
              </w:rPr>
            </w:pPr>
          </w:p>
        </w:tc>
        <w:tc>
          <w:tcPr>
            <w:tcW w:w="1080" w:type="dxa"/>
            <w:vAlign w:val="bottom"/>
            <w:tcBorders>
              <w:bottom w:val="single" w:sz="8" w:color="CFF0FC"/>
            </w:tcBorders>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22,053</w:t>
            </w:r>
          </w:p>
        </w:tc>
        <w:tc>
          <w:tcPr>
            <w:tcW w:w="280" w:type="dxa"/>
            <w:vAlign w:val="bottom"/>
            <w:tcBorders>
              <w:bottom w:val="single" w:sz="8" w:color="CFF0FC"/>
            </w:tcBorders>
            <w:shd w:val="clear" w:color="auto" w:fill="CFF0FC"/>
          </w:tcPr>
          <w:p>
            <w:pPr>
              <w:spacing w:after="0"/>
              <w:rPr>
                <w:sz w:val="15"/>
                <w:szCs w:val="15"/>
                <w:color w:val="auto"/>
              </w:rPr>
            </w:pPr>
          </w:p>
        </w:tc>
        <w:tc>
          <w:tcPr>
            <w:tcW w:w="54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78,954</w:t>
            </w:r>
          </w:p>
        </w:tc>
        <w:tc>
          <w:tcPr>
            <w:tcW w:w="100" w:type="dxa"/>
            <w:vAlign w:val="bottom"/>
            <w:tcBorders>
              <w:bottom w:val="single" w:sz="8" w:color="CFF0FC"/>
            </w:tcBorders>
            <w:shd w:val="clear" w:color="auto" w:fill="CFF0FC"/>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4280" w:type="dxa"/>
            <w:vAlign w:val="bottom"/>
          </w:tcPr>
          <w:p>
            <w:pPr>
              <w:spacing w:after="0"/>
              <w:rPr>
                <w:sz w:val="20"/>
                <w:szCs w:val="20"/>
                <w:color w:val="auto"/>
              </w:rPr>
            </w:pPr>
            <w:r>
              <w:rPr>
                <w:rFonts w:ascii="Calibri" w:cs="Calibri" w:eastAsia="Calibri" w:hAnsi="Calibri"/>
                <w:sz w:val="15"/>
                <w:szCs w:val="15"/>
                <w:color w:val="auto"/>
              </w:rPr>
              <w:t>Net loss atributable to redeemable noncontrolling interest</w:t>
            </w:r>
          </w:p>
        </w:tc>
        <w:tc>
          <w:tcPr>
            <w:tcW w:w="2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gridSpan w:val="2"/>
          </w:tcPr>
          <w:p>
            <w:pPr>
              <w:jc w:val="right"/>
              <w:ind w:right="159"/>
              <w:spacing w:after="0"/>
              <w:rPr>
                <w:sz w:val="20"/>
                <w:szCs w:val="20"/>
                <w:color w:val="auto"/>
              </w:rPr>
            </w:pPr>
            <w:r>
              <w:rPr>
                <w:rFonts w:ascii="Calibri" w:cs="Calibri" w:eastAsia="Calibri" w:hAnsi="Calibri"/>
                <w:sz w:val="15"/>
                <w:szCs w:val="15"/>
                <w:color w:val="auto"/>
              </w:rPr>
              <w:t>(14,889 )</w:t>
            </w:r>
          </w:p>
        </w:tc>
        <w:tc>
          <w:tcPr>
            <w:tcW w:w="540" w:type="dxa"/>
            <w:vAlign w:val="bottom"/>
          </w:tcPr>
          <w:p>
            <w:pPr>
              <w:spacing w:after="0"/>
              <w:rPr>
                <w:sz w:val="15"/>
                <w:szCs w:val="15"/>
                <w:color w:val="auto"/>
              </w:rPr>
            </w:pPr>
          </w:p>
        </w:tc>
        <w:tc>
          <w:tcPr>
            <w:tcW w:w="960" w:type="dxa"/>
            <w:vAlign w:val="bottom"/>
            <w:gridSpan w:val="2"/>
          </w:tcPr>
          <w:p>
            <w:pPr>
              <w:jc w:val="right"/>
              <w:ind w:right="40"/>
              <w:spacing w:after="0"/>
              <w:rPr>
                <w:sz w:val="20"/>
                <w:szCs w:val="20"/>
                <w:color w:val="auto"/>
              </w:rPr>
            </w:pPr>
            <w:r>
              <w:rPr>
                <w:rFonts w:ascii="Calibri" w:cs="Calibri" w:eastAsia="Calibri" w:hAnsi="Calibri"/>
                <w:sz w:val="15"/>
                <w:szCs w:val="15"/>
                <w:color w:val="auto"/>
              </w:rPr>
              <w:t>(5,433 )</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6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560" w:type="dxa"/>
            <w:vAlign w:val="bottom"/>
          </w:tcPr>
          <w:p>
            <w:pPr>
              <w:spacing w:after="0"/>
              <w:rPr>
                <w:sz w:val="19"/>
                <w:szCs w:val="19"/>
                <w:color w:val="auto"/>
              </w:rPr>
            </w:pPr>
          </w:p>
        </w:tc>
        <w:tc>
          <w:tcPr>
            <w:tcW w:w="4280" w:type="dxa"/>
            <w:vAlign w:val="bottom"/>
            <w:tcBorders>
              <w:bottom w:val="single" w:sz="8" w:color="CFF0FC"/>
            </w:tcBorders>
            <w:shd w:val="clear" w:color="auto" w:fill="CFF0FC"/>
          </w:tcPr>
          <w:p>
            <w:pPr>
              <w:spacing w:after="0" w:line="174" w:lineRule="exact"/>
              <w:rPr>
                <w:sz w:val="20"/>
                <w:szCs w:val="20"/>
                <w:color w:val="auto"/>
              </w:rPr>
            </w:pPr>
            <w:r>
              <w:rPr>
                <w:rFonts w:ascii="Calibri" w:cs="Calibri" w:eastAsia="Calibri" w:hAnsi="Calibri"/>
                <w:sz w:val="15"/>
                <w:szCs w:val="15"/>
                <w:color w:val="auto"/>
              </w:rPr>
              <w:t>Net income atributable to CarGurus, Inc.</w:t>
            </w:r>
          </w:p>
        </w:tc>
        <w:tc>
          <w:tcPr>
            <w:tcW w:w="26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jc w:val="right"/>
              <w:ind w:right="163"/>
              <w:spacing w:after="0" w:line="174" w:lineRule="exact"/>
              <w:rPr>
                <w:sz w:val="20"/>
                <w:szCs w:val="20"/>
                <w:color w:val="auto"/>
              </w:rPr>
            </w:pPr>
            <w:r>
              <w:rPr>
                <w:rFonts w:ascii="Calibri" w:cs="Calibri" w:eastAsia="Calibri" w:hAnsi="Calibri"/>
                <w:sz w:val="15"/>
                <w:szCs w:val="15"/>
                <w:color w:val="auto"/>
              </w:rPr>
              <w:t>$</w:t>
            </w:r>
          </w:p>
        </w:tc>
        <w:tc>
          <w:tcPr>
            <w:tcW w:w="1080" w:type="dxa"/>
            <w:vAlign w:val="bottom"/>
            <w:tcBorders>
              <w:bottom w:val="single" w:sz="8" w:color="CFF0FC"/>
            </w:tcBorders>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36,942</w:t>
            </w:r>
          </w:p>
        </w:tc>
        <w:tc>
          <w:tcPr>
            <w:tcW w:w="28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jc w:val="center"/>
              <w:ind w:right="343"/>
              <w:spacing w:after="0" w:line="174" w:lineRule="exact"/>
              <w:rPr>
                <w:sz w:val="20"/>
                <w:szCs w:val="20"/>
                <w:color w:val="auto"/>
              </w:rPr>
            </w:pPr>
            <w:r>
              <w:rPr>
                <w:rFonts w:ascii="Calibri" w:cs="Calibri" w:eastAsia="Calibri" w:hAnsi="Calibri"/>
                <w:sz w:val="15"/>
                <w:szCs w:val="15"/>
                <w:color w:val="auto"/>
              </w:rPr>
              <w:t>$</w:t>
            </w:r>
          </w:p>
        </w:tc>
        <w:tc>
          <w:tcPr>
            <w:tcW w:w="860" w:type="dxa"/>
            <w:vAlign w:val="bottom"/>
            <w:tcBorders>
              <w:bottom w:val="single" w:sz="8" w:color="CFF0FC"/>
            </w:tcBorders>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84,387</w:t>
            </w:r>
          </w:p>
        </w:tc>
        <w:tc>
          <w:tcPr>
            <w:tcW w:w="100" w:type="dxa"/>
            <w:vAlign w:val="bottom"/>
            <w:tcBorders>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280" w:type="dxa"/>
            <w:vAlign w:val="bottom"/>
            <w:tcBorders>
              <w:top w:val="single" w:sz="8" w:color="CFF0FC"/>
            </w:tcBorders>
            <w:shd w:val="clear" w:color="auto" w:fill="CFF0FC"/>
          </w:tcPr>
          <w:p>
            <w:pPr>
              <w:spacing w:after="0" w:line="20" w:lineRule="exact"/>
              <w:rPr>
                <w:sz w:val="1"/>
                <w:szCs w:val="1"/>
                <w:color w:val="auto"/>
              </w:rPr>
            </w:pPr>
          </w:p>
        </w:tc>
        <w:tc>
          <w:tcPr>
            <w:tcW w:w="26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9200" w:type="dxa"/>
            <w:vAlign w:val="bottom"/>
            <w:gridSpan w:val="6"/>
          </w:tcPr>
          <w:p>
            <w:pPr>
              <w:jc w:val="right"/>
              <w:ind w:right="419"/>
              <w:spacing w:after="0"/>
              <w:rPr>
                <w:sz w:val="20"/>
                <w:szCs w:val="20"/>
                <w:color w:val="auto"/>
              </w:rPr>
            </w:pPr>
            <w:r>
              <w:rPr>
                <w:rFonts w:ascii="Calibri" w:cs="Calibri" w:eastAsia="Calibri" w:hAnsi="Calibri"/>
                <w:sz w:val="15"/>
                <w:szCs w:val="15"/>
                <w:color w:val="auto"/>
              </w:rPr>
              <w:t>For the years ended December 31, 2023 and 2022, our segment revenue and our segment income (loss) from operatons are as follows:</w:t>
            </w: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5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00" w:type="dxa"/>
            <w:vAlign w:val="bottom"/>
            <w:gridSpan w:val="3"/>
          </w:tcPr>
          <w:p>
            <w:pPr>
              <w:ind w:left="560"/>
              <w:spacing w:after="0"/>
              <w:rPr>
                <w:sz w:val="20"/>
                <w:szCs w:val="20"/>
                <w:color w:val="auto"/>
              </w:rPr>
            </w:pPr>
            <w:r>
              <w:rPr>
                <w:rFonts w:ascii="Calibri" w:cs="Calibri" w:eastAsia="Calibri" w:hAnsi="Calibri"/>
                <w:sz w:val="12"/>
                <w:szCs w:val="12"/>
                <w:b w:val="1"/>
                <w:bCs w:val="1"/>
                <w:color w:val="auto"/>
              </w:rPr>
              <w:t>Year Ended December 31,</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56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56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jc w:val="right"/>
              <w:ind w:right="506"/>
              <w:spacing w:after="0" w:line="138" w:lineRule="exact"/>
              <w:rPr>
                <w:sz w:val="20"/>
                <w:szCs w:val="20"/>
                <w:color w:val="auto"/>
              </w:rPr>
            </w:pPr>
            <w:r>
              <w:rPr>
                <w:rFonts w:ascii="Calibri" w:cs="Calibri" w:eastAsia="Calibri" w:hAnsi="Calibri"/>
                <w:sz w:val="12"/>
                <w:szCs w:val="12"/>
                <w:b w:val="1"/>
                <w:bCs w:val="1"/>
                <w:color w:val="auto"/>
              </w:rPr>
              <w:t>2023</w:t>
            </w: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jc w:val="right"/>
              <w:ind w:right="504"/>
              <w:spacing w:after="0" w:line="138" w:lineRule="exact"/>
              <w:rPr>
                <w:sz w:val="20"/>
                <w:szCs w:val="20"/>
                <w:color w:val="auto"/>
              </w:rPr>
            </w:pPr>
            <w:r>
              <w:rPr>
                <w:rFonts w:ascii="Calibri" w:cs="Calibri" w:eastAsia="Calibri" w:hAnsi="Calibri"/>
                <w:sz w:val="12"/>
                <w:szCs w:val="12"/>
                <w:b w:val="1"/>
                <w:bCs w:val="1"/>
                <w:color w:val="auto"/>
              </w:rPr>
              <w:t>2022</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56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jc w:val="right"/>
              <w:spacing w:after="0" w:line="138" w:lineRule="exact"/>
              <w:rPr>
                <w:sz w:val="20"/>
                <w:szCs w:val="20"/>
                <w:color w:val="auto"/>
              </w:rPr>
            </w:pPr>
            <w:r>
              <w:rPr>
                <w:rFonts w:ascii="Calibri" w:cs="Calibri" w:eastAsia="Calibri" w:hAnsi="Calibri"/>
                <w:sz w:val="12"/>
                <w:szCs w:val="12"/>
                <w:b w:val="1"/>
                <w:bCs w:val="1"/>
                <w:color w:val="auto"/>
              </w:rPr>
              <w:t>(dollars</w:t>
            </w:r>
          </w:p>
        </w:tc>
        <w:tc>
          <w:tcPr>
            <w:tcW w:w="820" w:type="dxa"/>
            <w:vAlign w:val="bottom"/>
            <w:gridSpan w:val="2"/>
          </w:tcPr>
          <w:p>
            <w:pPr>
              <w:jc w:val="center"/>
              <w:ind w:right="63"/>
              <w:spacing w:after="0" w:line="138" w:lineRule="exact"/>
              <w:rPr>
                <w:sz w:val="20"/>
                <w:szCs w:val="20"/>
                <w:color w:val="auto"/>
              </w:rPr>
            </w:pPr>
            <w:r>
              <w:rPr>
                <w:rFonts w:ascii="Calibri" w:cs="Calibri" w:eastAsia="Calibri" w:hAnsi="Calibri"/>
                <w:sz w:val="12"/>
                <w:szCs w:val="12"/>
                <w:b w:val="1"/>
                <w:bCs w:val="1"/>
                <w:color w:val="auto"/>
              </w:rPr>
              <w:t>in thousands)</w:t>
            </w: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560" w:type="dxa"/>
            <w:vAlign w:val="bottom"/>
          </w:tcPr>
          <w:p>
            <w:pPr>
              <w:spacing w:after="0"/>
              <w:rPr>
                <w:sz w:val="16"/>
                <w:szCs w:val="16"/>
                <w:color w:val="auto"/>
              </w:rPr>
            </w:pPr>
          </w:p>
        </w:tc>
        <w:tc>
          <w:tcPr>
            <w:tcW w:w="428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5"/>
                <w:szCs w:val="15"/>
                <w:b w:val="1"/>
                <w:bCs w:val="1"/>
                <w:color w:val="auto"/>
              </w:rPr>
              <w:t>Segment Revenue:</w:t>
            </w:r>
          </w:p>
        </w:tc>
        <w:tc>
          <w:tcPr>
            <w:tcW w:w="266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CFF0FC"/>
            </w:tcBorders>
            <w:shd w:val="clear" w:color="auto" w:fill="CFF0FC"/>
          </w:tcPr>
          <w:p>
            <w:pPr>
              <w:spacing w:after="0"/>
              <w:rPr>
                <w:sz w:val="16"/>
                <w:szCs w:val="16"/>
                <w:color w:val="auto"/>
              </w:rPr>
            </w:pPr>
          </w:p>
        </w:tc>
        <w:tc>
          <w:tcPr>
            <w:tcW w:w="108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540" w:type="dxa"/>
            <w:vAlign w:val="bottom"/>
            <w:tcBorders>
              <w:bottom w:val="single" w:sz="8" w:color="CFF0FC"/>
            </w:tcBorders>
            <w:shd w:val="clear" w:color="auto" w:fill="CFF0FC"/>
          </w:tcPr>
          <w:p>
            <w:pPr>
              <w:spacing w:after="0"/>
              <w:rPr>
                <w:sz w:val="16"/>
                <w:szCs w:val="16"/>
                <w:color w:val="auto"/>
              </w:rPr>
            </w:pPr>
          </w:p>
        </w:tc>
        <w:tc>
          <w:tcPr>
            <w:tcW w:w="8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4280" w:type="dxa"/>
            <w:vAlign w:val="bottom"/>
          </w:tcPr>
          <w:p>
            <w:pPr>
              <w:spacing w:after="0"/>
              <w:rPr>
                <w:sz w:val="20"/>
                <w:szCs w:val="20"/>
                <w:color w:val="auto"/>
              </w:rPr>
            </w:pPr>
            <w:r>
              <w:rPr>
                <w:rFonts w:ascii="Calibri" w:cs="Calibri" w:eastAsia="Calibri" w:hAnsi="Calibri"/>
                <w:sz w:val="15"/>
                <w:szCs w:val="15"/>
                <w:color w:val="auto"/>
              </w:rPr>
              <w:t>U.S. Marketplace</w:t>
            </w:r>
          </w:p>
        </w:tc>
        <w:tc>
          <w:tcPr>
            <w:tcW w:w="3000" w:type="dxa"/>
            <w:vAlign w:val="bottom"/>
            <w:gridSpan w:val="2"/>
          </w:tcPr>
          <w:p>
            <w:pPr>
              <w:jc w:val="right"/>
              <w:ind w:right="163"/>
              <w:spacing w:after="0"/>
              <w:rPr>
                <w:sz w:val="20"/>
                <w:szCs w:val="20"/>
                <w:color w:val="auto"/>
              </w:rPr>
            </w:pPr>
            <w:r>
              <w:rPr>
                <w:rFonts w:ascii="Calibri" w:cs="Calibri" w:eastAsia="Calibri" w:hAnsi="Calibri"/>
                <w:sz w:val="15"/>
                <w:szCs w:val="15"/>
                <w:color w:val="auto"/>
              </w:rPr>
              <w:t>$</w:t>
            </w:r>
          </w:p>
        </w:tc>
        <w:tc>
          <w:tcPr>
            <w:tcW w:w="1080" w:type="dxa"/>
            <w:vAlign w:val="bottom"/>
          </w:tcPr>
          <w:p>
            <w:pPr>
              <w:jc w:val="right"/>
              <w:spacing w:after="0"/>
              <w:rPr>
                <w:sz w:val="20"/>
                <w:szCs w:val="20"/>
                <w:color w:val="auto"/>
              </w:rPr>
            </w:pPr>
            <w:r>
              <w:rPr>
                <w:rFonts w:ascii="Calibri" w:cs="Calibri" w:eastAsia="Calibri" w:hAnsi="Calibri"/>
                <w:sz w:val="15"/>
                <w:szCs w:val="15"/>
                <w:color w:val="auto"/>
              </w:rPr>
              <w:t>647,284</w:t>
            </w:r>
          </w:p>
        </w:tc>
        <w:tc>
          <w:tcPr>
            <w:tcW w:w="280" w:type="dxa"/>
            <w:vAlign w:val="bottom"/>
          </w:tcPr>
          <w:p>
            <w:pPr>
              <w:spacing w:after="0"/>
              <w:rPr>
                <w:sz w:val="15"/>
                <w:szCs w:val="15"/>
                <w:color w:val="auto"/>
              </w:rPr>
            </w:pPr>
          </w:p>
        </w:tc>
        <w:tc>
          <w:tcPr>
            <w:tcW w:w="540" w:type="dxa"/>
            <w:vAlign w:val="bottom"/>
          </w:tcPr>
          <w:p>
            <w:pPr>
              <w:jc w:val="center"/>
              <w:ind w:right="343"/>
              <w:spacing w:after="0"/>
              <w:rPr>
                <w:sz w:val="20"/>
                <w:szCs w:val="20"/>
                <w:color w:val="auto"/>
              </w:rPr>
            </w:pPr>
            <w:r>
              <w:rPr>
                <w:rFonts w:ascii="Calibri" w:cs="Calibri" w:eastAsia="Calibri" w:hAnsi="Calibri"/>
                <w:sz w:val="15"/>
                <w:szCs w:val="15"/>
                <w:color w:val="auto"/>
              </w:rPr>
              <w:t>$</w:t>
            </w:r>
          </w:p>
        </w:tc>
        <w:tc>
          <w:tcPr>
            <w:tcW w:w="860" w:type="dxa"/>
            <w:vAlign w:val="bottom"/>
          </w:tcPr>
          <w:p>
            <w:pPr>
              <w:jc w:val="right"/>
              <w:spacing w:after="0"/>
              <w:rPr>
                <w:sz w:val="20"/>
                <w:szCs w:val="20"/>
                <w:color w:val="auto"/>
              </w:rPr>
            </w:pPr>
            <w:r>
              <w:rPr>
                <w:rFonts w:ascii="Calibri" w:cs="Calibri" w:eastAsia="Calibri" w:hAnsi="Calibri"/>
                <w:sz w:val="15"/>
                <w:szCs w:val="15"/>
                <w:color w:val="auto"/>
              </w:rPr>
              <w:t>614,136</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6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560" w:type="dxa"/>
            <w:vAlign w:val="bottom"/>
          </w:tcPr>
          <w:p>
            <w:pPr>
              <w:spacing w:after="0"/>
              <w:rPr>
                <w:sz w:val="16"/>
                <w:szCs w:val="16"/>
                <w:color w:val="auto"/>
              </w:rPr>
            </w:pPr>
          </w:p>
        </w:tc>
        <w:tc>
          <w:tcPr>
            <w:tcW w:w="428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5"/>
                <w:szCs w:val="15"/>
                <w:color w:val="auto"/>
              </w:rPr>
              <w:t>Digital Wholesale</w:t>
            </w:r>
          </w:p>
        </w:tc>
        <w:tc>
          <w:tcPr>
            <w:tcW w:w="266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CFF0FC"/>
            </w:tcBorders>
            <w:shd w:val="clear" w:color="auto" w:fill="CFF0FC"/>
          </w:tcPr>
          <w:p>
            <w:pPr>
              <w:spacing w:after="0"/>
              <w:rPr>
                <w:sz w:val="16"/>
                <w:szCs w:val="16"/>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216,005</w:t>
            </w:r>
          </w:p>
        </w:tc>
        <w:tc>
          <w:tcPr>
            <w:tcW w:w="280" w:type="dxa"/>
            <w:vAlign w:val="bottom"/>
            <w:tcBorders>
              <w:bottom w:val="single" w:sz="8" w:color="CFF0FC"/>
            </w:tcBorders>
            <w:shd w:val="clear" w:color="auto" w:fill="CFF0FC"/>
          </w:tcPr>
          <w:p>
            <w:pPr>
              <w:spacing w:after="0"/>
              <w:rPr>
                <w:sz w:val="16"/>
                <w:szCs w:val="16"/>
                <w:color w:val="auto"/>
              </w:rPr>
            </w:pPr>
          </w:p>
        </w:tc>
        <w:tc>
          <w:tcPr>
            <w:tcW w:w="540" w:type="dxa"/>
            <w:vAlign w:val="bottom"/>
            <w:tcBorders>
              <w:bottom w:val="single" w:sz="8" w:color="CFF0FC"/>
            </w:tcBorders>
            <w:shd w:val="clear" w:color="auto" w:fill="CFF0FC"/>
          </w:tcPr>
          <w:p>
            <w:pPr>
              <w:spacing w:after="0"/>
              <w:rPr>
                <w:sz w:val="16"/>
                <w:szCs w:val="16"/>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996,264</w:t>
            </w:r>
          </w:p>
        </w:tc>
        <w:tc>
          <w:tcPr>
            <w:tcW w:w="100" w:type="dxa"/>
            <w:vAlign w:val="bottom"/>
            <w:tcBorders>
              <w:bottom w:val="single" w:sz="8" w:color="CFF0FC"/>
            </w:tcBorders>
            <w:shd w:val="clear" w:color="auto" w:fill="CFF0FC"/>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4280" w:type="dxa"/>
            <w:vAlign w:val="bottom"/>
          </w:tcPr>
          <w:p>
            <w:pPr>
              <w:spacing w:after="0"/>
              <w:rPr>
                <w:sz w:val="20"/>
                <w:szCs w:val="20"/>
                <w:color w:val="auto"/>
              </w:rPr>
            </w:pPr>
            <w:r>
              <w:rPr>
                <w:rFonts w:ascii="Calibri" w:cs="Calibri" w:eastAsia="Calibri" w:hAnsi="Calibri"/>
                <w:sz w:val="15"/>
                <w:szCs w:val="15"/>
                <w:color w:val="auto"/>
              </w:rPr>
              <w:t>Other</w:t>
            </w:r>
          </w:p>
        </w:tc>
        <w:tc>
          <w:tcPr>
            <w:tcW w:w="2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alibri" w:cs="Calibri" w:eastAsia="Calibri" w:hAnsi="Calibri"/>
                <w:sz w:val="15"/>
                <w:szCs w:val="15"/>
                <w:color w:val="auto"/>
              </w:rPr>
              <w:t>50,953</w:t>
            </w: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alibri" w:cs="Calibri" w:eastAsia="Calibri" w:hAnsi="Calibri"/>
                <w:sz w:val="15"/>
                <w:szCs w:val="15"/>
                <w:color w:val="auto"/>
              </w:rPr>
              <w:t>44,635</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6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0" w:type="dxa"/>
            <w:vAlign w:val="bottom"/>
          </w:tcPr>
          <w:p>
            <w:pPr>
              <w:spacing w:after="0"/>
              <w:rPr>
                <w:sz w:val="20"/>
                <w:szCs w:val="20"/>
                <w:color w:val="auto"/>
              </w:rPr>
            </w:pPr>
          </w:p>
        </w:tc>
        <w:tc>
          <w:tcPr>
            <w:tcW w:w="4280" w:type="dxa"/>
            <w:vAlign w:val="bottom"/>
            <w:tcBorders>
              <w:bottom w:val="single" w:sz="8" w:color="CFF0FC"/>
            </w:tcBorders>
            <w:shd w:val="clear" w:color="auto" w:fill="CFF0FC"/>
          </w:tcPr>
          <w:p>
            <w:pPr>
              <w:ind w:left="160"/>
              <w:spacing w:after="0" w:line="174" w:lineRule="exact"/>
              <w:rPr>
                <w:sz w:val="20"/>
                <w:szCs w:val="20"/>
                <w:color w:val="auto"/>
              </w:rPr>
            </w:pPr>
            <w:r>
              <w:rPr>
                <w:rFonts w:ascii="Calibri" w:cs="Calibri" w:eastAsia="Calibri" w:hAnsi="Calibri"/>
                <w:sz w:val="15"/>
                <w:szCs w:val="15"/>
                <w:color w:val="auto"/>
              </w:rPr>
              <w:t>Total</w:t>
            </w:r>
          </w:p>
        </w:tc>
        <w:tc>
          <w:tcPr>
            <w:tcW w:w="3000" w:type="dxa"/>
            <w:vAlign w:val="bottom"/>
            <w:tcBorders>
              <w:bottom w:val="single" w:sz="8" w:color="CFF0FC"/>
            </w:tcBorders>
            <w:gridSpan w:val="2"/>
            <w:shd w:val="clear" w:color="auto" w:fill="CFF0FC"/>
          </w:tcPr>
          <w:p>
            <w:pPr>
              <w:jc w:val="right"/>
              <w:ind w:right="163"/>
              <w:spacing w:after="0" w:line="174" w:lineRule="exact"/>
              <w:rPr>
                <w:sz w:val="20"/>
                <w:szCs w:val="20"/>
                <w:color w:val="auto"/>
              </w:rPr>
            </w:pPr>
            <w:r>
              <w:rPr>
                <w:rFonts w:ascii="Calibri" w:cs="Calibri" w:eastAsia="Calibri" w:hAnsi="Calibri"/>
                <w:sz w:val="15"/>
                <w:szCs w:val="15"/>
                <w:color w:val="auto"/>
              </w:rPr>
              <w:t>$</w:t>
            </w:r>
          </w:p>
        </w:tc>
        <w:tc>
          <w:tcPr>
            <w:tcW w:w="1080" w:type="dxa"/>
            <w:vAlign w:val="bottom"/>
            <w:tcBorders>
              <w:bottom w:val="single" w:sz="8" w:color="CFF0FC"/>
            </w:tcBorders>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914,242</w:t>
            </w:r>
          </w:p>
        </w:tc>
        <w:tc>
          <w:tcPr>
            <w:tcW w:w="28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bottom w:val="single" w:sz="8" w:color="CFF0FC"/>
            </w:tcBorders>
            <w:shd w:val="clear" w:color="auto" w:fill="CFF0FC"/>
          </w:tcPr>
          <w:p>
            <w:pPr>
              <w:jc w:val="center"/>
              <w:ind w:right="343"/>
              <w:spacing w:after="0" w:line="174" w:lineRule="exact"/>
              <w:rPr>
                <w:sz w:val="20"/>
                <w:szCs w:val="20"/>
                <w:color w:val="auto"/>
              </w:rPr>
            </w:pPr>
            <w:r>
              <w:rPr>
                <w:rFonts w:ascii="Calibri" w:cs="Calibri" w:eastAsia="Calibri" w:hAnsi="Calibri"/>
                <w:sz w:val="15"/>
                <w:szCs w:val="15"/>
                <w:color w:val="auto"/>
              </w:rPr>
              <w:t>$</w:t>
            </w:r>
          </w:p>
        </w:tc>
        <w:tc>
          <w:tcPr>
            <w:tcW w:w="860" w:type="dxa"/>
            <w:vAlign w:val="bottom"/>
            <w:tcBorders>
              <w:bottom w:val="single" w:sz="8" w:color="CFF0FC"/>
            </w:tcBorders>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1,655,035</w:t>
            </w:r>
          </w:p>
        </w:tc>
        <w:tc>
          <w:tcPr>
            <w:tcW w:w="100" w:type="dxa"/>
            <w:vAlign w:val="bottom"/>
            <w:tcBorders>
              <w:bottom w:val="single" w:sz="8" w:color="CFF0FC"/>
            </w:tcBorders>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560" w:type="dxa"/>
            <w:vAlign w:val="bottom"/>
          </w:tcPr>
          <w:p>
            <w:pPr>
              <w:spacing w:after="0"/>
              <w:rPr>
                <w:sz w:val="13"/>
                <w:szCs w:val="13"/>
                <w:color w:val="auto"/>
              </w:rPr>
            </w:pPr>
          </w:p>
        </w:tc>
        <w:tc>
          <w:tcPr>
            <w:tcW w:w="4280" w:type="dxa"/>
            <w:vAlign w:val="bottom"/>
            <w:tcBorders>
              <w:top w:val="single" w:sz="8" w:color="CFF0FC"/>
            </w:tcBorders>
          </w:tcPr>
          <w:p>
            <w:pPr>
              <w:spacing w:after="0" w:line="158" w:lineRule="exact"/>
              <w:rPr>
                <w:sz w:val="20"/>
                <w:szCs w:val="20"/>
                <w:color w:val="auto"/>
              </w:rPr>
            </w:pPr>
            <w:r>
              <w:rPr>
                <w:rFonts w:ascii="Calibri" w:cs="Calibri" w:eastAsia="Calibri" w:hAnsi="Calibri"/>
                <w:sz w:val="15"/>
                <w:szCs w:val="15"/>
                <w:b w:val="1"/>
                <w:bCs w:val="1"/>
                <w:color w:val="auto"/>
              </w:rPr>
              <w:t>Segment Income (Loss) from Operatons:</w:t>
            </w:r>
          </w:p>
        </w:tc>
        <w:tc>
          <w:tcPr>
            <w:tcW w:w="2660" w:type="dxa"/>
            <w:vAlign w:val="bottom"/>
            <w:tcBorders>
              <w:top w:val="single" w:sz="8" w:color="CFF0FC"/>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280" w:type="dxa"/>
            <w:vAlign w:val="bottom"/>
            <w:tcBorders>
              <w:top w:val="single" w:sz="8" w:color="CFF0FC"/>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
        </w:trPr>
        <w:tc>
          <w:tcPr>
            <w:tcW w:w="560" w:type="dxa"/>
            <w:vAlign w:val="bottom"/>
          </w:tcPr>
          <w:p>
            <w:pPr>
              <w:spacing w:after="0"/>
              <w:rPr>
                <w:sz w:val="2"/>
                <w:szCs w:val="2"/>
                <w:color w:val="auto"/>
              </w:rPr>
            </w:pPr>
          </w:p>
        </w:tc>
        <w:tc>
          <w:tcPr>
            <w:tcW w:w="4280" w:type="dxa"/>
            <w:vAlign w:val="bottom"/>
          </w:tcPr>
          <w:p>
            <w:pPr>
              <w:spacing w:after="0"/>
              <w:rPr>
                <w:sz w:val="2"/>
                <w:szCs w:val="2"/>
                <w:color w:val="auto"/>
              </w:rPr>
            </w:pPr>
          </w:p>
        </w:tc>
        <w:tc>
          <w:tcPr>
            <w:tcW w:w="300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560" w:type="dxa"/>
            <w:vAlign w:val="bottom"/>
          </w:tcPr>
          <w:p>
            <w:pPr>
              <w:spacing w:after="0"/>
              <w:rPr>
                <w:sz w:val="16"/>
                <w:szCs w:val="16"/>
                <w:color w:val="auto"/>
              </w:rPr>
            </w:pPr>
          </w:p>
        </w:tc>
        <w:tc>
          <w:tcPr>
            <w:tcW w:w="428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5"/>
                <w:szCs w:val="15"/>
                <w:color w:val="auto"/>
              </w:rPr>
              <w:t>U.S. Marketplace</w:t>
            </w:r>
          </w:p>
        </w:tc>
        <w:tc>
          <w:tcPr>
            <w:tcW w:w="3000" w:type="dxa"/>
            <w:vAlign w:val="bottom"/>
            <w:tcBorders>
              <w:bottom w:val="single" w:sz="8" w:color="CFF0FC"/>
            </w:tcBorders>
            <w:gridSpan w:val="2"/>
            <w:shd w:val="clear" w:color="auto" w:fill="CFF0FC"/>
          </w:tcPr>
          <w:p>
            <w:pPr>
              <w:jc w:val="right"/>
              <w:ind w:right="163"/>
              <w:spacing w:after="0"/>
              <w:rPr>
                <w:sz w:val="20"/>
                <w:szCs w:val="20"/>
                <w:color w:val="auto"/>
              </w:rPr>
            </w:pPr>
            <w:r>
              <w:rPr>
                <w:rFonts w:ascii="Calibri" w:cs="Calibri" w:eastAsia="Calibri" w:hAnsi="Calibri"/>
                <w:sz w:val="15"/>
                <w:szCs w:val="15"/>
                <w:color w:val="auto"/>
              </w:rPr>
              <w:t>$</w:t>
            </w:r>
          </w:p>
        </w:tc>
        <w:tc>
          <w:tcPr>
            <w:tcW w:w="10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127,724</w:t>
            </w:r>
          </w:p>
        </w:tc>
        <w:tc>
          <w:tcPr>
            <w:tcW w:w="280" w:type="dxa"/>
            <w:vAlign w:val="bottom"/>
            <w:tcBorders>
              <w:bottom w:val="single" w:sz="8" w:color="CFF0FC"/>
            </w:tcBorders>
            <w:shd w:val="clear" w:color="auto" w:fill="CFF0FC"/>
          </w:tcPr>
          <w:p>
            <w:pPr>
              <w:spacing w:after="0"/>
              <w:rPr>
                <w:sz w:val="16"/>
                <w:szCs w:val="16"/>
                <w:color w:val="auto"/>
              </w:rPr>
            </w:pPr>
          </w:p>
        </w:tc>
        <w:tc>
          <w:tcPr>
            <w:tcW w:w="540" w:type="dxa"/>
            <w:vAlign w:val="bottom"/>
            <w:tcBorders>
              <w:bottom w:val="single" w:sz="8" w:color="CFF0FC"/>
            </w:tcBorders>
            <w:shd w:val="clear" w:color="auto" w:fill="CFF0FC"/>
          </w:tcPr>
          <w:p>
            <w:pPr>
              <w:jc w:val="center"/>
              <w:ind w:right="343"/>
              <w:spacing w:after="0"/>
              <w:rPr>
                <w:sz w:val="20"/>
                <w:szCs w:val="20"/>
                <w:color w:val="auto"/>
              </w:rPr>
            </w:pPr>
            <w:r>
              <w:rPr>
                <w:rFonts w:ascii="Calibri" w:cs="Calibri" w:eastAsia="Calibri" w:hAnsi="Calibri"/>
                <w:sz w:val="15"/>
                <w:szCs w:val="15"/>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128,455</w:t>
            </w:r>
          </w:p>
        </w:tc>
        <w:tc>
          <w:tcPr>
            <w:tcW w:w="100" w:type="dxa"/>
            <w:vAlign w:val="bottom"/>
            <w:tcBorders>
              <w:bottom w:val="single" w:sz="8" w:color="CFF0FC"/>
            </w:tcBorders>
            <w:shd w:val="clear" w:color="auto" w:fill="CFF0FC"/>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4280" w:type="dxa"/>
            <w:vAlign w:val="bottom"/>
          </w:tcPr>
          <w:p>
            <w:pPr>
              <w:spacing w:after="0"/>
              <w:rPr>
                <w:sz w:val="20"/>
                <w:szCs w:val="20"/>
                <w:color w:val="auto"/>
              </w:rPr>
            </w:pPr>
            <w:r>
              <w:rPr>
                <w:rFonts w:ascii="Calibri" w:cs="Calibri" w:eastAsia="Calibri" w:hAnsi="Calibri"/>
                <w:sz w:val="15"/>
                <w:szCs w:val="15"/>
                <w:color w:val="auto"/>
              </w:rPr>
              <w:t>Digital Wholesale</w:t>
            </w:r>
          </w:p>
        </w:tc>
        <w:tc>
          <w:tcPr>
            <w:tcW w:w="2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gridSpan w:val="2"/>
          </w:tcPr>
          <w:p>
            <w:pPr>
              <w:jc w:val="right"/>
              <w:ind w:right="159"/>
              <w:spacing w:after="0"/>
              <w:rPr>
                <w:sz w:val="20"/>
                <w:szCs w:val="20"/>
                <w:color w:val="auto"/>
              </w:rPr>
            </w:pPr>
            <w:r>
              <w:rPr>
                <w:rFonts w:ascii="Calibri" w:cs="Calibri" w:eastAsia="Calibri" w:hAnsi="Calibri"/>
                <w:sz w:val="15"/>
                <w:szCs w:val="15"/>
                <w:color w:val="auto"/>
              </w:rPr>
              <w:t>(96,383 )</w:t>
            </w:r>
          </w:p>
        </w:tc>
        <w:tc>
          <w:tcPr>
            <w:tcW w:w="540" w:type="dxa"/>
            <w:vAlign w:val="bottom"/>
          </w:tcPr>
          <w:p>
            <w:pPr>
              <w:spacing w:after="0"/>
              <w:rPr>
                <w:sz w:val="15"/>
                <w:szCs w:val="15"/>
                <w:color w:val="auto"/>
              </w:rPr>
            </w:pPr>
          </w:p>
        </w:tc>
        <w:tc>
          <w:tcPr>
            <w:tcW w:w="960" w:type="dxa"/>
            <w:vAlign w:val="bottom"/>
            <w:gridSpan w:val="2"/>
          </w:tcPr>
          <w:p>
            <w:pPr>
              <w:jc w:val="right"/>
              <w:ind w:right="40"/>
              <w:spacing w:after="0"/>
              <w:rPr>
                <w:sz w:val="20"/>
                <w:szCs w:val="20"/>
                <w:color w:val="auto"/>
              </w:rPr>
            </w:pPr>
            <w:r>
              <w:rPr>
                <w:rFonts w:ascii="Calibri" w:cs="Calibri" w:eastAsia="Calibri" w:hAnsi="Calibri"/>
                <w:sz w:val="15"/>
                <w:szCs w:val="15"/>
                <w:color w:val="auto"/>
              </w:rPr>
              <w:t>(11,834 )</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6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560" w:type="dxa"/>
            <w:vAlign w:val="bottom"/>
          </w:tcPr>
          <w:p>
            <w:pPr>
              <w:spacing w:after="0"/>
              <w:rPr>
                <w:sz w:val="18"/>
                <w:szCs w:val="18"/>
                <w:color w:val="auto"/>
              </w:rPr>
            </w:pPr>
          </w:p>
        </w:tc>
        <w:tc>
          <w:tcPr>
            <w:tcW w:w="428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5"/>
                <w:szCs w:val="15"/>
                <w:color w:val="auto"/>
              </w:rPr>
              <w:t>Other</w:t>
            </w:r>
          </w:p>
        </w:tc>
        <w:tc>
          <w:tcPr>
            <w:tcW w:w="26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1,286</w:t>
            </w:r>
          </w:p>
        </w:tc>
        <w:tc>
          <w:tcPr>
            <w:tcW w:w="28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gridSpan w:val="2"/>
            <w:shd w:val="clear" w:color="auto" w:fill="CFF0FC"/>
          </w:tcPr>
          <w:p>
            <w:pPr>
              <w:jc w:val="right"/>
              <w:ind w:right="40"/>
              <w:spacing w:after="0"/>
              <w:rPr>
                <w:sz w:val="20"/>
                <w:szCs w:val="20"/>
                <w:color w:val="auto"/>
              </w:rPr>
            </w:pPr>
            <w:r>
              <w:rPr>
                <w:rFonts w:ascii="Calibri" w:cs="Calibri" w:eastAsia="Calibri" w:hAnsi="Calibri"/>
                <w:sz w:val="15"/>
                <w:szCs w:val="15"/>
                <w:color w:val="auto"/>
              </w:rPr>
              <w:t>(8,143 )</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60" w:type="dxa"/>
            <w:vAlign w:val="bottom"/>
          </w:tcPr>
          <w:p>
            <w:pPr>
              <w:spacing w:after="0"/>
              <w:rPr>
                <w:sz w:val="15"/>
                <w:szCs w:val="15"/>
                <w:color w:val="auto"/>
              </w:rPr>
            </w:pPr>
          </w:p>
        </w:tc>
        <w:tc>
          <w:tcPr>
            <w:tcW w:w="4280" w:type="dxa"/>
            <w:vAlign w:val="bottom"/>
            <w:tcBorders>
              <w:top w:val="single" w:sz="8" w:color="CFF0FC"/>
            </w:tcBorders>
          </w:tcPr>
          <w:p>
            <w:pPr>
              <w:ind w:left="160"/>
              <w:spacing w:after="0" w:line="174" w:lineRule="exact"/>
              <w:rPr>
                <w:sz w:val="20"/>
                <w:szCs w:val="20"/>
                <w:color w:val="auto"/>
              </w:rPr>
            </w:pPr>
            <w:r>
              <w:rPr>
                <w:rFonts w:ascii="Calibri" w:cs="Calibri" w:eastAsia="Calibri" w:hAnsi="Calibri"/>
                <w:sz w:val="15"/>
                <w:szCs w:val="15"/>
                <w:color w:val="auto"/>
              </w:rPr>
              <w:t>Total</w:t>
            </w:r>
          </w:p>
        </w:tc>
        <w:tc>
          <w:tcPr>
            <w:tcW w:w="2660" w:type="dxa"/>
            <w:vAlign w:val="bottom"/>
            <w:tcBorders>
              <w:top w:val="single" w:sz="8" w:color="CFF0FC"/>
            </w:tcBorders>
          </w:tcPr>
          <w:p>
            <w:pPr>
              <w:spacing w:after="0"/>
              <w:rPr>
                <w:sz w:val="15"/>
                <w:szCs w:val="15"/>
                <w:color w:val="auto"/>
              </w:rPr>
            </w:pPr>
          </w:p>
        </w:tc>
        <w:tc>
          <w:tcPr>
            <w:tcW w:w="340" w:type="dxa"/>
            <w:vAlign w:val="bottom"/>
            <w:tcBorders>
              <w:top w:val="single" w:sz="8" w:color="auto"/>
            </w:tcBorders>
          </w:tcPr>
          <w:p>
            <w:pPr>
              <w:jc w:val="right"/>
              <w:ind w:right="163"/>
              <w:spacing w:after="0" w:line="174" w:lineRule="exact"/>
              <w:rPr>
                <w:sz w:val="20"/>
                <w:szCs w:val="20"/>
                <w:color w:val="auto"/>
              </w:rPr>
            </w:pPr>
            <w:r>
              <w:rPr>
                <w:rFonts w:ascii="Calibri" w:cs="Calibri" w:eastAsia="Calibri" w:hAnsi="Calibri"/>
                <w:sz w:val="15"/>
                <w:szCs w:val="15"/>
                <w:color w:val="auto"/>
              </w:rPr>
              <w:t>$</w:t>
            </w:r>
          </w:p>
        </w:tc>
        <w:tc>
          <w:tcPr>
            <w:tcW w:w="1080" w:type="dxa"/>
            <w:vAlign w:val="bottom"/>
            <w:tcBorders>
              <w:top w:val="single" w:sz="8" w:color="auto"/>
            </w:tcBorders>
          </w:tcPr>
          <w:p>
            <w:pPr>
              <w:jc w:val="right"/>
              <w:spacing w:after="0" w:line="174" w:lineRule="exact"/>
              <w:rPr>
                <w:sz w:val="20"/>
                <w:szCs w:val="20"/>
                <w:color w:val="auto"/>
              </w:rPr>
            </w:pPr>
            <w:r>
              <w:rPr>
                <w:rFonts w:ascii="Calibri" w:cs="Calibri" w:eastAsia="Calibri" w:hAnsi="Calibri"/>
                <w:sz w:val="15"/>
                <w:szCs w:val="15"/>
                <w:color w:val="auto"/>
              </w:rPr>
              <w:t>32,627</w:t>
            </w:r>
          </w:p>
        </w:tc>
        <w:tc>
          <w:tcPr>
            <w:tcW w:w="280" w:type="dxa"/>
            <w:vAlign w:val="bottom"/>
            <w:tcBorders>
              <w:top w:val="single" w:sz="8" w:color="CFF0FC"/>
            </w:tcBorders>
          </w:tcPr>
          <w:p>
            <w:pPr>
              <w:spacing w:after="0"/>
              <w:rPr>
                <w:sz w:val="15"/>
                <w:szCs w:val="15"/>
                <w:color w:val="auto"/>
              </w:rPr>
            </w:pPr>
          </w:p>
        </w:tc>
        <w:tc>
          <w:tcPr>
            <w:tcW w:w="540" w:type="dxa"/>
            <w:vAlign w:val="bottom"/>
            <w:tcBorders>
              <w:top w:val="single" w:sz="8" w:color="auto"/>
            </w:tcBorders>
          </w:tcPr>
          <w:p>
            <w:pPr>
              <w:jc w:val="center"/>
              <w:ind w:right="343"/>
              <w:spacing w:after="0" w:line="174" w:lineRule="exact"/>
              <w:rPr>
                <w:sz w:val="20"/>
                <w:szCs w:val="20"/>
                <w:color w:val="auto"/>
              </w:rPr>
            </w:pPr>
            <w:r>
              <w:rPr>
                <w:rFonts w:ascii="Calibri" w:cs="Calibri" w:eastAsia="Calibri" w:hAnsi="Calibri"/>
                <w:sz w:val="15"/>
                <w:szCs w:val="15"/>
                <w:color w:val="auto"/>
              </w:rPr>
              <w:t>$</w:t>
            </w:r>
          </w:p>
        </w:tc>
        <w:tc>
          <w:tcPr>
            <w:tcW w:w="860" w:type="dxa"/>
            <w:vAlign w:val="bottom"/>
            <w:tcBorders>
              <w:top w:val="single" w:sz="8" w:color="auto"/>
            </w:tcBorders>
          </w:tcPr>
          <w:p>
            <w:pPr>
              <w:jc w:val="right"/>
              <w:spacing w:after="0" w:line="174" w:lineRule="exact"/>
              <w:rPr>
                <w:sz w:val="20"/>
                <w:szCs w:val="20"/>
                <w:color w:val="auto"/>
              </w:rPr>
            </w:pPr>
            <w:r>
              <w:rPr>
                <w:rFonts w:ascii="Calibri" w:cs="Calibri" w:eastAsia="Calibri" w:hAnsi="Calibri"/>
                <w:sz w:val="15"/>
                <w:szCs w:val="15"/>
                <w:color w:val="auto"/>
              </w:rPr>
              <w:t>108,478</w:t>
            </w:r>
          </w:p>
        </w:tc>
        <w:tc>
          <w:tcPr>
            <w:tcW w:w="100" w:type="dxa"/>
            <w:vAlign w:val="bottom"/>
            <w:tcBorders>
              <w:top w:val="single" w:sz="8" w:color="CFF0FC"/>
            </w:tcBorders>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6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660" w:type="dxa"/>
            <w:vAlign w:val="bottom"/>
            <w:vMerge w:val="restart"/>
          </w:tcPr>
          <w:p>
            <w:pPr>
              <w:jc w:val="right"/>
              <w:ind w:right="1723"/>
              <w:spacing w:after="0"/>
              <w:rPr>
                <w:sz w:val="20"/>
                <w:szCs w:val="20"/>
                <w:color w:val="auto"/>
              </w:rPr>
            </w:pPr>
            <w:r>
              <w:rPr>
                <w:rFonts w:ascii="Calibri" w:cs="Calibri" w:eastAsia="Calibri" w:hAnsi="Calibri"/>
                <w:sz w:val="15"/>
                <w:szCs w:val="15"/>
                <w:color w:val="auto"/>
              </w:rPr>
              <w:t>58</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660" w:type="dxa"/>
            <w:vAlign w:val="bottom"/>
            <w:vMerge w:val="continue"/>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5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7"/>
        </w:trPr>
        <w:tc>
          <w:tcPr>
            <w:tcW w:w="560" w:type="dxa"/>
            <w:vAlign w:val="bottom"/>
            <w:tcBorders>
              <w:bottom w:val="single" w:sz="8" w:color="9A9A9A"/>
            </w:tcBorders>
          </w:tcPr>
          <w:p>
            <w:pPr>
              <w:spacing w:after="0"/>
              <w:rPr>
                <w:sz w:val="24"/>
                <w:szCs w:val="24"/>
                <w:color w:val="auto"/>
              </w:rPr>
            </w:pPr>
          </w:p>
        </w:tc>
        <w:tc>
          <w:tcPr>
            <w:tcW w:w="428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5664200</wp:posOffset>
            </wp:positionH>
            <wp:positionV relativeFrom="paragraph">
              <wp:posOffset>-5281295</wp:posOffset>
            </wp:positionV>
            <wp:extent cx="66040"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6731000</wp:posOffset>
            </wp:positionH>
            <wp:positionV relativeFrom="paragraph">
              <wp:posOffset>-5281295</wp:posOffset>
            </wp:positionV>
            <wp:extent cx="58420"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8420" cy="7620"/>
                    </a:xfrm>
                    <a:prstGeom prst="rect">
                      <a:avLst/>
                    </a:prstGeom>
                    <a:noFill/>
                  </pic:spPr>
                </pic:pic>
              </a:graphicData>
            </a:graphic>
          </wp:anchor>
        </w:drawing>
        <w:drawing>
          <wp:anchor simplePos="0" relativeHeight="251657728" behindDoc="1" locked="0" layoutInCell="0" allowOverlap="1">
            <wp:simplePos x="0" y="0"/>
            <wp:positionH relativeFrom="column">
              <wp:posOffset>5664200</wp:posOffset>
            </wp:positionH>
            <wp:positionV relativeFrom="paragraph">
              <wp:posOffset>-4207510</wp:posOffset>
            </wp:positionV>
            <wp:extent cx="66040"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6731000</wp:posOffset>
            </wp:positionH>
            <wp:positionV relativeFrom="paragraph">
              <wp:posOffset>-4207510</wp:posOffset>
            </wp:positionV>
            <wp:extent cx="58420"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8420" cy="7620"/>
                    </a:xfrm>
                    <a:prstGeom prst="rect">
                      <a:avLst/>
                    </a:prstGeom>
                    <a:noFill/>
                  </pic:spPr>
                </pic:pic>
              </a:graphicData>
            </a:graphic>
          </wp:anchor>
        </w:drawing>
        <w:drawing>
          <wp:anchor simplePos="0" relativeHeight="251657728" behindDoc="1" locked="0" layoutInCell="0" allowOverlap="1">
            <wp:simplePos x="0" y="0"/>
            <wp:positionH relativeFrom="column">
              <wp:posOffset>5664200</wp:posOffset>
            </wp:positionH>
            <wp:positionV relativeFrom="paragraph">
              <wp:posOffset>-3674110</wp:posOffset>
            </wp:positionV>
            <wp:extent cx="66040"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6731000</wp:posOffset>
            </wp:positionH>
            <wp:positionV relativeFrom="paragraph">
              <wp:posOffset>-3674110</wp:posOffset>
            </wp:positionV>
            <wp:extent cx="58420"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8420" cy="7620"/>
                    </a:xfrm>
                    <a:prstGeom prst="rect">
                      <a:avLst/>
                    </a:prstGeom>
                    <a:noFill/>
                  </pic:spPr>
                </pic:pic>
              </a:graphicData>
            </a:graphic>
          </wp:anchor>
        </w:drawing>
        <w:drawing>
          <wp:anchor simplePos="0" relativeHeight="251657728" behindDoc="1" locked="0" layoutInCell="0" allowOverlap="1">
            <wp:simplePos x="0" y="0"/>
            <wp:positionH relativeFrom="column">
              <wp:posOffset>5664200</wp:posOffset>
            </wp:positionH>
            <wp:positionV relativeFrom="paragraph">
              <wp:posOffset>-2863215</wp:posOffset>
            </wp:positionV>
            <wp:extent cx="66040"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5664200</wp:posOffset>
            </wp:positionH>
            <wp:positionV relativeFrom="paragraph">
              <wp:posOffset>-2848610</wp:posOffset>
            </wp:positionV>
            <wp:extent cx="66040"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6731000</wp:posOffset>
            </wp:positionH>
            <wp:positionV relativeFrom="paragraph">
              <wp:posOffset>-2863215</wp:posOffset>
            </wp:positionV>
            <wp:extent cx="58420"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8420" cy="7620"/>
                    </a:xfrm>
                    <a:prstGeom prst="rect">
                      <a:avLst/>
                    </a:prstGeom>
                    <a:noFill/>
                  </pic:spPr>
                </pic:pic>
              </a:graphicData>
            </a:graphic>
          </wp:anchor>
        </w:drawing>
        <w:drawing>
          <wp:anchor simplePos="0" relativeHeight="251657728" behindDoc="1" locked="0" layoutInCell="0" allowOverlap="1">
            <wp:simplePos x="0" y="0"/>
            <wp:positionH relativeFrom="column">
              <wp:posOffset>6731000</wp:posOffset>
            </wp:positionH>
            <wp:positionV relativeFrom="paragraph">
              <wp:posOffset>-2848610</wp:posOffset>
            </wp:positionV>
            <wp:extent cx="58420"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8420" cy="7620"/>
                    </a:xfrm>
                    <a:prstGeom prst="rect">
                      <a:avLst/>
                    </a:prstGeom>
                    <a:noFill/>
                  </pic:spPr>
                </pic:pic>
              </a:graphicData>
            </a:graphic>
          </wp:anchor>
        </w:drawing>
        <w:drawing>
          <wp:anchor simplePos="0" relativeHeight="251657728" behindDoc="1" locked="0" layoutInCell="0" allowOverlap="1">
            <wp:simplePos x="0" y="0"/>
            <wp:positionH relativeFrom="column">
              <wp:posOffset>5664200</wp:posOffset>
            </wp:positionH>
            <wp:positionV relativeFrom="paragraph">
              <wp:posOffset>-1482725</wp:posOffset>
            </wp:positionV>
            <wp:extent cx="66040"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5664200</wp:posOffset>
            </wp:positionH>
            <wp:positionV relativeFrom="paragraph">
              <wp:posOffset>-1468120</wp:posOffset>
            </wp:positionV>
            <wp:extent cx="66040"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6731000</wp:posOffset>
            </wp:positionH>
            <wp:positionV relativeFrom="paragraph">
              <wp:posOffset>-1482725</wp:posOffset>
            </wp:positionV>
            <wp:extent cx="58420"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8420" cy="7620"/>
                    </a:xfrm>
                    <a:prstGeom prst="rect">
                      <a:avLst/>
                    </a:prstGeom>
                    <a:noFill/>
                  </pic:spPr>
                </pic:pic>
              </a:graphicData>
            </a:graphic>
          </wp:anchor>
        </w:drawing>
        <w:drawing>
          <wp:anchor simplePos="0" relativeHeight="251657728" behindDoc="1" locked="0" layoutInCell="0" allowOverlap="1">
            <wp:simplePos x="0" y="0"/>
            <wp:positionH relativeFrom="column">
              <wp:posOffset>6731000</wp:posOffset>
            </wp:positionH>
            <wp:positionV relativeFrom="paragraph">
              <wp:posOffset>-1468120</wp:posOffset>
            </wp:positionV>
            <wp:extent cx="58420"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8420" cy="7620"/>
                    </a:xfrm>
                    <a:prstGeom prst="rect">
                      <a:avLst/>
                    </a:prstGeom>
                    <a:noFill/>
                  </pic:spPr>
                </pic:pic>
              </a:graphicData>
            </a:graphic>
          </wp:anchor>
        </w:drawing>
        <w:drawing>
          <wp:anchor simplePos="0" relativeHeight="251657728" behindDoc="1" locked="0" layoutInCell="0" allowOverlap="1">
            <wp:simplePos x="0" y="0"/>
            <wp:positionH relativeFrom="column">
              <wp:posOffset>5664200</wp:posOffset>
            </wp:positionH>
            <wp:positionV relativeFrom="paragraph">
              <wp:posOffset>-934720</wp:posOffset>
            </wp:positionV>
            <wp:extent cx="66040"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6731000</wp:posOffset>
            </wp:positionH>
            <wp:positionV relativeFrom="paragraph">
              <wp:posOffset>-934720</wp:posOffset>
            </wp:positionV>
            <wp:extent cx="58420"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8420" cy="7620"/>
                    </a:xfrm>
                    <a:prstGeom prst="rect">
                      <a:avLst/>
                    </a:prstGeom>
                    <a:noFill/>
                  </pic:spPr>
                </pic:pic>
              </a:graphicData>
            </a:graphic>
          </wp:anchor>
        </w:drawing>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-26670</wp:posOffset>
            </wp:positionV>
            <wp:extent cx="33020" cy="400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1133" w:right="319" w:bottom="1440" w:gutter="0" w:footer="0" w:header="0"/>
        </w:sectPr>
      </w:pPr>
    </w:p>
    <w:bookmarkStart w:id="60" w:name="page61"/>
    <w:bookmarkEnd w:id="60"/>
    <w:p>
      <w:pPr>
        <w:ind w:firstLine="511"/>
        <w:spacing w:after="0" w:line="241" w:lineRule="auto"/>
        <w:rPr>
          <w:sz w:val="20"/>
          <w:szCs w:val="20"/>
          <w:color w:val="auto"/>
        </w:rPr>
      </w:pPr>
      <w:r>
        <w:rPr>
          <w:rFonts w:ascii="Calibri" w:cs="Calibri" w:eastAsia="Calibri" w:hAnsi="Calibri"/>
          <w:sz w:val="15"/>
          <w:szCs w:val="15"/>
          <w:color w:val="auto"/>
        </w:rPr>
        <w:t>For the years ended December 31, 2023 and 2022, our consolidated income statements as a percentage of total revenue are as follows (amounts in the table below may not sum due to rounding):</w:t>
      </w:r>
    </w:p>
    <w:p>
      <w:pPr>
        <w:spacing w:after="0" w:line="202" w:lineRule="exact"/>
        <w:rPr>
          <w:sz w:val="20"/>
          <w:szCs w:val="20"/>
          <w:color w:val="auto"/>
        </w:rPr>
      </w:pPr>
    </w:p>
    <w:p>
      <w:pPr>
        <w:ind w:left="8380"/>
        <w:spacing w:after="0"/>
        <w:rPr>
          <w:sz w:val="20"/>
          <w:szCs w:val="20"/>
          <w:color w:val="auto"/>
        </w:rPr>
      </w:pPr>
      <w:r>
        <w:rPr>
          <w:rFonts w:ascii="Calibri" w:cs="Calibri" w:eastAsia="Calibri" w:hAnsi="Calibri"/>
          <w:sz w:val="12"/>
          <w:szCs w:val="12"/>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4744085</wp:posOffset>
            </wp:positionH>
            <wp:positionV relativeFrom="paragraph">
              <wp:posOffset>17780</wp:posOffset>
            </wp:positionV>
            <wp:extent cx="1987550"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987550" cy="7620"/>
                    </a:xfrm>
                    <a:prstGeom prst="rect">
                      <a:avLst/>
                    </a:prstGeom>
                    <a:noFill/>
                  </pic:spPr>
                </pic:pic>
              </a:graphicData>
            </a:graphic>
          </wp:anchor>
        </w:drawing>
      </w:r>
    </w:p>
    <w:p>
      <w:pPr>
        <w:spacing w:after="0" w:line="18" w:lineRule="exact"/>
        <w:rPr>
          <w:sz w:val="20"/>
          <w:szCs w:val="20"/>
          <w:color w:val="auto"/>
        </w:rPr>
      </w:pPr>
    </w:p>
    <w:tbl>
      <w:tblPr>
        <w:tblLayout w:type="fixed"/>
        <w:tblInd w:w="560" w:type="dxa"/>
        <w:tblCellMar>
          <w:top w:w="0" w:type="dxa"/>
          <w:left w:w="0" w:type="dxa"/>
          <w:bottom w:w="0" w:type="dxa"/>
          <w:right w:w="0" w:type="dxa"/>
        </w:tblCellMar>
      </w:tblPr>
      <w:tr>
        <w:trPr>
          <w:trHeight w:val="146"/>
        </w:trPr>
        <w:tc>
          <w:tcPr>
            <w:tcW w:w="7940" w:type="dxa"/>
            <w:vAlign w:val="bottom"/>
            <w:gridSpan w:val="2"/>
          </w:tcPr>
          <w:p>
            <w:pPr>
              <w:ind w:left="7520"/>
              <w:spacing w:after="0"/>
              <w:rPr>
                <w:sz w:val="20"/>
                <w:szCs w:val="20"/>
                <w:color w:val="auto"/>
              </w:rPr>
            </w:pPr>
            <w:r>
              <w:rPr>
                <w:rFonts w:ascii="Calibri" w:cs="Calibri" w:eastAsia="Calibri" w:hAnsi="Calibri"/>
                <w:sz w:val="12"/>
                <w:szCs w:val="12"/>
                <w:b w:val="1"/>
                <w:bCs w:val="1"/>
                <w:color w:val="auto"/>
              </w:rPr>
              <w:t>2023</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tcPr>
          <w:p>
            <w:pPr>
              <w:jc w:val="right"/>
              <w:ind w:right="504"/>
              <w:spacing w:after="0"/>
              <w:rPr>
                <w:sz w:val="20"/>
                <w:szCs w:val="20"/>
                <w:color w:val="auto"/>
              </w:rPr>
            </w:pPr>
            <w:r>
              <w:rPr>
                <w:rFonts w:ascii="Calibri" w:cs="Calibri" w:eastAsia="Calibri" w:hAnsi="Calibri"/>
                <w:sz w:val="12"/>
                <w:szCs w:val="12"/>
                <w:b w:val="1"/>
                <w:bCs w:val="1"/>
                <w:color w:val="auto"/>
              </w:rPr>
              <w:t>2022</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8"/>
        </w:trPr>
        <w:tc>
          <w:tcPr>
            <w:tcW w:w="69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9"/>
        </w:trPr>
        <w:tc>
          <w:tcPr>
            <w:tcW w:w="7940" w:type="dxa"/>
            <w:vAlign w:val="bottom"/>
            <w:tcBorders>
              <w:bottom w:val="single" w:sz="8" w:color="CFF0FC"/>
            </w:tcBorders>
            <w:gridSpan w:val="2"/>
            <w:shd w:val="clear" w:color="auto" w:fill="CFF0FC"/>
          </w:tcPr>
          <w:p>
            <w:pPr>
              <w:spacing w:after="0" w:line="174" w:lineRule="exact"/>
              <w:rPr>
                <w:sz w:val="20"/>
                <w:szCs w:val="20"/>
                <w:color w:val="auto"/>
              </w:rPr>
            </w:pPr>
            <w:r>
              <w:rPr>
                <w:rFonts w:ascii="Calibri" w:cs="Calibri" w:eastAsia="Calibri" w:hAnsi="Calibri"/>
                <w:sz w:val="15"/>
                <w:szCs w:val="15"/>
                <w:color w:val="auto"/>
              </w:rPr>
              <w:t>Revenue:</w:t>
            </w:r>
          </w:p>
        </w:tc>
        <w:tc>
          <w:tcPr>
            <w:tcW w:w="4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14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7940" w:type="dxa"/>
            <w:vAlign w:val="bottom"/>
            <w:gridSpan w:val="2"/>
          </w:tcPr>
          <w:p>
            <w:pPr>
              <w:ind w:left="160"/>
              <w:spacing w:after="0"/>
              <w:rPr>
                <w:sz w:val="20"/>
                <w:szCs w:val="20"/>
                <w:color w:val="auto"/>
              </w:rPr>
            </w:pPr>
            <w:r>
              <w:rPr>
                <w:rFonts w:ascii="Calibri" w:cs="Calibri" w:eastAsia="Calibri" w:hAnsi="Calibri"/>
                <w:sz w:val="15"/>
                <w:szCs w:val="15"/>
                <w:color w:val="auto"/>
              </w:rPr>
              <w:t>Marketplace</w:t>
            </w:r>
          </w:p>
        </w:tc>
        <w:tc>
          <w:tcPr>
            <w:tcW w:w="68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76 %</w:t>
            </w:r>
          </w:p>
        </w:tc>
        <w:tc>
          <w:tcPr>
            <w:tcW w:w="1540" w:type="dxa"/>
            <w:vAlign w:val="bottom"/>
            <w:gridSpan w:val="3"/>
          </w:tcPr>
          <w:p>
            <w:pPr>
              <w:jc w:val="right"/>
              <w:spacing w:after="0"/>
              <w:rPr>
                <w:sz w:val="20"/>
                <w:szCs w:val="20"/>
                <w:color w:val="auto"/>
              </w:rPr>
            </w:pPr>
            <w:r>
              <w:rPr>
                <w:rFonts w:ascii="Calibri" w:cs="Calibri" w:eastAsia="Calibri" w:hAnsi="Calibri"/>
                <w:sz w:val="15"/>
                <w:szCs w:val="15"/>
                <w:color w:val="auto"/>
              </w:rPr>
              <w:t>40 %</w:t>
            </w:r>
          </w:p>
        </w:tc>
      </w:tr>
      <w:tr>
        <w:trPr>
          <w:trHeight w:val="24"/>
        </w:trPr>
        <w:tc>
          <w:tcPr>
            <w:tcW w:w="69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7"/>
        </w:trPr>
        <w:tc>
          <w:tcPr>
            <w:tcW w:w="7940" w:type="dxa"/>
            <w:vAlign w:val="bottom"/>
            <w:tcBorders>
              <w:bottom w:val="single" w:sz="8" w:color="CFF0FC"/>
            </w:tcBorders>
            <w:gridSpan w:val="2"/>
            <w:shd w:val="clear" w:color="auto" w:fill="CFF0FC"/>
          </w:tcPr>
          <w:p>
            <w:pPr>
              <w:ind w:left="160"/>
              <w:spacing w:after="0"/>
              <w:rPr>
                <w:sz w:val="20"/>
                <w:szCs w:val="20"/>
                <w:color w:val="auto"/>
              </w:rPr>
            </w:pPr>
            <w:r>
              <w:rPr>
                <w:rFonts w:ascii="Calibri" w:cs="Calibri" w:eastAsia="Calibri" w:hAnsi="Calibri"/>
                <w:sz w:val="15"/>
                <w:szCs w:val="15"/>
                <w:color w:val="auto"/>
              </w:rPr>
              <w:t>Wholesale</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11</w:t>
            </w:r>
          </w:p>
        </w:tc>
        <w:tc>
          <w:tcPr>
            <w:tcW w:w="260" w:type="dxa"/>
            <w:vAlign w:val="bottom"/>
            <w:tcBorders>
              <w:bottom w:val="single" w:sz="8" w:color="CFF0FC"/>
            </w:tcBorders>
            <w:shd w:val="clear" w:color="auto" w:fill="CFF0FC"/>
          </w:tcPr>
          <w:p>
            <w:pPr>
              <w:spacing w:after="0"/>
              <w:rPr>
                <w:sz w:val="16"/>
                <w:szCs w:val="16"/>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14</w:t>
            </w:r>
          </w:p>
        </w:tc>
        <w:tc>
          <w:tcPr>
            <w:tcW w:w="100" w:type="dxa"/>
            <w:vAlign w:val="bottom"/>
            <w:tcBorders>
              <w:bottom w:val="single" w:sz="8" w:color="CFF0FC"/>
            </w:tcBorders>
            <w:shd w:val="clear" w:color="auto" w:fill="CFF0FC"/>
          </w:tcPr>
          <w:p>
            <w:pPr>
              <w:spacing w:after="0"/>
              <w:rPr>
                <w:sz w:val="16"/>
                <w:szCs w:val="16"/>
                <w:color w:val="auto"/>
              </w:rPr>
            </w:pPr>
          </w:p>
        </w:tc>
        <w:tc>
          <w:tcPr>
            <w:tcW w:w="20" w:type="dxa"/>
            <w:vAlign w:val="bottom"/>
          </w:tcPr>
          <w:p>
            <w:pPr>
              <w:spacing w:after="0"/>
              <w:rPr>
                <w:sz w:val="16"/>
                <w:szCs w:val="16"/>
                <w:color w:val="auto"/>
              </w:rPr>
            </w:pPr>
          </w:p>
        </w:tc>
      </w:tr>
      <w:tr>
        <w:trPr>
          <w:trHeight w:val="183"/>
        </w:trPr>
        <w:tc>
          <w:tcPr>
            <w:tcW w:w="7940" w:type="dxa"/>
            <w:vAlign w:val="bottom"/>
            <w:gridSpan w:val="2"/>
          </w:tcPr>
          <w:p>
            <w:pPr>
              <w:ind w:left="160"/>
              <w:spacing w:after="0"/>
              <w:rPr>
                <w:sz w:val="20"/>
                <w:szCs w:val="20"/>
                <w:color w:val="auto"/>
              </w:rPr>
            </w:pPr>
            <w:r>
              <w:rPr>
                <w:rFonts w:ascii="Calibri" w:cs="Calibri" w:eastAsia="Calibri" w:hAnsi="Calibri"/>
                <w:sz w:val="15"/>
                <w:szCs w:val="15"/>
                <w:color w:val="auto"/>
              </w:rPr>
              <w:t>Product</w:t>
            </w:r>
          </w:p>
        </w:tc>
        <w:tc>
          <w:tcPr>
            <w:tcW w:w="420" w:type="dxa"/>
            <w:vAlign w:val="bottom"/>
          </w:tcPr>
          <w:p>
            <w:pPr>
              <w:jc w:val="right"/>
              <w:spacing w:after="0"/>
              <w:rPr>
                <w:sz w:val="20"/>
                <w:szCs w:val="20"/>
                <w:color w:val="auto"/>
              </w:rPr>
            </w:pPr>
            <w:r>
              <w:rPr>
                <w:rFonts w:ascii="Calibri" w:cs="Calibri" w:eastAsia="Calibri" w:hAnsi="Calibri"/>
                <w:sz w:val="15"/>
                <w:szCs w:val="15"/>
                <w:color w:val="auto"/>
              </w:rPr>
              <w:t>13</w:t>
            </w:r>
          </w:p>
        </w:tc>
        <w:tc>
          <w:tcPr>
            <w:tcW w:w="2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Calibri" w:cs="Calibri" w:eastAsia="Calibri" w:hAnsi="Calibri"/>
                <w:sz w:val="15"/>
                <w:szCs w:val="15"/>
                <w:color w:val="auto"/>
              </w:rPr>
              <w:t>46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4"/>
        </w:trPr>
        <w:tc>
          <w:tcPr>
            <w:tcW w:w="69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9"/>
        </w:trPr>
        <w:tc>
          <w:tcPr>
            <w:tcW w:w="7940" w:type="dxa"/>
            <w:vAlign w:val="bottom"/>
            <w:tcBorders>
              <w:bottom w:val="single" w:sz="8" w:color="CFF0FC"/>
            </w:tcBorders>
            <w:gridSpan w:val="2"/>
            <w:shd w:val="clear" w:color="auto" w:fill="CFF0FC"/>
          </w:tcPr>
          <w:p>
            <w:pPr>
              <w:ind w:left="320"/>
              <w:spacing w:after="0" w:line="174" w:lineRule="exact"/>
              <w:rPr>
                <w:sz w:val="20"/>
                <w:szCs w:val="20"/>
                <w:color w:val="auto"/>
              </w:rPr>
            </w:pPr>
            <w:r>
              <w:rPr>
                <w:rFonts w:ascii="Calibri" w:cs="Calibri" w:eastAsia="Calibri" w:hAnsi="Calibri"/>
                <w:sz w:val="15"/>
                <w:szCs w:val="15"/>
                <w:color w:val="auto"/>
              </w:rPr>
              <w:t>Total revenue</w:t>
            </w:r>
          </w:p>
        </w:tc>
        <w:tc>
          <w:tcPr>
            <w:tcW w:w="420" w:type="dxa"/>
            <w:vAlign w:val="bottom"/>
            <w:tcBorders>
              <w:bottom w:val="single" w:sz="8" w:color="CFF0FC"/>
            </w:tcBorders>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100</w:t>
            </w:r>
          </w:p>
        </w:tc>
        <w:tc>
          <w:tcPr>
            <w:tcW w:w="260" w:type="dxa"/>
            <w:vAlign w:val="bottom"/>
            <w:tcBorders>
              <w:bottom w:val="single" w:sz="8" w:color="CFF0FC"/>
            </w:tcBorders>
            <w:shd w:val="clear" w:color="auto" w:fill="CFF0FC"/>
          </w:tcPr>
          <w:p>
            <w:pPr>
              <w:spacing w:after="0"/>
              <w:rPr>
                <w:sz w:val="15"/>
                <w:szCs w:val="15"/>
                <w:color w:val="auto"/>
              </w:rPr>
            </w:pPr>
          </w:p>
        </w:tc>
        <w:tc>
          <w:tcPr>
            <w:tcW w:w="1420" w:type="dxa"/>
            <w:vAlign w:val="bottom"/>
            <w:tcBorders>
              <w:bottom w:val="single" w:sz="8" w:color="CFF0FC"/>
            </w:tcBorders>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100</w:t>
            </w:r>
          </w:p>
        </w:tc>
        <w:tc>
          <w:tcPr>
            <w:tcW w:w="100" w:type="dxa"/>
            <w:vAlign w:val="bottom"/>
            <w:tcBorders>
              <w:bottom w:val="single" w:sz="8" w:color="CFF0FC"/>
            </w:tcBorders>
            <w:shd w:val="clear" w:color="auto" w:fill="CFF0FC"/>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7940" w:type="dxa"/>
            <w:vAlign w:val="bottom"/>
            <w:gridSpan w:val="2"/>
          </w:tcPr>
          <w:p>
            <w:pPr>
              <w:spacing w:after="0"/>
              <w:rPr>
                <w:sz w:val="20"/>
                <w:szCs w:val="20"/>
                <w:color w:val="auto"/>
              </w:rPr>
            </w:pPr>
            <w:r>
              <w:rPr>
                <w:rFonts w:ascii="Calibri" w:cs="Calibri" w:eastAsia="Calibri" w:hAnsi="Calibri"/>
                <w:sz w:val="15"/>
                <w:szCs w:val="15"/>
                <w:color w:val="auto"/>
              </w:rPr>
              <w:t>Cost of revenue:</w:t>
            </w: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4"/>
        </w:trPr>
        <w:tc>
          <w:tcPr>
            <w:tcW w:w="69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7"/>
        </w:trPr>
        <w:tc>
          <w:tcPr>
            <w:tcW w:w="7940" w:type="dxa"/>
            <w:vAlign w:val="bottom"/>
            <w:tcBorders>
              <w:bottom w:val="single" w:sz="8" w:color="CFF0FC"/>
            </w:tcBorders>
            <w:gridSpan w:val="2"/>
            <w:shd w:val="clear" w:color="auto" w:fill="CFF0FC"/>
          </w:tcPr>
          <w:p>
            <w:pPr>
              <w:ind w:left="160"/>
              <w:spacing w:after="0"/>
              <w:rPr>
                <w:sz w:val="20"/>
                <w:szCs w:val="20"/>
                <w:color w:val="auto"/>
              </w:rPr>
            </w:pPr>
            <w:r>
              <w:rPr>
                <w:rFonts w:ascii="Calibri" w:cs="Calibri" w:eastAsia="Calibri" w:hAnsi="Calibri"/>
                <w:sz w:val="15"/>
                <w:szCs w:val="15"/>
                <w:color w:val="auto"/>
              </w:rPr>
              <w:t>Marketplace</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7</w:t>
            </w:r>
          </w:p>
        </w:tc>
        <w:tc>
          <w:tcPr>
            <w:tcW w:w="260" w:type="dxa"/>
            <w:vAlign w:val="bottom"/>
            <w:tcBorders>
              <w:bottom w:val="single" w:sz="8" w:color="CFF0FC"/>
            </w:tcBorders>
            <w:shd w:val="clear" w:color="auto" w:fill="CFF0FC"/>
          </w:tcPr>
          <w:p>
            <w:pPr>
              <w:spacing w:after="0"/>
              <w:rPr>
                <w:sz w:val="16"/>
                <w:szCs w:val="16"/>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3</w:t>
            </w:r>
          </w:p>
        </w:tc>
        <w:tc>
          <w:tcPr>
            <w:tcW w:w="100" w:type="dxa"/>
            <w:vAlign w:val="bottom"/>
            <w:tcBorders>
              <w:bottom w:val="single" w:sz="8" w:color="CFF0FC"/>
            </w:tcBorders>
            <w:shd w:val="clear" w:color="auto" w:fill="CFF0FC"/>
          </w:tcPr>
          <w:p>
            <w:pPr>
              <w:spacing w:after="0"/>
              <w:rPr>
                <w:sz w:val="16"/>
                <w:szCs w:val="16"/>
                <w:color w:val="auto"/>
              </w:rPr>
            </w:pPr>
          </w:p>
        </w:tc>
        <w:tc>
          <w:tcPr>
            <w:tcW w:w="20" w:type="dxa"/>
            <w:vAlign w:val="bottom"/>
          </w:tcPr>
          <w:p>
            <w:pPr>
              <w:spacing w:after="0"/>
              <w:rPr>
                <w:sz w:val="16"/>
                <w:szCs w:val="16"/>
                <w:color w:val="auto"/>
              </w:rPr>
            </w:pPr>
          </w:p>
        </w:tc>
      </w:tr>
      <w:tr>
        <w:trPr>
          <w:trHeight w:val="183"/>
        </w:trPr>
        <w:tc>
          <w:tcPr>
            <w:tcW w:w="7940" w:type="dxa"/>
            <w:vAlign w:val="bottom"/>
            <w:gridSpan w:val="2"/>
          </w:tcPr>
          <w:p>
            <w:pPr>
              <w:ind w:left="160"/>
              <w:spacing w:after="0"/>
              <w:rPr>
                <w:sz w:val="20"/>
                <w:szCs w:val="20"/>
                <w:color w:val="auto"/>
              </w:rPr>
            </w:pPr>
            <w:r>
              <w:rPr>
                <w:rFonts w:ascii="Calibri" w:cs="Calibri" w:eastAsia="Calibri" w:hAnsi="Calibri"/>
                <w:sz w:val="15"/>
                <w:szCs w:val="15"/>
                <w:color w:val="auto"/>
              </w:rPr>
              <w:t>Wholesale</w:t>
            </w:r>
          </w:p>
        </w:tc>
        <w:tc>
          <w:tcPr>
            <w:tcW w:w="420" w:type="dxa"/>
            <w:vAlign w:val="bottom"/>
          </w:tcPr>
          <w:p>
            <w:pPr>
              <w:jc w:val="right"/>
              <w:spacing w:after="0"/>
              <w:rPr>
                <w:sz w:val="20"/>
                <w:szCs w:val="20"/>
                <w:color w:val="auto"/>
              </w:rPr>
            </w:pPr>
            <w:r>
              <w:rPr>
                <w:rFonts w:ascii="Calibri" w:cs="Calibri" w:eastAsia="Calibri" w:hAnsi="Calibri"/>
                <w:sz w:val="15"/>
                <w:szCs w:val="15"/>
                <w:color w:val="auto"/>
              </w:rPr>
              <w:t>10</w:t>
            </w:r>
          </w:p>
        </w:tc>
        <w:tc>
          <w:tcPr>
            <w:tcW w:w="2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Calibri" w:cs="Calibri" w:eastAsia="Calibri" w:hAnsi="Calibri"/>
                <w:sz w:val="15"/>
                <w:szCs w:val="15"/>
                <w:color w:val="auto"/>
              </w:rPr>
              <w:t>11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4"/>
        </w:trPr>
        <w:tc>
          <w:tcPr>
            <w:tcW w:w="69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2"/>
        </w:trPr>
        <w:tc>
          <w:tcPr>
            <w:tcW w:w="6920" w:type="dxa"/>
            <w:vAlign w:val="bottom"/>
            <w:tcBorders>
              <w:bottom w:val="single" w:sz="8" w:color="CFF0FC"/>
            </w:tcBorders>
            <w:shd w:val="clear" w:color="auto" w:fill="CFF0FC"/>
          </w:tcPr>
          <w:p>
            <w:pPr>
              <w:ind w:left="160"/>
              <w:spacing w:after="0"/>
              <w:rPr>
                <w:sz w:val="20"/>
                <w:szCs w:val="20"/>
                <w:color w:val="auto"/>
              </w:rPr>
            </w:pPr>
            <w:r>
              <w:rPr>
                <w:rFonts w:ascii="Calibri" w:cs="Calibri" w:eastAsia="Calibri" w:hAnsi="Calibri"/>
                <w:sz w:val="15"/>
                <w:szCs w:val="15"/>
                <w:color w:val="auto"/>
              </w:rPr>
              <w:t>Product</w:t>
            </w:r>
          </w:p>
        </w:tc>
        <w:tc>
          <w:tcPr>
            <w:tcW w:w="10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12</w:t>
            </w:r>
          </w:p>
        </w:tc>
        <w:tc>
          <w:tcPr>
            <w:tcW w:w="26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46</w:t>
            </w: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175"/>
        </w:trPr>
        <w:tc>
          <w:tcPr>
            <w:tcW w:w="6920" w:type="dxa"/>
            <w:vAlign w:val="bottom"/>
            <w:tcBorders>
              <w:top w:val="single" w:sz="8" w:color="CFF0FC"/>
            </w:tcBorders>
          </w:tcPr>
          <w:p>
            <w:pPr>
              <w:ind w:left="320"/>
              <w:spacing w:after="0" w:line="174" w:lineRule="exact"/>
              <w:rPr>
                <w:sz w:val="20"/>
                <w:szCs w:val="20"/>
                <w:color w:val="auto"/>
              </w:rPr>
            </w:pPr>
            <w:r>
              <w:rPr>
                <w:rFonts w:ascii="Calibri" w:cs="Calibri" w:eastAsia="Calibri" w:hAnsi="Calibri"/>
                <w:sz w:val="15"/>
                <w:szCs w:val="15"/>
                <w:color w:val="auto"/>
              </w:rPr>
              <w:t>Total cost of revenue</w:t>
            </w:r>
          </w:p>
        </w:tc>
        <w:tc>
          <w:tcPr>
            <w:tcW w:w="102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jc w:val="right"/>
              <w:spacing w:after="0" w:line="174" w:lineRule="exact"/>
              <w:rPr>
                <w:sz w:val="20"/>
                <w:szCs w:val="20"/>
                <w:color w:val="auto"/>
              </w:rPr>
            </w:pPr>
            <w:r>
              <w:rPr>
                <w:rFonts w:ascii="Calibri" w:cs="Calibri" w:eastAsia="Calibri" w:hAnsi="Calibri"/>
                <w:sz w:val="15"/>
                <w:szCs w:val="15"/>
                <w:color w:val="auto"/>
              </w:rPr>
              <w:t>29</w:t>
            </w:r>
          </w:p>
        </w:tc>
        <w:tc>
          <w:tcPr>
            <w:tcW w:w="260" w:type="dxa"/>
            <w:vAlign w:val="bottom"/>
            <w:tcBorders>
              <w:top w:val="single" w:sz="8" w:color="CFF0FC"/>
            </w:tcBorders>
          </w:tcPr>
          <w:p>
            <w:pPr>
              <w:spacing w:after="0"/>
              <w:rPr>
                <w:sz w:val="15"/>
                <w:szCs w:val="15"/>
                <w:color w:val="auto"/>
              </w:rPr>
            </w:pPr>
          </w:p>
        </w:tc>
        <w:tc>
          <w:tcPr>
            <w:tcW w:w="1420" w:type="dxa"/>
            <w:vAlign w:val="bottom"/>
            <w:tcBorders>
              <w:top w:val="single" w:sz="8" w:color="auto"/>
            </w:tcBorders>
          </w:tcPr>
          <w:p>
            <w:pPr>
              <w:jc w:val="right"/>
              <w:spacing w:after="0" w:line="174" w:lineRule="exact"/>
              <w:rPr>
                <w:sz w:val="20"/>
                <w:szCs w:val="20"/>
                <w:color w:val="auto"/>
              </w:rPr>
            </w:pPr>
            <w:r>
              <w:rPr>
                <w:rFonts w:ascii="Calibri" w:cs="Calibri" w:eastAsia="Calibri" w:hAnsi="Calibri"/>
                <w:sz w:val="15"/>
                <w:szCs w:val="15"/>
                <w:color w:val="auto"/>
              </w:rPr>
              <w:t>60</w:t>
            </w:r>
          </w:p>
        </w:tc>
        <w:tc>
          <w:tcPr>
            <w:tcW w:w="100" w:type="dxa"/>
            <w:vAlign w:val="bottom"/>
            <w:tcBorders>
              <w:top w:val="single" w:sz="8" w:color="CFF0FC"/>
            </w:tcBorders>
          </w:tcPr>
          <w:p>
            <w:pPr>
              <w:spacing w:after="0"/>
              <w:rPr>
                <w:sz w:val="15"/>
                <w:szCs w:val="15"/>
                <w:color w:val="auto"/>
              </w:rPr>
            </w:pPr>
          </w:p>
        </w:tc>
        <w:tc>
          <w:tcPr>
            <w:tcW w:w="20" w:type="dxa"/>
            <w:vAlign w:val="bottom"/>
          </w:tcPr>
          <w:p>
            <w:pPr>
              <w:spacing w:after="0"/>
              <w:rPr>
                <w:sz w:val="15"/>
                <w:szCs w:val="15"/>
                <w:color w:val="auto"/>
              </w:rPr>
            </w:pPr>
          </w:p>
        </w:tc>
      </w:tr>
      <w:tr>
        <w:trPr>
          <w:trHeight w:val="24"/>
        </w:trPr>
        <w:tc>
          <w:tcPr>
            <w:tcW w:w="69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9"/>
        </w:trPr>
        <w:tc>
          <w:tcPr>
            <w:tcW w:w="7940" w:type="dxa"/>
            <w:vAlign w:val="bottom"/>
            <w:tcBorders>
              <w:bottom w:val="single" w:sz="8" w:color="CFF0FC"/>
            </w:tcBorders>
            <w:gridSpan w:val="2"/>
            <w:shd w:val="clear" w:color="auto" w:fill="CFF0FC"/>
          </w:tcPr>
          <w:p>
            <w:pPr>
              <w:spacing w:after="0" w:line="174" w:lineRule="exact"/>
              <w:rPr>
                <w:sz w:val="20"/>
                <w:szCs w:val="20"/>
                <w:color w:val="auto"/>
              </w:rPr>
            </w:pPr>
            <w:r>
              <w:rPr>
                <w:rFonts w:ascii="Calibri" w:cs="Calibri" w:eastAsia="Calibri" w:hAnsi="Calibri"/>
                <w:sz w:val="15"/>
                <w:szCs w:val="15"/>
                <w:color w:val="auto"/>
              </w:rPr>
              <w:t>Gross proft</w:t>
            </w:r>
          </w:p>
        </w:tc>
        <w:tc>
          <w:tcPr>
            <w:tcW w:w="420" w:type="dxa"/>
            <w:vAlign w:val="bottom"/>
            <w:tcBorders>
              <w:bottom w:val="single" w:sz="8" w:color="CFF0FC"/>
            </w:tcBorders>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71</w:t>
            </w:r>
          </w:p>
        </w:tc>
        <w:tc>
          <w:tcPr>
            <w:tcW w:w="260" w:type="dxa"/>
            <w:vAlign w:val="bottom"/>
            <w:tcBorders>
              <w:bottom w:val="single" w:sz="8" w:color="CFF0FC"/>
            </w:tcBorders>
            <w:shd w:val="clear" w:color="auto" w:fill="CFF0FC"/>
          </w:tcPr>
          <w:p>
            <w:pPr>
              <w:spacing w:after="0"/>
              <w:rPr>
                <w:sz w:val="15"/>
                <w:szCs w:val="15"/>
                <w:color w:val="auto"/>
              </w:rPr>
            </w:pPr>
          </w:p>
        </w:tc>
        <w:tc>
          <w:tcPr>
            <w:tcW w:w="1420" w:type="dxa"/>
            <w:vAlign w:val="bottom"/>
            <w:tcBorders>
              <w:bottom w:val="single" w:sz="8" w:color="CFF0FC"/>
            </w:tcBorders>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40</w:t>
            </w:r>
          </w:p>
        </w:tc>
        <w:tc>
          <w:tcPr>
            <w:tcW w:w="100" w:type="dxa"/>
            <w:vAlign w:val="bottom"/>
            <w:tcBorders>
              <w:bottom w:val="single" w:sz="8" w:color="CFF0FC"/>
            </w:tcBorders>
            <w:shd w:val="clear" w:color="auto" w:fill="CFF0FC"/>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7940" w:type="dxa"/>
            <w:vAlign w:val="bottom"/>
            <w:gridSpan w:val="2"/>
          </w:tcPr>
          <w:p>
            <w:pPr>
              <w:spacing w:after="0"/>
              <w:rPr>
                <w:sz w:val="20"/>
                <w:szCs w:val="20"/>
                <w:color w:val="auto"/>
              </w:rPr>
            </w:pPr>
            <w:r>
              <w:rPr>
                <w:rFonts w:ascii="Calibri" w:cs="Calibri" w:eastAsia="Calibri" w:hAnsi="Calibri"/>
                <w:sz w:val="15"/>
                <w:szCs w:val="15"/>
                <w:color w:val="auto"/>
              </w:rPr>
              <w:t>Operatng expenses:</w:t>
            </w: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4"/>
        </w:trPr>
        <w:tc>
          <w:tcPr>
            <w:tcW w:w="69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7"/>
        </w:trPr>
        <w:tc>
          <w:tcPr>
            <w:tcW w:w="7940" w:type="dxa"/>
            <w:vAlign w:val="bottom"/>
            <w:tcBorders>
              <w:bottom w:val="single" w:sz="8" w:color="CFF0FC"/>
            </w:tcBorders>
            <w:gridSpan w:val="2"/>
            <w:shd w:val="clear" w:color="auto" w:fill="CFF0FC"/>
          </w:tcPr>
          <w:p>
            <w:pPr>
              <w:ind w:left="160"/>
              <w:spacing w:after="0"/>
              <w:rPr>
                <w:sz w:val="20"/>
                <w:szCs w:val="20"/>
                <w:color w:val="auto"/>
              </w:rPr>
            </w:pPr>
            <w:r>
              <w:rPr>
                <w:rFonts w:ascii="Calibri" w:cs="Calibri" w:eastAsia="Calibri" w:hAnsi="Calibri"/>
                <w:sz w:val="15"/>
                <w:szCs w:val="15"/>
                <w:color w:val="auto"/>
              </w:rPr>
              <w:t>Sales and marketng</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33</w:t>
            </w:r>
          </w:p>
        </w:tc>
        <w:tc>
          <w:tcPr>
            <w:tcW w:w="260" w:type="dxa"/>
            <w:vAlign w:val="bottom"/>
            <w:tcBorders>
              <w:bottom w:val="single" w:sz="8" w:color="CFF0FC"/>
            </w:tcBorders>
            <w:shd w:val="clear" w:color="auto" w:fill="CFF0FC"/>
          </w:tcPr>
          <w:p>
            <w:pPr>
              <w:spacing w:after="0"/>
              <w:rPr>
                <w:sz w:val="16"/>
                <w:szCs w:val="16"/>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20</w:t>
            </w:r>
          </w:p>
        </w:tc>
        <w:tc>
          <w:tcPr>
            <w:tcW w:w="100" w:type="dxa"/>
            <w:vAlign w:val="bottom"/>
            <w:tcBorders>
              <w:bottom w:val="single" w:sz="8" w:color="CFF0FC"/>
            </w:tcBorders>
            <w:shd w:val="clear" w:color="auto" w:fill="CFF0FC"/>
          </w:tcPr>
          <w:p>
            <w:pPr>
              <w:spacing w:after="0"/>
              <w:rPr>
                <w:sz w:val="16"/>
                <w:szCs w:val="16"/>
                <w:color w:val="auto"/>
              </w:rPr>
            </w:pPr>
          </w:p>
        </w:tc>
        <w:tc>
          <w:tcPr>
            <w:tcW w:w="20" w:type="dxa"/>
            <w:vAlign w:val="bottom"/>
          </w:tcPr>
          <w:p>
            <w:pPr>
              <w:spacing w:after="0"/>
              <w:rPr>
                <w:sz w:val="16"/>
                <w:szCs w:val="16"/>
                <w:color w:val="auto"/>
              </w:rPr>
            </w:pPr>
          </w:p>
        </w:tc>
      </w:tr>
      <w:tr>
        <w:trPr>
          <w:trHeight w:val="183"/>
        </w:trPr>
        <w:tc>
          <w:tcPr>
            <w:tcW w:w="7940" w:type="dxa"/>
            <w:vAlign w:val="bottom"/>
            <w:gridSpan w:val="2"/>
          </w:tcPr>
          <w:p>
            <w:pPr>
              <w:ind w:left="160"/>
              <w:spacing w:after="0"/>
              <w:rPr>
                <w:sz w:val="20"/>
                <w:szCs w:val="20"/>
                <w:color w:val="auto"/>
              </w:rPr>
            </w:pPr>
            <w:r>
              <w:rPr>
                <w:rFonts w:ascii="Calibri" w:cs="Calibri" w:eastAsia="Calibri" w:hAnsi="Calibri"/>
                <w:sz w:val="15"/>
                <w:szCs w:val="15"/>
                <w:color w:val="auto"/>
              </w:rPr>
              <w:t>Product, technology, and development</w:t>
            </w:r>
          </w:p>
        </w:tc>
        <w:tc>
          <w:tcPr>
            <w:tcW w:w="420" w:type="dxa"/>
            <w:vAlign w:val="bottom"/>
          </w:tcPr>
          <w:p>
            <w:pPr>
              <w:jc w:val="right"/>
              <w:spacing w:after="0"/>
              <w:rPr>
                <w:sz w:val="20"/>
                <w:szCs w:val="20"/>
                <w:color w:val="auto"/>
              </w:rPr>
            </w:pPr>
            <w:r>
              <w:rPr>
                <w:rFonts w:ascii="Calibri" w:cs="Calibri" w:eastAsia="Calibri" w:hAnsi="Calibri"/>
                <w:sz w:val="15"/>
                <w:szCs w:val="15"/>
                <w:color w:val="auto"/>
              </w:rPr>
              <w:t>16</w:t>
            </w:r>
          </w:p>
        </w:tc>
        <w:tc>
          <w:tcPr>
            <w:tcW w:w="2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Calibri" w:cs="Calibri" w:eastAsia="Calibri" w:hAnsi="Calibri"/>
                <w:sz w:val="15"/>
                <w:szCs w:val="15"/>
                <w:color w:val="auto"/>
              </w:rPr>
              <w:t>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4"/>
        </w:trPr>
        <w:tc>
          <w:tcPr>
            <w:tcW w:w="69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7"/>
        </w:trPr>
        <w:tc>
          <w:tcPr>
            <w:tcW w:w="7940" w:type="dxa"/>
            <w:vAlign w:val="bottom"/>
            <w:tcBorders>
              <w:bottom w:val="single" w:sz="8" w:color="CFF0FC"/>
            </w:tcBorders>
            <w:gridSpan w:val="2"/>
            <w:shd w:val="clear" w:color="auto" w:fill="CFF0FC"/>
          </w:tcPr>
          <w:p>
            <w:pPr>
              <w:ind w:left="160"/>
              <w:spacing w:after="0"/>
              <w:rPr>
                <w:sz w:val="20"/>
                <w:szCs w:val="20"/>
                <w:color w:val="auto"/>
              </w:rPr>
            </w:pPr>
            <w:r>
              <w:rPr>
                <w:rFonts w:ascii="Calibri" w:cs="Calibri" w:eastAsia="Calibri" w:hAnsi="Calibri"/>
                <w:sz w:val="15"/>
                <w:szCs w:val="15"/>
                <w:color w:val="auto"/>
              </w:rPr>
              <w:t>General and administratve</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17</w:t>
            </w:r>
          </w:p>
        </w:tc>
        <w:tc>
          <w:tcPr>
            <w:tcW w:w="260" w:type="dxa"/>
            <w:vAlign w:val="bottom"/>
            <w:tcBorders>
              <w:bottom w:val="single" w:sz="8" w:color="CFF0FC"/>
            </w:tcBorders>
            <w:shd w:val="clear" w:color="auto" w:fill="CFF0FC"/>
          </w:tcPr>
          <w:p>
            <w:pPr>
              <w:spacing w:after="0"/>
              <w:rPr>
                <w:sz w:val="16"/>
                <w:szCs w:val="16"/>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4</w:t>
            </w:r>
          </w:p>
        </w:tc>
        <w:tc>
          <w:tcPr>
            <w:tcW w:w="100" w:type="dxa"/>
            <w:vAlign w:val="bottom"/>
            <w:tcBorders>
              <w:bottom w:val="single" w:sz="8" w:color="CFF0FC"/>
            </w:tcBorders>
            <w:shd w:val="clear" w:color="auto" w:fill="CFF0FC"/>
          </w:tcPr>
          <w:p>
            <w:pPr>
              <w:spacing w:after="0"/>
              <w:rPr>
                <w:sz w:val="16"/>
                <w:szCs w:val="16"/>
                <w:color w:val="auto"/>
              </w:rPr>
            </w:pPr>
          </w:p>
        </w:tc>
        <w:tc>
          <w:tcPr>
            <w:tcW w:w="20" w:type="dxa"/>
            <w:vAlign w:val="bottom"/>
          </w:tcPr>
          <w:p>
            <w:pPr>
              <w:spacing w:after="0"/>
              <w:rPr>
                <w:sz w:val="16"/>
                <w:szCs w:val="16"/>
                <w:color w:val="auto"/>
              </w:rPr>
            </w:pPr>
          </w:p>
        </w:tc>
      </w:tr>
      <w:tr>
        <w:trPr>
          <w:trHeight w:val="183"/>
        </w:trPr>
        <w:tc>
          <w:tcPr>
            <w:tcW w:w="7940" w:type="dxa"/>
            <w:vAlign w:val="bottom"/>
            <w:gridSpan w:val="2"/>
          </w:tcPr>
          <w:p>
            <w:pPr>
              <w:ind w:left="160"/>
              <w:spacing w:after="0"/>
              <w:rPr>
                <w:sz w:val="20"/>
                <w:szCs w:val="20"/>
                <w:color w:val="auto"/>
              </w:rPr>
            </w:pPr>
            <w:r>
              <w:rPr>
                <w:rFonts w:ascii="Calibri" w:cs="Calibri" w:eastAsia="Calibri" w:hAnsi="Calibri"/>
                <w:sz w:val="15"/>
                <w:szCs w:val="15"/>
                <w:color w:val="auto"/>
              </w:rPr>
              <w:t>Depreciaton and amortzaton</w:t>
            </w:r>
          </w:p>
        </w:tc>
        <w:tc>
          <w:tcPr>
            <w:tcW w:w="420" w:type="dxa"/>
            <w:vAlign w:val="bottom"/>
          </w:tcPr>
          <w:p>
            <w:pPr>
              <w:jc w:val="right"/>
              <w:spacing w:after="0"/>
              <w:rPr>
                <w:sz w:val="20"/>
                <w:szCs w:val="20"/>
                <w:color w:val="auto"/>
              </w:rPr>
            </w:pPr>
            <w:r>
              <w:rPr>
                <w:rFonts w:ascii="Calibri" w:cs="Calibri" w:eastAsia="Calibri" w:hAnsi="Calibri"/>
                <w:sz w:val="15"/>
                <w:szCs w:val="15"/>
                <w:color w:val="auto"/>
              </w:rPr>
              <w:t>2</w:t>
            </w:r>
          </w:p>
        </w:tc>
        <w:tc>
          <w:tcPr>
            <w:tcW w:w="2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Calibri" w:cs="Calibri" w:eastAsia="Calibri" w:hAnsi="Calibri"/>
                <w:sz w:val="15"/>
                <w:szCs w:val="15"/>
                <w:color w:val="auto"/>
              </w:rPr>
              <w:t>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4"/>
        </w:trPr>
        <w:tc>
          <w:tcPr>
            <w:tcW w:w="69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4"/>
        </w:trPr>
        <w:tc>
          <w:tcPr>
            <w:tcW w:w="6920" w:type="dxa"/>
            <w:vAlign w:val="bottom"/>
            <w:tcBorders>
              <w:bottom w:val="single" w:sz="8" w:color="CFF0FC"/>
            </w:tcBorders>
            <w:shd w:val="clear" w:color="auto" w:fill="CFF0FC"/>
          </w:tcPr>
          <w:p>
            <w:pPr>
              <w:ind w:left="340"/>
              <w:spacing w:after="0" w:line="174" w:lineRule="exact"/>
              <w:rPr>
                <w:sz w:val="20"/>
                <w:szCs w:val="20"/>
                <w:color w:val="auto"/>
              </w:rPr>
            </w:pPr>
            <w:r>
              <w:rPr>
                <w:rFonts w:ascii="Calibri" w:cs="Calibri" w:eastAsia="Calibri" w:hAnsi="Calibri"/>
                <w:sz w:val="15"/>
                <w:szCs w:val="15"/>
                <w:color w:val="auto"/>
              </w:rPr>
              <w:t>Total operatng expenses</w:t>
            </w:r>
          </w:p>
        </w:tc>
        <w:tc>
          <w:tcPr>
            <w:tcW w:w="102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CFF0FC"/>
            </w:tcBorders>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68</w:t>
            </w:r>
          </w:p>
        </w:tc>
        <w:tc>
          <w:tcPr>
            <w:tcW w:w="260" w:type="dxa"/>
            <w:vAlign w:val="bottom"/>
            <w:tcBorders>
              <w:bottom w:val="single" w:sz="8" w:color="CFF0FC"/>
            </w:tcBorders>
            <w:shd w:val="clear" w:color="auto" w:fill="CFF0FC"/>
          </w:tcPr>
          <w:p>
            <w:pPr>
              <w:spacing w:after="0"/>
              <w:rPr>
                <w:sz w:val="17"/>
                <w:szCs w:val="17"/>
                <w:color w:val="auto"/>
              </w:rPr>
            </w:pPr>
          </w:p>
        </w:tc>
        <w:tc>
          <w:tcPr>
            <w:tcW w:w="1420" w:type="dxa"/>
            <w:vAlign w:val="bottom"/>
            <w:tcBorders>
              <w:bottom w:val="single" w:sz="8" w:color="CFF0FC"/>
            </w:tcBorders>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33</w:t>
            </w:r>
          </w:p>
        </w:tc>
        <w:tc>
          <w:tcPr>
            <w:tcW w:w="100" w:type="dxa"/>
            <w:vAlign w:val="bottom"/>
            <w:tcBorders>
              <w:bottom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175"/>
        </w:trPr>
        <w:tc>
          <w:tcPr>
            <w:tcW w:w="6920" w:type="dxa"/>
            <w:vAlign w:val="bottom"/>
            <w:tcBorders>
              <w:top w:val="single" w:sz="8" w:color="CFF0FC"/>
            </w:tcBorders>
          </w:tcPr>
          <w:p>
            <w:pPr>
              <w:spacing w:after="0" w:line="174" w:lineRule="exact"/>
              <w:rPr>
                <w:sz w:val="20"/>
                <w:szCs w:val="20"/>
                <w:color w:val="auto"/>
              </w:rPr>
            </w:pPr>
            <w:r>
              <w:rPr>
                <w:rFonts w:ascii="Calibri" w:cs="Calibri" w:eastAsia="Calibri" w:hAnsi="Calibri"/>
                <w:sz w:val="15"/>
                <w:szCs w:val="15"/>
                <w:color w:val="auto"/>
              </w:rPr>
              <w:t>Income from operatons</w:t>
            </w:r>
          </w:p>
        </w:tc>
        <w:tc>
          <w:tcPr>
            <w:tcW w:w="102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jc w:val="right"/>
              <w:spacing w:after="0" w:line="174" w:lineRule="exact"/>
              <w:rPr>
                <w:sz w:val="20"/>
                <w:szCs w:val="20"/>
                <w:color w:val="auto"/>
              </w:rPr>
            </w:pPr>
            <w:r>
              <w:rPr>
                <w:rFonts w:ascii="Calibri" w:cs="Calibri" w:eastAsia="Calibri" w:hAnsi="Calibri"/>
                <w:sz w:val="15"/>
                <w:szCs w:val="15"/>
                <w:color w:val="auto"/>
              </w:rPr>
              <w:t>4</w:t>
            </w:r>
          </w:p>
        </w:tc>
        <w:tc>
          <w:tcPr>
            <w:tcW w:w="260" w:type="dxa"/>
            <w:vAlign w:val="bottom"/>
            <w:tcBorders>
              <w:top w:val="single" w:sz="8" w:color="CFF0FC"/>
            </w:tcBorders>
          </w:tcPr>
          <w:p>
            <w:pPr>
              <w:spacing w:after="0"/>
              <w:rPr>
                <w:sz w:val="15"/>
                <w:szCs w:val="15"/>
                <w:color w:val="auto"/>
              </w:rPr>
            </w:pPr>
          </w:p>
        </w:tc>
        <w:tc>
          <w:tcPr>
            <w:tcW w:w="1420" w:type="dxa"/>
            <w:vAlign w:val="bottom"/>
            <w:tcBorders>
              <w:top w:val="single" w:sz="8" w:color="auto"/>
            </w:tcBorders>
          </w:tcPr>
          <w:p>
            <w:pPr>
              <w:jc w:val="right"/>
              <w:spacing w:after="0" w:line="174" w:lineRule="exact"/>
              <w:rPr>
                <w:sz w:val="20"/>
                <w:szCs w:val="20"/>
                <w:color w:val="auto"/>
              </w:rPr>
            </w:pPr>
            <w:r>
              <w:rPr>
                <w:rFonts w:ascii="Calibri" w:cs="Calibri" w:eastAsia="Calibri" w:hAnsi="Calibri"/>
                <w:sz w:val="15"/>
                <w:szCs w:val="15"/>
                <w:color w:val="auto"/>
              </w:rPr>
              <w:t>7</w:t>
            </w:r>
          </w:p>
        </w:tc>
        <w:tc>
          <w:tcPr>
            <w:tcW w:w="100" w:type="dxa"/>
            <w:vAlign w:val="bottom"/>
            <w:tcBorders>
              <w:top w:val="single" w:sz="8" w:color="CFF0FC"/>
            </w:tcBorders>
          </w:tcPr>
          <w:p>
            <w:pPr>
              <w:spacing w:after="0"/>
              <w:rPr>
                <w:sz w:val="15"/>
                <w:szCs w:val="15"/>
                <w:color w:val="auto"/>
              </w:rPr>
            </w:pPr>
          </w:p>
        </w:tc>
        <w:tc>
          <w:tcPr>
            <w:tcW w:w="20" w:type="dxa"/>
            <w:vAlign w:val="bottom"/>
          </w:tcPr>
          <w:p>
            <w:pPr>
              <w:spacing w:after="0"/>
              <w:rPr>
                <w:sz w:val="15"/>
                <w:szCs w:val="15"/>
                <w:color w:val="auto"/>
              </w:rPr>
            </w:pPr>
          </w:p>
        </w:tc>
      </w:tr>
      <w:tr>
        <w:trPr>
          <w:trHeight w:val="24"/>
        </w:trPr>
        <w:tc>
          <w:tcPr>
            <w:tcW w:w="69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7"/>
        </w:trPr>
        <w:tc>
          <w:tcPr>
            <w:tcW w:w="7940" w:type="dxa"/>
            <w:vAlign w:val="bottom"/>
            <w:tcBorders>
              <w:bottom w:val="single" w:sz="8" w:color="CFF0FC"/>
            </w:tcBorders>
            <w:gridSpan w:val="2"/>
            <w:shd w:val="clear" w:color="auto" w:fill="CFF0FC"/>
          </w:tcPr>
          <w:p>
            <w:pPr>
              <w:spacing w:after="0"/>
              <w:rPr>
                <w:sz w:val="20"/>
                <w:szCs w:val="20"/>
                <w:color w:val="auto"/>
              </w:rPr>
            </w:pPr>
            <w:r>
              <w:rPr>
                <w:rFonts w:ascii="Calibri" w:cs="Calibri" w:eastAsia="Calibri" w:hAnsi="Calibri"/>
                <w:sz w:val="15"/>
                <w:szCs w:val="15"/>
                <w:color w:val="auto"/>
              </w:rPr>
              <w:t>Other income, net:</w:t>
            </w:r>
          </w:p>
        </w:tc>
        <w:tc>
          <w:tcPr>
            <w:tcW w:w="42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14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20" w:type="dxa"/>
            <w:vAlign w:val="bottom"/>
          </w:tcPr>
          <w:p>
            <w:pPr>
              <w:spacing w:after="0"/>
              <w:rPr>
                <w:sz w:val="16"/>
                <w:szCs w:val="16"/>
                <w:color w:val="auto"/>
              </w:rPr>
            </w:pPr>
          </w:p>
        </w:tc>
      </w:tr>
      <w:tr>
        <w:trPr>
          <w:trHeight w:val="183"/>
        </w:trPr>
        <w:tc>
          <w:tcPr>
            <w:tcW w:w="7940" w:type="dxa"/>
            <w:vAlign w:val="bottom"/>
            <w:gridSpan w:val="2"/>
          </w:tcPr>
          <w:p>
            <w:pPr>
              <w:ind w:left="160"/>
              <w:spacing w:after="0"/>
              <w:rPr>
                <w:sz w:val="20"/>
                <w:szCs w:val="20"/>
                <w:color w:val="auto"/>
              </w:rPr>
            </w:pPr>
            <w:r>
              <w:rPr>
                <w:rFonts w:ascii="Calibri" w:cs="Calibri" w:eastAsia="Calibri" w:hAnsi="Calibri"/>
                <w:sz w:val="15"/>
                <w:szCs w:val="15"/>
                <w:color w:val="auto"/>
              </w:rPr>
              <w:t>Interest income</w:t>
            </w:r>
          </w:p>
        </w:tc>
        <w:tc>
          <w:tcPr>
            <w:tcW w:w="420" w:type="dxa"/>
            <w:vAlign w:val="bottom"/>
          </w:tcPr>
          <w:p>
            <w:pPr>
              <w:jc w:val="right"/>
              <w:spacing w:after="0"/>
              <w:rPr>
                <w:sz w:val="20"/>
                <w:szCs w:val="20"/>
                <w:color w:val="auto"/>
              </w:rPr>
            </w:pPr>
            <w:r>
              <w:rPr>
                <w:rFonts w:ascii="Calibri" w:cs="Calibri" w:eastAsia="Calibri" w:hAnsi="Calibri"/>
                <w:sz w:val="15"/>
                <w:szCs w:val="15"/>
                <w:color w:val="auto"/>
              </w:rPr>
              <w:t>2</w:t>
            </w:r>
          </w:p>
        </w:tc>
        <w:tc>
          <w:tcPr>
            <w:tcW w:w="2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Calibri" w:cs="Calibri" w:eastAsia="Calibri" w:hAnsi="Calibri"/>
                <w:sz w:val="15"/>
                <w:szCs w:val="15"/>
                <w:color w:val="auto"/>
              </w:rPr>
              <w:t>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4"/>
        </w:trPr>
        <w:tc>
          <w:tcPr>
            <w:tcW w:w="69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2"/>
        </w:trPr>
        <w:tc>
          <w:tcPr>
            <w:tcW w:w="6920" w:type="dxa"/>
            <w:vAlign w:val="bottom"/>
            <w:tcBorders>
              <w:bottom w:val="single" w:sz="8" w:color="CFF0FC"/>
            </w:tcBorders>
            <w:shd w:val="clear" w:color="auto" w:fill="CFF0FC"/>
          </w:tcPr>
          <w:p>
            <w:pPr>
              <w:ind w:left="160"/>
              <w:spacing w:after="0"/>
              <w:rPr>
                <w:sz w:val="20"/>
                <w:szCs w:val="20"/>
                <w:color w:val="auto"/>
              </w:rPr>
            </w:pPr>
            <w:r>
              <w:rPr>
                <w:rFonts w:ascii="Calibri" w:cs="Calibri" w:eastAsia="Calibri" w:hAnsi="Calibri"/>
                <w:sz w:val="15"/>
                <w:szCs w:val="15"/>
                <w:color w:val="auto"/>
              </w:rPr>
              <w:t>Other income (expense), net</w:t>
            </w:r>
          </w:p>
        </w:tc>
        <w:tc>
          <w:tcPr>
            <w:tcW w:w="10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0</w:t>
            </w:r>
          </w:p>
        </w:tc>
        <w:tc>
          <w:tcPr>
            <w:tcW w:w="260" w:type="dxa"/>
            <w:vAlign w:val="bottom"/>
            <w:tcBorders>
              <w:bottom w:val="single" w:sz="8" w:color="CFF0FC"/>
            </w:tcBorders>
            <w:shd w:val="clear" w:color="auto" w:fill="CFF0FC"/>
          </w:tcPr>
          <w:p>
            <w:pPr>
              <w:spacing w:after="0"/>
              <w:rPr>
                <w:sz w:val="18"/>
                <w:szCs w:val="18"/>
                <w:color w:val="auto"/>
              </w:rPr>
            </w:pPr>
          </w:p>
        </w:tc>
        <w:tc>
          <w:tcPr>
            <w:tcW w:w="1520" w:type="dxa"/>
            <w:vAlign w:val="bottom"/>
            <w:tcBorders>
              <w:bottom w:val="single" w:sz="8" w:color="CFF0FC"/>
            </w:tcBorders>
            <w:gridSpan w:val="2"/>
            <w:shd w:val="clear" w:color="auto" w:fill="CFF0FC"/>
          </w:tcPr>
          <w:p>
            <w:pPr>
              <w:jc w:val="right"/>
              <w:ind w:right="40"/>
              <w:spacing w:after="0"/>
              <w:rPr>
                <w:sz w:val="20"/>
                <w:szCs w:val="20"/>
                <w:color w:val="auto"/>
              </w:rPr>
            </w:pPr>
            <w:r>
              <w:rPr>
                <w:rFonts w:ascii="Calibri" w:cs="Calibri" w:eastAsia="Calibri" w:hAnsi="Calibri"/>
                <w:sz w:val="15"/>
                <w:szCs w:val="15"/>
                <w:color w:val="auto"/>
              </w:rPr>
              <w:t>(0 )</w:t>
            </w:r>
          </w:p>
        </w:tc>
        <w:tc>
          <w:tcPr>
            <w:tcW w:w="20" w:type="dxa"/>
            <w:vAlign w:val="bottom"/>
          </w:tcPr>
          <w:p>
            <w:pPr>
              <w:spacing w:after="0"/>
              <w:rPr>
                <w:sz w:val="18"/>
                <w:szCs w:val="18"/>
                <w:color w:val="auto"/>
              </w:rPr>
            </w:pPr>
          </w:p>
        </w:tc>
      </w:tr>
      <w:tr>
        <w:trPr>
          <w:trHeight w:val="175"/>
        </w:trPr>
        <w:tc>
          <w:tcPr>
            <w:tcW w:w="6920" w:type="dxa"/>
            <w:vAlign w:val="bottom"/>
            <w:tcBorders>
              <w:top w:val="single" w:sz="8" w:color="CFF0FC"/>
            </w:tcBorders>
          </w:tcPr>
          <w:p>
            <w:pPr>
              <w:ind w:left="320"/>
              <w:spacing w:after="0" w:line="174" w:lineRule="exact"/>
              <w:rPr>
                <w:sz w:val="20"/>
                <w:szCs w:val="20"/>
                <w:color w:val="auto"/>
              </w:rPr>
            </w:pPr>
            <w:r>
              <w:rPr>
                <w:rFonts w:ascii="Calibri" w:cs="Calibri" w:eastAsia="Calibri" w:hAnsi="Calibri"/>
                <w:sz w:val="15"/>
                <w:szCs w:val="15"/>
                <w:color w:val="auto"/>
              </w:rPr>
              <w:t>Total other income, net</w:t>
            </w:r>
          </w:p>
        </w:tc>
        <w:tc>
          <w:tcPr>
            <w:tcW w:w="102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jc w:val="right"/>
              <w:spacing w:after="0" w:line="174" w:lineRule="exact"/>
              <w:rPr>
                <w:sz w:val="20"/>
                <w:szCs w:val="20"/>
                <w:color w:val="auto"/>
              </w:rPr>
            </w:pPr>
            <w:r>
              <w:rPr>
                <w:rFonts w:ascii="Calibri" w:cs="Calibri" w:eastAsia="Calibri" w:hAnsi="Calibri"/>
                <w:sz w:val="15"/>
                <w:szCs w:val="15"/>
                <w:color w:val="auto"/>
              </w:rPr>
              <w:t>2</w:t>
            </w:r>
          </w:p>
        </w:tc>
        <w:tc>
          <w:tcPr>
            <w:tcW w:w="260" w:type="dxa"/>
            <w:vAlign w:val="bottom"/>
            <w:tcBorders>
              <w:top w:val="single" w:sz="8" w:color="CFF0FC"/>
            </w:tcBorders>
          </w:tcPr>
          <w:p>
            <w:pPr>
              <w:spacing w:after="0"/>
              <w:rPr>
                <w:sz w:val="15"/>
                <w:szCs w:val="15"/>
                <w:color w:val="auto"/>
              </w:rPr>
            </w:pPr>
          </w:p>
        </w:tc>
        <w:tc>
          <w:tcPr>
            <w:tcW w:w="1420" w:type="dxa"/>
            <w:vAlign w:val="bottom"/>
            <w:tcBorders>
              <w:top w:val="single" w:sz="8" w:color="auto"/>
            </w:tcBorders>
          </w:tcPr>
          <w:p>
            <w:pPr>
              <w:jc w:val="right"/>
              <w:spacing w:after="0" w:line="174" w:lineRule="exact"/>
              <w:rPr>
                <w:sz w:val="20"/>
                <w:szCs w:val="20"/>
                <w:color w:val="auto"/>
              </w:rPr>
            </w:pPr>
            <w:r>
              <w:rPr>
                <w:rFonts w:ascii="Calibri" w:cs="Calibri" w:eastAsia="Calibri" w:hAnsi="Calibri"/>
                <w:sz w:val="15"/>
                <w:szCs w:val="15"/>
                <w:color w:val="auto"/>
              </w:rPr>
              <w:t>0</w:t>
            </w:r>
          </w:p>
        </w:tc>
        <w:tc>
          <w:tcPr>
            <w:tcW w:w="100" w:type="dxa"/>
            <w:vAlign w:val="bottom"/>
            <w:tcBorders>
              <w:top w:val="single" w:sz="8" w:color="CFF0FC"/>
            </w:tcBorders>
          </w:tcPr>
          <w:p>
            <w:pPr>
              <w:spacing w:after="0"/>
              <w:rPr>
                <w:sz w:val="15"/>
                <w:szCs w:val="15"/>
                <w:color w:val="auto"/>
              </w:rPr>
            </w:pPr>
          </w:p>
        </w:tc>
        <w:tc>
          <w:tcPr>
            <w:tcW w:w="20" w:type="dxa"/>
            <w:vAlign w:val="bottom"/>
          </w:tcPr>
          <w:p>
            <w:pPr>
              <w:spacing w:after="0"/>
              <w:rPr>
                <w:sz w:val="15"/>
                <w:szCs w:val="15"/>
                <w:color w:val="auto"/>
              </w:rPr>
            </w:pPr>
          </w:p>
        </w:tc>
      </w:tr>
      <w:tr>
        <w:trPr>
          <w:trHeight w:val="24"/>
        </w:trPr>
        <w:tc>
          <w:tcPr>
            <w:tcW w:w="69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7"/>
        </w:trPr>
        <w:tc>
          <w:tcPr>
            <w:tcW w:w="7940" w:type="dxa"/>
            <w:vAlign w:val="bottom"/>
            <w:tcBorders>
              <w:bottom w:val="single" w:sz="8" w:color="CFF0FC"/>
            </w:tcBorders>
            <w:gridSpan w:val="2"/>
            <w:shd w:val="clear" w:color="auto" w:fill="CFF0FC"/>
          </w:tcPr>
          <w:p>
            <w:pPr>
              <w:spacing w:after="0"/>
              <w:rPr>
                <w:sz w:val="20"/>
                <w:szCs w:val="20"/>
                <w:color w:val="auto"/>
              </w:rPr>
            </w:pPr>
            <w:r>
              <w:rPr>
                <w:rFonts w:ascii="Calibri" w:cs="Calibri" w:eastAsia="Calibri" w:hAnsi="Calibri"/>
                <w:sz w:val="15"/>
                <w:szCs w:val="15"/>
                <w:color w:val="auto"/>
              </w:rPr>
              <w:t>Income before income taxes</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6</w:t>
            </w:r>
          </w:p>
        </w:tc>
        <w:tc>
          <w:tcPr>
            <w:tcW w:w="260" w:type="dxa"/>
            <w:vAlign w:val="bottom"/>
            <w:tcBorders>
              <w:bottom w:val="single" w:sz="8" w:color="CFF0FC"/>
            </w:tcBorders>
            <w:shd w:val="clear" w:color="auto" w:fill="CFF0FC"/>
          </w:tcPr>
          <w:p>
            <w:pPr>
              <w:spacing w:after="0"/>
              <w:rPr>
                <w:sz w:val="16"/>
                <w:szCs w:val="16"/>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7</w:t>
            </w:r>
          </w:p>
        </w:tc>
        <w:tc>
          <w:tcPr>
            <w:tcW w:w="100" w:type="dxa"/>
            <w:vAlign w:val="bottom"/>
            <w:tcBorders>
              <w:bottom w:val="single" w:sz="8" w:color="CFF0FC"/>
            </w:tcBorders>
            <w:shd w:val="clear" w:color="auto" w:fill="CFF0FC"/>
          </w:tcPr>
          <w:p>
            <w:pPr>
              <w:spacing w:after="0"/>
              <w:rPr>
                <w:sz w:val="16"/>
                <w:szCs w:val="16"/>
                <w:color w:val="auto"/>
              </w:rPr>
            </w:pPr>
          </w:p>
        </w:tc>
        <w:tc>
          <w:tcPr>
            <w:tcW w:w="20" w:type="dxa"/>
            <w:vAlign w:val="bottom"/>
          </w:tcPr>
          <w:p>
            <w:pPr>
              <w:spacing w:after="0"/>
              <w:rPr>
                <w:sz w:val="16"/>
                <w:szCs w:val="16"/>
                <w:color w:val="auto"/>
              </w:rPr>
            </w:pPr>
          </w:p>
        </w:tc>
      </w:tr>
      <w:tr>
        <w:trPr>
          <w:trHeight w:val="183"/>
        </w:trPr>
        <w:tc>
          <w:tcPr>
            <w:tcW w:w="7940" w:type="dxa"/>
            <w:vAlign w:val="bottom"/>
            <w:gridSpan w:val="2"/>
          </w:tcPr>
          <w:p>
            <w:pPr>
              <w:spacing w:after="0"/>
              <w:rPr>
                <w:sz w:val="20"/>
                <w:szCs w:val="20"/>
                <w:color w:val="auto"/>
              </w:rPr>
            </w:pPr>
            <w:r>
              <w:rPr>
                <w:rFonts w:ascii="Calibri" w:cs="Calibri" w:eastAsia="Calibri" w:hAnsi="Calibri"/>
                <w:sz w:val="15"/>
                <w:szCs w:val="15"/>
                <w:color w:val="auto"/>
              </w:rPr>
              <w:t>Provision for income taxes</w:t>
            </w:r>
          </w:p>
        </w:tc>
        <w:tc>
          <w:tcPr>
            <w:tcW w:w="420" w:type="dxa"/>
            <w:vAlign w:val="bottom"/>
          </w:tcPr>
          <w:p>
            <w:pPr>
              <w:jc w:val="right"/>
              <w:spacing w:after="0"/>
              <w:rPr>
                <w:sz w:val="20"/>
                <w:szCs w:val="20"/>
                <w:color w:val="auto"/>
              </w:rPr>
            </w:pPr>
            <w:r>
              <w:rPr>
                <w:rFonts w:ascii="Calibri" w:cs="Calibri" w:eastAsia="Calibri" w:hAnsi="Calibri"/>
                <w:sz w:val="15"/>
                <w:szCs w:val="15"/>
                <w:color w:val="auto"/>
              </w:rPr>
              <w:t>3</w:t>
            </w:r>
          </w:p>
        </w:tc>
        <w:tc>
          <w:tcPr>
            <w:tcW w:w="2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Calibri" w:cs="Calibri" w:eastAsia="Calibri" w:hAnsi="Calibri"/>
                <w:sz w:val="15"/>
                <w:szCs w:val="15"/>
                <w:color w:val="auto"/>
              </w:rPr>
              <w:t>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4"/>
        </w:trPr>
        <w:tc>
          <w:tcPr>
            <w:tcW w:w="69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9"/>
        </w:trPr>
        <w:tc>
          <w:tcPr>
            <w:tcW w:w="6920" w:type="dxa"/>
            <w:vAlign w:val="bottom"/>
            <w:tcBorders>
              <w:bottom w:val="single" w:sz="8" w:color="CFF0FC"/>
            </w:tcBorders>
            <w:shd w:val="clear" w:color="auto" w:fill="CFF0FC"/>
          </w:tcPr>
          <w:p>
            <w:pPr>
              <w:spacing w:after="0" w:line="174" w:lineRule="exact"/>
              <w:rPr>
                <w:sz w:val="20"/>
                <w:szCs w:val="20"/>
                <w:color w:val="auto"/>
              </w:rPr>
            </w:pPr>
            <w:r>
              <w:rPr>
                <w:rFonts w:ascii="Calibri" w:cs="Calibri" w:eastAsia="Calibri" w:hAnsi="Calibri"/>
                <w:sz w:val="15"/>
                <w:szCs w:val="15"/>
                <w:color w:val="auto"/>
              </w:rPr>
              <w:t>Consolidated net income</w:t>
            </w:r>
          </w:p>
        </w:tc>
        <w:tc>
          <w:tcPr>
            <w:tcW w:w="1020" w:type="dxa"/>
            <w:vAlign w:val="bottom"/>
            <w:tcBorders>
              <w:bottom w:val="single" w:sz="8" w:color="CFF0FC"/>
            </w:tcBorders>
            <w:shd w:val="clear" w:color="auto" w:fill="CFF0FC"/>
          </w:tcPr>
          <w:p>
            <w:pPr>
              <w:spacing w:after="0"/>
              <w:rPr>
                <w:sz w:val="15"/>
                <w:szCs w:val="15"/>
                <w:color w:val="auto"/>
              </w:rPr>
            </w:pPr>
          </w:p>
        </w:tc>
        <w:tc>
          <w:tcPr>
            <w:tcW w:w="420" w:type="dxa"/>
            <w:vAlign w:val="bottom"/>
            <w:tcBorders>
              <w:bottom w:val="single" w:sz="8" w:color="CFF0FC"/>
            </w:tcBorders>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2</w:t>
            </w:r>
          </w:p>
        </w:tc>
        <w:tc>
          <w:tcPr>
            <w:tcW w:w="260" w:type="dxa"/>
            <w:vAlign w:val="bottom"/>
            <w:tcBorders>
              <w:bottom w:val="single" w:sz="8" w:color="CFF0FC"/>
            </w:tcBorders>
            <w:shd w:val="clear" w:color="auto" w:fill="CFF0FC"/>
          </w:tcPr>
          <w:p>
            <w:pPr>
              <w:spacing w:after="0"/>
              <w:rPr>
                <w:sz w:val="15"/>
                <w:szCs w:val="15"/>
                <w:color w:val="auto"/>
              </w:rPr>
            </w:pPr>
          </w:p>
        </w:tc>
        <w:tc>
          <w:tcPr>
            <w:tcW w:w="1420" w:type="dxa"/>
            <w:vAlign w:val="bottom"/>
            <w:tcBorders>
              <w:bottom w:val="single" w:sz="8" w:color="CFF0FC"/>
            </w:tcBorders>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5</w:t>
            </w:r>
          </w:p>
        </w:tc>
        <w:tc>
          <w:tcPr>
            <w:tcW w:w="100" w:type="dxa"/>
            <w:vAlign w:val="bottom"/>
            <w:tcBorders>
              <w:bottom w:val="single" w:sz="8" w:color="CFF0FC"/>
            </w:tcBorders>
            <w:shd w:val="clear" w:color="auto" w:fill="CFF0FC"/>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69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6920" w:type="dxa"/>
            <w:vAlign w:val="bottom"/>
          </w:tcPr>
          <w:p>
            <w:pPr>
              <w:spacing w:after="0" w:line="174" w:lineRule="exact"/>
              <w:rPr>
                <w:sz w:val="20"/>
                <w:szCs w:val="20"/>
                <w:color w:val="auto"/>
              </w:rPr>
            </w:pPr>
            <w:r>
              <w:rPr>
                <w:rFonts w:ascii="Calibri" w:cs="Calibri" w:eastAsia="Calibri" w:hAnsi="Calibri"/>
                <w:sz w:val="15"/>
                <w:szCs w:val="15"/>
                <w:color w:val="auto"/>
              </w:rPr>
              <w:t>Net loss atributable to redeemable noncontrolling interest</w:t>
            </w:r>
          </w:p>
        </w:tc>
        <w:tc>
          <w:tcPr>
            <w:tcW w:w="1020" w:type="dxa"/>
            <w:vAlign w:val="bottom"/>
          </w:tcPr>
          <w:p>
            <w:pPr>
              <w:spacing w:after="0"/>
              <w:rPr>
                <w:sz w:val="15"/>
                <w:szCs w:val="15"/>
                <w:color w:val="auto"/>
              </w:rPr>
            </w:pPr>
          </w:p>
        </w:tc>
        <w:tc>
          <w:tcPr>
            <w:tcW w:w="680" w:type="dxa"/>
            <w:vAlign w:val="bottom"/>
            <w:gridSpan w:val="2"/>
          </w:tcPr>
          <w:p>
            <w:pPr>
              <w:jc w:val="right"/>
              <w:ind w:right="200"/>
              <w:spacing w:after="0" w:line="174" w:lineRule="exact"/>
              <w:rPr>
                <w:sz w:val="20"/>
                <w:szCs w:val="20"/>
                <w:color w:val="auto"/>
              </w:rPr>
            </w:pPr>
            <w:r>
              <w:rPr>
                <w:rFonts w:ascii="Calibri" w:cs="Calibri" w:eastAsia="Calibri" w:hAnsi="Calibri"/>
                <w:sz w:val="15"/>
                <w:szCs w:val="15"/>
                <w:color w:val="auto"/>
              </w:rPr>
              <w:t>(2 )</w:t>
            </w:r>
          </w:p>
        </w:tc>
        <w:tc>
          <w:tcPr>
            <w:tcW w:w="1520" w:type="dxa"/>
            <w:vAlign w:val="bottom"/>
            <w:gridSpan w:val="2"/>
          </w:tcPr>
          <w:p>
            <w:pPr>
              <w:jc w:val="right"/>
              <w:ind w:right="40"/>
              <w:spacing w:after="0" w:line="174" w:lineRule="exact"/>
              <w:rPr>
                <w:sz w:val="20"/>
                <w:szCs w:val="20"/>
                <w:color w:val="auto"/>
              </w:rPr>
            </w:pPr>
            <w:r>
              <w:rPr>
                <w:rFonts w:ascii="Calibri" w:cs="Calibri" w:eastAsia="Calibri" w:hAnsi="Calibri"/>
                <w:sz w:val="15"/>
                <w:szCs w:val="15"/>
                <w:color w:val="auto"/>
              </w:rPr>
              <w:t>(0 )</w:t>
            </w:r>
          </w:p>
        </w:tc>
        <w:tc>
          <w:tcPr>
            <w:tcW w:w="20" w:type="dxa"/>
            <w:vAlign w:val="bottom"/>
          </w:tcPr>
          <w:p>
            <w:pPr>
              <w:spacing w:after="0"/>
              <w:rPr>
                <w:sz w:val="15"/>
                <w:szCs w:val="15"/>
                <w:color w:val="auto"/>
              </w:rPr>
            </w:pPr>
          </w:p>
        </w:tc>
      </w:tr>
      <w:tr>
        <w:trPr>
          <w:trHeight w:val="24"/>
        </w:trPr>
        <w:tc>
          <w:tcPr>
            <w:tcW w:w="69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4"/>
        </w:trPr>
        <w:tc>
          <w:tcPr>
            <w:tcW w:w="6920" w:type="dxa"/>
            <w:vAlign w:val="bottom"/>
            <w:tcBorders>
              <w:bottom w:val="single" w:sz="8" w:color="CFF0FC"/>
            </w:tcBorders>
            <w:shd w:val="clear" w:color="auto" w:fill="CFF0FC"/>
          </w:tcPr>
          <w:p>
            <w:pPr>
              <w:spacing w:after="0" w:line="174" w:lineRule="exact"/>
              <w:rPr>
                <w:sz w:val="20"/>
                <w:szCs w:val="20"/>
                <w:color w:val="auto"/>
              </w:rPr>
            </w:pPr>
            <w:r>
              <w:rPr>
                <w:rFonts w:ascii="Calibri" w:cs="Calibri" w:eastAsia="Calibri" w:hAnsi="Calibri"/>
                <w:sz w:val="15"/>
                <w:szCs w:val="15"/>
                <w:color w:val="auto"/>
              </w:rPr>
              <w:t>Net income atributable to CarGurus, Inc.</w:t>
            </w:r>
          </w:p>
        </w:tc>
        <w:tc>
          <w:tcPr>
            <w:tcW w:w="102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4</w:t>
            </w:r>
          </w:p>
        </w:tc>
        <w:tc>
          <w:tcPr>
            <w:tcW w:w="26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5</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692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5664200</wp:posOffset>
            </wp:positionH>
            <wp:positionV relativeFrom="paragraph">
              <wp:posOffset>-2446655</wp:posOffset>
            </wp:positionV>
            <wp:extent cx="66040"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6731000</wp:posOffset>
            </wp:positionH>
            <wp:positionV relativeFrom="paragraph">
              <wp:posOffset>-2446655</wp:posOffset>
            </wp:positionV>
            <wp:extent cx="58420"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8420" cy="7620"/>
                    </a:xfrm>
                    <a:prstGeom prst="rect">
                      <a:avLst/>
                    </a:prstGeom>
                    <a:noFill/>
                  </pic:spPr>
                </pic:pic>
              </a:graphicData>
            </a:graphic>
          </wp:anchor>
        </w:drawing>
        <w:drawing>
          <wp:anchor simplePos="0" relativeHeight="251657728" behindDoc="1" locked="0" layoutInCell="0" allowOverlap="1">
            <wp:simplePos x="0" y="0"/>
            <wp:positionH relativeFrom="column">
              <wp:posOffset>5664200</wp:posOffset>
            </wp:positionH>
            <wp:positionV relativeFrom="paragraph">
              <wp:posOffset>-1372870</wp:posOffset>
            </wp:positionV>
            <wp:extent cx="66040"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6731000</wp:posOffset>
            </wp:positionH>
            <wp:positionV relativeFrom="paragraph">
              <wp:posOffset>-1372870</wp:posOffset>
            </wp:positionV>
            <wp:extent cx="58420"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8420" cy="7620"/>
                    </a:xfrm>
                    <a:prstGeom prst="rect">
                      <a:avLst/>
                    </a:prstGeom>
                    <a:noFill/>
                  </pic:spPr>
                </pic:pic>
              </a:graphicData>
            </a:graphic>
          </wp:anchor>
        </w:drawing>
        <w:drawing>
          <wp:anchor simplePos="0" relativeHeight="251657728" behindDoc="1" locked="0" layoutInCell="0" allowOverlap="1">
            <wp:simplePos x="0" y="0"/>
            <wp:positionH relativeFrom="column">
              <wp:posOffset>5664200</wp:posOffset>
            </wp:positionH>
            <wp:positionV relativeFrom="paragraph">
              <wp:posOffset>-839470</wp:posOffset>
            </wp:positionV>
            <wp:extent cx="66040"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6731000</wp:posOffset>
            </wp:positionH>
            <wp:positionV relativeFrom="paragraph">
              <wp:posOffset>-839470</wp:posOffset>
            </wp:positionV>
            <wp:extent cx="58420"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8420" cy="7620"/>
                    </a:xfrm>
                    <a:prstGeom prst="rect">
                      <a:avLst/>
                    </a:prstGeom>
                    <a:noFill/>
                  </pic:spPr>
                </pic:pic>
              </a:graphicData>
            </a:graphic>
          </wp:anchor>
        </w:drawing>
        <w:drawing>
          <wp:anchor simplePos="0" relativeHeight="251657728" behindDoc="1" locked="0" layoutInCell="0" allowOverlap="1">
            <wp:simplePos x="0" y="0"/>
            <wp:positionH relativeFrom="column">
              <wp:posOffset>5664200</wp:posOffset>
            </wp:positionH>
            <wp:positionV relativeFrom="paragraph">
              <wp:posOffset>-299085</wp:posOffset>
            </wp:positionV>
            <wp:extent cx="66040"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6731000</wp:posOffset>
            </wp:positionH>
            <wp:positionV relativeFrom="paragraph">
              <wp:posOffset>-299085</wp:posOffset>
            </wp:positionV>
            <wp:extent cx="58420"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8420" cy="7620"/>
                    </a:xfrm>
                    <a:prstGeom prst="rect">
                      <a:avLst/>
                    </a:prstGeom>
                    <a:noFill/>
                  </pic:spPr>
                </pic:pic>
              </a:graphicData>
            </a:graphic>
          </wp:anchor>
        </w:drawing>
        <w:drawing>
          <wp:anchor simplePos="0" relativeHeight="251657728" behindDoc="1" locked="0" layoutInCell="0" allowOverlap="1">
            <wp:simplePos x="0" y="0"/>
            <wp:positionH relativeFrom="column">
              <wp:posOffset>5664200</wp:posOffset>
            </wp:positionH>
            <wp:positionV relativeFrom="paragraph">
              <wp:posOffset>-21590</wp:posOffset>
            </wp:positionV>
            <wp:extent cx="66040"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5664200</wp:posOffset>
            </wp:positionH>
            <wp:positionV relativeFrom="paragraph">
              <wp:posOffset>-6985</wp:posOffset>
            </wp:positionV>
            <wp:extent cx="66040"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6731000</wp:posOffset>
            </wp:positionH>
            <wp:positionV relativeFrom="paragraph">
              <wp:posOffset>-21590</wp:posOffset>
            </wp:positionV>
            <wp:extent cx="58420"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8420" cy="7620"/>
                    </a:xfrm>
                    <a:prstGeom prst="rect">
                      <a:avLst/>
                    </a:prstGeom>
                    <a:noFill/>
                  </pic:spPr>
                </pic:pic>
              </a:graphicData>
            </a:graphic>
          </wp:anchor>
        </w:drawing>
        <w:drawing>
          <wp:anchor simplePos="0" relativeHeight="251657728" behindDoc="1" locked="0" layoutInCell="0" allowOverlap="1">
            <wp:simplePos x="0" y="0"/>
            <wp:positionH relativeFrom="column">
              <wp:posOffset>6731000</wp:posOffset>
            </wp:positionH>
            <wp:positionV relativeFrom="paragraph">
              <wp:posOffset>-6985</wp:posOffset>
            </wp:positionV>
            <wp:extent cx="58420"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8420" cy="7620"/>
                    </a:xfrm>
                    <a:prstGeom prst="rect">
                      <a:avLst/>
                    </a:prstGeom>
                    <a:noFill/>
                  </pic:spPr>
                </pic:pic>
              </a:graphicData>
            </a:graphic>
          </wp:anchor>
        </w:drawing>
      </w:r>
    </w:p>
    <w:p>
      <w:pPr>
        <w:spacing w:after="0" w:line="146" w:lineRule="exact"/>
        <w:rPr>
          <w:sz w:val="20"/>
          <w:szCs w:val="20"/>
          <w:color w:val="auto"/>
        </w:rPr>
      </w:pPr>
    </w:p>
    <w:p>
      <w:pPr>
        <w:ind w:firstLine="511"/>
        <w:spacing w:after="0" w:line="241" w:lineRule="auto"/>
        <w:rPr>
          <w:sz w:val="20"/>
          <w:szCs w:val="20"/>
          <w:color w:val="auto"/>
        </w:rPr>
      </w:pPr>
      <w:r>
        <w:rPr>
          <w:rFonts w:ascii="Calibri" w:cs="Calibri" w:eastAsia="Calibri" w:hAnsi="Calibri"/>
          <w:sz w:val="15"/>
          <w:szCs w:val="15"/>
          <w:color w:val="auto"/>
        </w:rPr>
        <w:t>For the years ended December 31, 2023 and 2022, our segment revenue as a percentage of total revenue and our segment income (loss) from operatons as a percentage of segment revenue are as follows (amounts in the table below may not sum due to rounding):</w:t>
      </w:r>
    </w:p>
    <w:p>
      <w:pPr>
        <w:sectPr>
          <w:pgSz w:w="11900" w:h="16838" w:orient="portrait"/>
          <w:cols w:equalWidth="0" w:num="1">
            <w:col w:w="11260"/>
          </w:cols>
          <w:pgMar w:left="320" w:top="1134" w:right="319" w:bottom="1440" w:gutter="0" w:footer="0" w:header="0"/>
        </w:sectPr>
      </w:pPr>
    </w:p>
    <w:p>
      <w:pPr>
        <w:spacing w:after="0" w:line="200" w:lineRule="exact"/>
        <w:rPr>
          <w:sz w:val="20"/>
          <w:szCs w:val="20"/>
          <w:color w:val="auto"/>
        </w:rPr>
      </w:pPr>
    </w:p>
    <w:p>
      <w:pPr>
        <w:spacing w:after="0" w:line="364" w:lineRule="exact"/>
        <w:rPr>
          <w:sz w:val="20"/>
          <w:szCs w:val="20"/>
          <w:color w:val="auto"/>
        </w:rPr>
      </w:pPr>
    </w:p>
    <w:p>
      <w:pPr>
        <w:ind w:left="560"/>
        <w:spacing w:after="0"/>
        <w:rPr>
          <w:sz w:val="20"/>
          <w:szCs w:val="20"/>
          <w:color w:val="auto"/>
        </w:rPr>
      </w:pPr>
      <w:r>
        <w:rPr>
          <w:rFonts w:ascii="Calibri" w:cs="Calibri" w:eastAsia="Calibri" w:hAnsi="Calibri"/>
          <w:sz w:val="15"/>
          <w:szCs w:val="15"/>
          <w:b w:val="1"/>
          <w:bCs w:val="1"/>
          <w:color w:val="auto"/>
        </w:rPr>
        <w:t>Segment Revenue:</w:t>
      </w:r>
    </w:p>
    <w:p>
      <w:pPr>
        <w:spacing w:after="0" w:line="24" w:lineRule="exact"/>
        <w:rPr>
          <w:sz w:val="20"/>
          <w:szCs w:val="20"/>
          <w:color w:val="auto"/>
        </w:rPr>
      </w:pPr>
    </w:p>
    <w:p>
      <w:pPr>
        <w:ind w:left="560"/>
        <w:spacing w:after="0"/>
        <w:rPr>
          <w:sz w:val="20"/>
          <w:szCs w:val="20"/>
          <w:color w:val="auto"/>
        </w:rPr>
      </w:pPr>
      <w:r>
        <w:rPr>
          <w:rFonts w:ascii="Calibri" w:cs="Calibri" w:eastAsia="Calibri" w:hAnsi="Calibri"/>
          <w:sz w:val="15"/>
          <w:szCs w:val="15"/>
          <w:color w:val="auto"/>
        </w:rPr>
        <w:t>U.S. Marketplace</w:t>
      </w:r>
    </w:p>
    <w:p>
      <w:pPr>
        <w:spacing w:after="0" w:line="24" w:lineRule="exact"/>
        <w:rPr>
          <w:sz w:val="20"/>
          <w:szCs w:val="20"/>
          <w:color w:val="auto"/>
        </w:rPr>
      </w:pPr>
    </w:p>
    <w:p>
      <w:pPr>
        <w:ind w:left="560"/>
        <w:spacing w:after="0"/>
        <w:rPr>
          <w:sz w:val="20"/>
          <w:szCs w:val="20"/>
          <w:color w:val="auto"/>
        </w:rPr>
      </w:pPr>
      <w:r>
        <w:rPr>
          <w:rFonts w:ascii="Calibri" w:cs="Calibri" w:eastAsia="Calibri" w:hAnsi="Calibri"/>
          <w:sz w:val="15"/>
          <w:szCs w:val="15"/>
          <w:color w:val="auto"/>
        </w:rPr>
        <w:t>Digital Wholesale</w:t>
      </w:r>
    </w:p>
    <w:p>
      <w:pPr>
        <w:spacing w:after="0" w:line="35" w:lineRule="exact"/>
        <w:rPr>
          <w:sz w:val="20"/>
          <w:szCs w:val="20"/>
          <w:color w:val="auto"/>
        </w:rPr>
      </w:pPr>
    </w:p>
    <w:p>
      <w:pPr>
        <w:ind w:left="560"/>
        <w:spacing w:after="0"/>
        <w:rPr>
          <w:sz w:val="20"/>
          <w:szCs w:val="20"/>
          <w:color w:val="auto"/>
        </w:rPr>
      </w:pPr>
      <w:r>
        <w:rPr>
          <w:rFonts w:ascii="Calibri" w:cs="Calibri" w:eastAsia="Calibri" w:hAnsi="Calibri"/>
          <w:sz w:val="15"/>
          <w:szCs w:val="15"/>
          <w:color w:val="auto"/>
        </w:rPr>
        <w:t>Other</w:t>
      </w:r>
    </w:p>
    <w:p>
      <w:pPr>
        <w:spacing w:after="0" w:line="59" w:lineRule="exact"/>
        <w:rPr>
          <w:sz w:val="20"/>
          <w:szCs w:val="20"/>
          <w:color w:val="auto"/>
        </w:rPr>
      </w:pPr>
    </w:p>
    <w:p>
      <w:pPr>
        <w:ind w:left="720"/>
        <w:spacing w:after="0"/>
        <w:rPr>
          <w:sz w:val="20"/>
          <w:szCs w:val="20"/>
          <w:color w:val="auto"/>
        </w:rPr>
      </w:pPr>
      <w:r>
        <w:rPr>
          <w:rFonts w:ascii="Calibri" w:cs="Calibri" w:eastAsia="Calibri" w:hAnsi="Calibri"/>
          <w:sz w:val="15"/>
          <w:szCs w:val="15"/>
          <w:color w:val="auto"/>
        </w:rPr>
        <w:t>Total</w:t>
      </w:r>
    </w:p>
    <w:p>
      <w:pPr>
        <w:spacing w:after="0" w:line="24" w:lineRule="exact"/>
        <w:rPr>
          <w:sz w:val="20"/>
          <w:szCs w:val="20"/>
          <w:color w:val="auto"/>
        </w:rPr>
      </w:pPr>
    </w:p>
    <w:p>
      <w:pPr>
        <w:ind w:left="560"/>
        <w:spacing w:after="0"/>
        <w:rPr>
          <w:sz w:val="20"/>
          <w:szCs w:val="20"/>
          <w:color w:val="auto"/>
        </w:rPr>
      </w:pPr>
      <w:r>
        <w:rPr>
          <w:rFonts w:ascii="Calibri" w:cs="Calibri" w:eastAsia="Calibri" w:hAnsi="Calibri"/>
          <w:sz w:val="15"/>
          <w:szCs w:val="15"/>
          <w:b w:val="1"/>
          <w:bCs w:val="1"/>
          <w:color w:val="auto"/>
        </w:rPr>
        <w:t>Segment Income (Loss) from Operatons:</w:t>
      </w:r>
    </w:p>
    <w:p>
      <w:pPr>
        <w:spacing w:after="0" w:line="24" w:lineRule="exact"/>
        <w:rPr>
          <w:sz w:val="20"/>
          <w:szCs w:val="20"/>
          <w:color w:val="auto"/>
        </w:rPr>
      </w:pPr>
    </w:p>
    <w:p>
      <w:pPr>
        <w:ind w:left="560"/>
        <w:spacing w:after="0"/>
        <w:rPr>
          <w:sz w:val="20"/>
          <w:szCs w:val="20"/>
          <w:color w:val="auto"/>
        </w:rPr>
      </w:pPr>
      <w:r>
        <w:rPr>
          <w:rFonts w:ascii="Calibri" w:cs="Calibri" w:eastAsia="Calibri" w:hAnsi="Calibri"/>
          <w:sz w:val="15"/>
          <w:szCs w:val="15"/>
          <w:color w:val="auto"/>
        </w:rPr>
        <w:t>U.S. Marketplace</w:t>
      </w:r>
    </w:p>
    <w:p>
      <w:pPr>
        <w:spacing w:after="0" w:line="24" w:lineRule="exact"/>
        <w:rPr>
          <w:sz w:val="20"/>
          <w:szCs w:val="20"/>
          <w:color w:val="auto"/>
        </w:rPr>
      </w:pPr>
    </w:p>
    <w:p>
      <w:pPr>
        <w:ind w:left="560"/>
        <w:spacing w:after="0"/>
        <w:rPr>
          <w:sz w:val="20"/>
          <w:szCs w:val="20"/>
          <w:color w:val="auto"/>
        </w:rPr>
      </w:pPr>
      <w:r>
        <w:rPr>
          <w:rFonts w:ascii="Calibri" w:cs="Calibri" w:eastAsia="Calibri" w:hAnsi="Calibri"/>
          <w:sz w:val="15"/>
          <w:szCs w:val="15"/>
          <w:color w:val="auto"/>
        </w:rPr>
        <w:t>Digital Wholesale</w:t>
      </w:r>
    </w:p>
    <w:p>
      <w:pPr>
        <w:spacing w:after="0" w:line="35" w:lineRule="exact"/>
        <w:rPr>
          <w:sz w:val="20"/>
          <w:szCs w:val="20"/>
          <w:color w:val="auto"/>
        </w:rPr>
      </w:pPr>
    </w:p>
    <w:p>
      <w:pPr>
        <w:ind w:left="560"/>
        <w:spacing w:after="0"/>
        <w:rPr>
          <w:sz w:val="20"/>
          <w:szCs w:val="20"/>
          <w:color w:val="auto"/>
        </w:rPr>
      </w:pPr>
      <w:r>
        <w:rPr>
          <w:rFonts w:ascii="Calibri" w:cs="Calibri" w:eastAsia="Calibri" w:hAnsi="Calibri"/>
          <w:sz w:val="15"/>
          <w:szCs w:val="15"/>
          <w:color w:val="auto"/>
        </w:rPr>
        <w:t>Other</w:t>
      </w:r>
    </w:p>
    <w:p>
      <w:pPr>
        <w:spacing w:after="0" w:line="59" w:lineRule="exact"/>
        <w:rPr>
          <w:sz w:val="20"/>
          <w:szCs w:val="20"/>
          <w:color w:val="auto"/>
        </w:rPr>
      </w:pPr>
    </w:p>
    <w:p>
      <w:pPr>
        <w:ind w:left="720"/>
        <w:spacing w:after="0"/>
        <w:rPr>
          <w:sz w:val="20"/>
          <w:szCs w:val="20"/>
          <w:color w:val="auto"/>
        </w:rPr>
      </w:pPr>
      <w:r>
        <w:rPr>
          <w:rFonts w:ascii="Calibri" w:cs="Calibri" w:eastAsia="Calibri" w:hAnsi="Calibri"/>
          <w:sz w:val="15"/>
          <w:szCs w:val="15"/>
          <w:color w:val="auto"/>
        </w:rPr>
        <w:t>Total</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900"/>
        <w:spacing w:after="0"/>
        <w:rPr>
          <w:sz w:val="20"/>
          <w:szCs w:val="20"/>
          <w:color w:val="auto"/>
        </w:rPr>
      </w:pPr>
      <w:r>
        <w:rPr>
          <w:rFonts w:ascii="Calibri" w:cs="Calibri" w:eastAsia="Calibri" w:hAnsi="Calibri"/>
          <w:sz w:val="12"/>
          <w:szCs w:val="12"/>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987550"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987550" cy="7620"/>
                    </a:xfrm>
                    <a:prstGeom prst="rect">
                      <a:avLst/>
                    </a:prstGeom>
                    <a:noFill/>
                  </pic:spPr>
                </pic:pic>
              </a:graphicData>
            </a:graphic>
          </wp:anchor>
        </w:drawing>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1440" w:type="dxa"/>
            <w:vAlign w:val="bottom"/>
          </w:tcPr>
          <w:p>
            <w:pPr>
              <w:jc w:val="right"/>
              <w:ind w:right="525"/>
              <w:spacing w:after="0"/>
              <w:rPr>
                <w:sz w:val="20"/>
                <w:szCs w:val="20"/>
                <w:color w:val="auto"/>
              </w:rPr>
            </w:pPr>
            <w:r>
              <w:rPr>
                <w:rFonts w:ascii="Calibri" w:cs="Calibri" w:eastAsia="Calibri" w:hAnsi="Calibri"/>
                <w:sz w:val="12"/>
                <w:szCs w:val="12"/>
                <w:b w:val="1"/>
                <w:bCs w:val="1"/>
                <w:color w:val="auto"/>
              </w:rPr>
              <w:t>2023</w:t>
            </w:r>
          </w:p>
        </w:tc>
        <w:tc>
          <w:tcPr>
            <w:tcW w:w="260" w:type="dxa"/>
            <w:vAlign w:val="bottom"/>
          </w:tcPr>
          <w:p>
            <w:pPr>
              <w:spacing w:after="0"/>
              <w:rPr>
                <w:sz w:val="12"/>
                <w:szCs w:val="12"/>
                <w:color w:val="auto"/>
              </w:rPr>
            </w:pPr>
          </w:p>
        </w:tc>
        <w:tc>
          <w:tcPr>
            <w:tcW w:w="1420" w:type="dxa"/>
            <w:vAlign w:val="bottom"/>
          </w:tcPr>
          <w:p>
            <w:pPr>
              <w:jc w:val="right"/>
              <w:ind w:right="505"/>
              <w:spacing w:after="0"/>
              <w:rPr>
                <w:sz w:val="20"/>
                <w:szCs w:val="20"/>
                <w:color w:val="auto"/>
              </w:rPr>
            </w:pPr>
            <w:r>
              <w:rPr>
                <w:rFonts w:ascii="Calibri" w:cs="Calibri" w:eastAsia="Calibri" w:hAnsi="Calibri"/>
                <w:sz w:val="12"/>
                <w:szCs w:val="12"/>
                <w:b w:val="1"/>
                <w:bCs w:val="1"/>
                <w:color w:val="auto"/>
              </w:rPr>
              <w:t>2022</w:t>
            </w:r>
          </w:p>
        </w:tc>
        <w:tc>
          <w:tcPr>
            <w:tcW w:w="120" w:type="dxa"/>
            <w:vAlign w:val="bottom"/>
          </w:tcPr>
          <w:p>
            <w:pPr>
              <w:spacing w:after="0"/>
              <w:rPr>
                <w:sz w:val="12"/>
                <w:szCs w:val="12"/>
                <w:color w:val="auto"/>
              </w:rPr>
            </w:pPr>
          </w:p>
        </w:tc>
      </w:tr>
      <w:tr>
        <w:trPr>
          <w:trHeight w:val="28"/>
        </w:trPr>
        <w:tc>
          <w:tcPr>
            <w:tcW w:w="14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375"/>
        </w:trPr>
        <w:tc>
          <w:tcPr>
            <w:tcW w:w="1700" w:type="dxa"/>
            <w:vAlign w:val="bottom"/>
            <w:gridSpan w:val="2"/>
          </w:tcPr>
          <w:p>
            <w:pPr>
              <w:jc w:val="right"/>
              <w:ind w:right="63"/>
              <w:spacing w:after="0"/>
              <w:rPr>
                <w:sz w:val="20"/>
                <w:szCs w:val="20"/>
                <w:color w:val="auto"/>
              </w:rPr>
            </w:pPr>
            <w:r>
              <w:rPr>
                <w:rFonts w:ascii="Calibri" w:cs="Calibri" w:eastAsia="Calibri" w:hAnsi="Calibri"/>
                <w:sz w:val="15"/>
                <w:szCs w:val="15"/>
                <w:color w:val="auto"/>
              </w:rPr>
              <w:t>71 %</w:t>
            </w:r>
          </w:p>
        </w:tc>
        <w:tc>
          <w:tcPr>
            <w:tcW w:w="1540" w:type="dxa"/>
            <w:vAlign w:val="bottom"/>
            <w:gridSpan w:val="2"/>
          </w:tcPr>
          <w:p>
            <w:pPr>
              <w:jc w:val="right"/>
              <w:spacing w:after="0"/>
              <w:rPr>
                <w:sz w:val="20"/>
                <w:szCs w:val="20"/>
                <w:color w:val="auto"/>
              </w:rPr>
            </w:pPr>
            <w:r>
              <w:rPr>
                <w:rFonts w:ascii="Calibri" w:cs="Calibri" w:eastAsia="Calibri" w:hAnsi="Calibri"/>
                <w:sz w:val="15"/>
                <w:szCs w:val="15"/>
                <w:color w:val="auto"/>
              </w:rPr>
              <w:t>37 %</w:t>
            </w:r>
          </w:p>
        </w:tc>
      </w:tr>
      <w:tr>
        <w:trPr>
          <w:trHeight w:val="207"/>
        </w:trPr>
        <w:tc>
          <w:tcPr>
            <w:tcW w:w="1440" w:type="dxa"/>
            <w:vAlign w:val="bottom"/>
          </w:tcPr>
          <w:p>
            <w:pPr>
              <w:jc w:val="right"/>
              <w:spacing w:after="0"/>
              <w:rPr>
                <w:sz w:val="20"/>
                <w:szCs w:val="20"/>
                <w:color w:val="auto"/>
              </w:rPr>
            </w:pPr>
            <w:r>
              <w:rPr>
                <w:rFonts w:ascii="Calibri" w:cs="Calibri" w:eastAsia="Calibri" w:hAnsi="Calibri"/>
                <w:sz w:val="15"/>
                <w:szCs w:val="15"/>
                <w:color w:val="auto"/>
              </w:rPr>
              <w:t>24</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Calibri" w:cs="Calibri" w:eastAsia="Calibri" w:hAnsi="Calibri"/>
                <w:sz w:val="15"/>
                <w:szCs w:val="15"/>
                <w:color w:val="auto"/>
              </w:rPr>
              <w:t>60</w:t>
            </w:r>
          </w:p>
        </w:tc>
        <w:tc>
          <w:tcPr>
            <w:tcW w:w="120" w:type="dxa"/>
            <w:vAlign w:val="bottom"/>
          </w:tcPr>
          <w:p>
            <w:pPr>
              <w:spacing w:after="0"/>
              <w:rPr>
                <w:sz w:val="18"/>
                <w:szCs w:val="18"/>
                <w:color w:val="auto"/>
              </w:rPr>
            </w:pPr>
          </w:p>
        </w:tc>
      </w:tr>
      <w:tr>
        <w:trPr>
          <w:trHeight w:val="207"/>
        </w:trPr>
        <w:tc>
          <w:tcPr>
            <w:tcW w:w="1440" w:type="dxa"/>
            <w:vAlign w:val="bottom"/>
          </w:tcPr>
          <w:p>
            <w:pPr>
              <w:jc w:val="right"/>
              <w:spacing w:after="0"/>
              <w:rPr>
                <w:sz w:val="20"/>
                <w:szCs w:val="20"/>
                <w:color w:val="auto"/>
              </w:rPr>
            </w:pPr>
            <w:r>
              <w:rPr>
                <w:rFonts w:ascii="Calibri" w:cs="Calibri" w:eastAsia="Calibri" w:hAnsi="Calibri"/>
                <w:sz w:val="15"/>
                <w:szCs w:val="15"/>
                <w:color w:val="auto"/>
              </w:rPr>
              <w:t>6</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Calibri" w:cs="Calibri" w:eastAsia="Calibri" w:hAnsi="Calibri"/>
                <w:sz w:val="15"/>
                <w:szCs w:val="15"/>
                <w:color w:val="auto"/>
              </w:rPr>
              <w:t>3</w:t>
            </w:r>
          </w:p>
        </w:tc>
        <w:tc>
          <w:tcPr>
            <w:tcW w:w="120" w:type="dxa"/>
            <w:vAlign w:val="bottom"/>
          </w:tcPr>
          <w:p>
            <w:pPr>
              <w:spacing w:after="0"/>
              <w:rPr>
                <w:sz w:val="18"/>
                <w:szCs w:val="18"/>
                <w:color w:val="auto"/>
              </w:rPr>
            </w:pPr>
          </w:p>
        </w:tc>
      </w:tr>
      <w:tr>
        <w:trPr>
          <w:trHeight w:val="31"/>
        </w:trPr>
        <w:tc>
          <w:tcPr>
            <w:tcW w:w="1700" w:type="dxa"/>
            <w:vAlign w:val="bottom"/>
            <w:gridSpan w:val="2"/>
          </w:tcPr>
          <w:p>
            <w:pPr>
              <w:spacing w:after="0"/>
              <w:rPr>
                <w:sz w:val="2"/>
                <w:szCs w:val="2"/>
                <w:color w:val="auto"/>
              </w:rPr>
            </w:pPr>
          </w:p>
        </w:tc>
        <w:tc>
          <w:tcPr>
            <w:tcW w:w="1540" w:type="dxa"/>
            <w:vAlign w:val="bottom"/>
            <w:gridSpan w:val="2"/>
          </w:tcPr>
          <w:p>
            <w:pPr>
              <w:spacing w:after="0"/>
              <w:rPr>
                <w:sz w:val="2"/>
                <w:szCs w:val="2"/>
                <w:color w:val="auto"/>
              </w:rPr>
            </w:pPr>
          </w:p>
        </w:tc>
      </w:tr>
      <w:tr>
        <w:trPr>
          <w:trHeight w:val="175"/>
        </w:trPr>
        <w:tc>
          <w:tcPr>
            <w:tcW w:w="1440" w:type="dxa"/>
            <w:vAlign w:val="bottom"/>
            <w:tcBorders>
              <w:top w:val="single" w:sz="8" w:color="auto"/>
            </w:tcBorders>
          </w:tcPr>
          <w:p>
            <w:pPr>
              <w:jc w:val="right"/>
              <w:spacing w:after="0" w:line="174" w:lineRule="exact"/>
              <w:rPr>
                <w:sz w:val="20"/>
                <w:szCs w:val="20"/>
                <w:color w:val="auto"/>
              </w:rPr>
            </w:pPr>
            <w:r>
              <w:rPr>
                <w:rFonts w:ascii="Calibri" w:cs="Calibri" w:eastAsia="Calibri" w:hAnsi="Calibri"/>
                <w:sz w:val="15"/>
                <w:szCs w:val="15"/>
                <w:color w:val="auto"/>
              </w:rPr>
              <w:t>100</w:t>
            </w:r>
          </w:p>
        </w:tc>
        <w:tc>
          <w:tcPr>
            <w:tcW w:w="260" w:type="dxa"/>
            <w:vAlign w:val="bottom"/>
          </w:tcPr>
          <w:p>
            <w:pPr>
              <w:jc w:val="right"/>
              <w:ind w:right="63"/>
              <w:spacing w:after="0" w:line="168" w:lineRule="exact"/>
              <w:rPr>
                <w:sz w:val="20"/>
                <w:szCs w:val="20"/>
                <w:color w:val="auto"/>
              </w:rPr>
            </w:pPr>
            <w:r>
              <w:rPr>
                <w:rFonts w:ascii="Calibri" w:cs="Calibri" w:eastAsia="Calibri" w:hAnsi="Calibri"/>
                <w:sz w:val="15"/>
                <w:szCs w:val="15"/>
                <w:color w:val="auto"/>
                <w:w w:val="92"/>
              </w:rPr>
              <w:t>%</w:t>
            </w:r>
          </w:p>
        </w:tc>
        <w:tc>
          <w:tcPr>
            <w:tcW w:w="1420" w:type="dxa"/>
            <w:vAlign w:val="bottom"/>
            <w:tcBorders>
              <w:top w:val="single" w:sz="8" w:color="auto"/>
            </w:tcBorders>
          </w:tcPr>
          <w:p>
            <w:pPr>
              <w:jc w:val="right"/>
              <w:spacing w:after="0" w:line="174" w:lineRule="exact"/>
              <w:rPr>
                <w:sz w:val="20"/>
                <w:szCs w:val="20"/>
                <w:color w:val="auto"/>
              </w:rPr>
            </w:pPr>
            <w:r>
              <w:rPr>
                <w:rFonts w:ascii="Calibri" w:cs="Calibri" w:eastAsia="Calibri" w:hAnsi="Calibri"/>
                <w:sz w:val="15"/>
                <w:szCs w:val="15"/>
                <w:color w:val="auto"/>
              </w:rPr>
              <w:t>100</w:t>
            </w:r>
          </w:p>
        </w:tc>
        <w:tc>
          <w:tcPr>
            <w:tcW w:w="120" w:type="dxa"/>
            <w:vAlign w:val="bottom"/>
          </w:tcPr>
          <w:p>
            <w:pPr>
              <w:jc w:val="right"/>
              <w:spacing w:after="0" w:line="168" w:lineRule="exact"/>
              <w:rPr>
                <w:sz w:val="20"/>
                <w:szCs w:val="20"/>
                <w:color w:val="auto"/>
              </w:rPr>
            </w:pPr>
            <w:r>
              <w:rPr>
                <w:rFonts w:ascii="Calibri" w:cs="Calibri" w:eastAsia="Calibri" w:hAnsi="Calibri"/>
                <w:sz w:val="15"/>
                <w:szCs w:val="15"/>
                <w:color w:val="auto"/>
                <w:w w:val="92"/>
              </w:rPr>
              <w:t>%</w:t>
            </w:r>
          </w:p>
        </w:tc>
      </w:tr>
      <w:tr>
        <w:trPr>
          <w:trHeight w:val="24"/>
        </w:trPr>
        <w:tc>
          <w:tcPr>
            <w:tcW w:w="14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0"/>
        </w:trPr>
        <w:tc>
          <w:tcPr>
            <w:tcW w:w="1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8"/>
        </w:trPr>
        <w:tc>
          <w:tcPr>
            <w:tcW w:w="1700" w:type="dxa"/>
            <w:vAlign w:val="bottom"/>
            <w:gridSpan w:val="2"/>
          </w:tcPr>
          <w:p>
            <w:pPr>
              <w:jc w:val="right"/>
              <w:ind w:right="63"/>
              <w:spacing w:after="0"/>
              <w:rPr>
                <w:sz w:val="20"/>
                <w:szCs w:val="20"/>
                <w:color w:val="auto"/>
              </w:rPr>
            </w:pPr>
            <w:r>
              <w:rPr>
                <w:rFonts w:ascii="Calibri" w:cs="Calibri" w:eastAsia="Calibri" w:hAnsi="Calibri"/>
                <w:sz w:val="15"/>
                <w:szCs w:val="15"/>
                <w:color w:val="auto"/>
              </w:rPr>
              <w:t>20 %</w:t>
            </w:r>
          </w:p>
        </w:tc>
        <w:tc>
          <w:tcPr>
            <w:tcW w:w="1540" w:type="dxa"/>
            <w:vAlign w:val="bottom"/>
            <w:gridSpan w:val="2"/>
          </w:tcPr>
          <w:p>
            <w:pPr>
              <w:jc w:val="right"/>
              <w:spacing w:after="0"/>
              <w:rPr>
                <w:sz w:val="20"/>
                <w:szCs w:val="20"/>
                <w:color w:val="auto"/>
              </w:rPr>
            </w:pPr>
            <w:r>
              <w:rPr>
                <w:rFonts w:ascii="Calibri" w:cs="Calibri" w:eastAsia="Calibri" w:hAnsi="Calibri"/>
                <w:sz w:val="15"/>
                <w:szCs w:val="15"/>
                <w:color w:val="auto"/>
              </w:rPr>
              <w:t>21 %</w:t>
            </w:r>
          </w:p>
        </w:tc>
      </w:tr>
      <w:tr>
        <w:trPr>
          <w:trHeight w:val="207"/>
        </w:trPr>
        <w:tc>
          <w:tcPr>
            <w:tcW w:w="1700" w:type="dxa"/>
            <w:vAlign w:val="bottom"/>
            <w:gridSpan w:val="2"/>
          </w:tcPr>
          <w:p>
            <w:pPr>
              <w:jc w:val="right"/>
              <w:ind w:right="123"/>
              <w:spacing w:after="0"/>
              <w:rPr>
                <w:sz w:val="20"/>
                <w:szCs w:val="20"/>
                <w:color w:val="auto"/>
              </w:rPr>
            </w:pPr>
            <w:r>
              <w:rPr>
                <w:rFonts w:ascii="Calibri" w:cs="Calibri" w:eastAsia="Calibri" w:hAnsi="Calibri"/>
                <w:sz w:val="15"/>
                <w:szCs w:val="15"/>
                <w:color w:val="auto"/>
              </w:rPr>
              <w:t>(45 )</w:t>
            </w:r>
          </w:p>
        </w:tc>
        <w:tc>
          <w:tcPr>
            <w:tcW w:w="1540" w:type="dxa"/>
            <w:vAlign w:val="bottom"/>
            <w:gridSpan w:val="2"/>
          </w:tcPr>
          <w:p>
            <w:pPr>
              <w:jc w:val="right"/>
              <w:spacing w:after="0"/>
              <w:rPr>
                <w:sz w:val="20"/>
                <w:szCs w:val="20"/>
                <w:color w:val="auto"/>
              </w:rPr>
            </w:pPr>
            <w:r>
              <w:rPr>
                <w:rFonts w:ascii="Calibri" w:cs="Calibri" w:eastAsia="Calibri" w:hAnsi="Calibri"/>
                <w:sz w:val="15"/>
                <w:szCs w:val="15"/>
                <w:color w:val="auto"/>
              </w:rPr>
              <w:t>(1 )</w:t>
            </w:r>
          </w:p>
        </w:tc>
      </w:tr>
      <w:tr>
        <w:trPr>
          <w:trHeight w:val="207"/>
        </w:trPr>
        <w:tc>
          <w:tcPr>
            <w:tcW w:w="1440" w:type="dxa"/>
            <w:vAlign w:val="bottom"/>
          </w:tcPr>
          <w:p>
            <w:pPr>
              <w:jc w:val="right"/>
              <w:spacing w:after="0"/>
              <w:rPr>
                <w:sz w:val="20"/>
                <w:szCs w:val="20"/>
                <w:color w:val="auto"/>
              </w:rPr>
            </w:pPr>
            <w:r>
              <w:rPr>
                <w:rFonts w:ascii="Calibri" w:cs="Calibri" w:eastAsia="Calibri" w:hAnsi="Calibri"/>
                <w:sz w:val="15"/>
                <w:szCs w:val="15"/>
                <w:color w:val="auto"/>
              </w:rPr>
              <w:t>3</w:t>
            </w:r>
          </w:p>
        </w:tc>
        <w:tc>
          <w:tcPr>
            <w:tcW w:w="26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Calibri" w:cs="Calibri" w:eastAsia="Calibri" w:hAnsi="Calibri"/>
                <w:sz w:val="15"/>
                <w:szCs w:val="15"/>
                <w:color w:val="auto"/>
              </w:rPr>
              <w:t>(18 )</w:t>
            </w:r>
          </w:p>
        </w:tc>
      </w:tr>
      <w:tr>
        <w:trPr>
          <w:trHeight w:val="31"/>
        </w:trPr>
        <w:tc>
          <w:tcPr>
            <w:tcW w:w="1700" w:type="dxa"/>
            <w:vAlign w:val="bottom"/>
            <w:gridSpan w:val="2"/>
          </w:tcPr>
          <w:p>
            <w:pPr>
              <w:spacing w:after="0"/>
              <w:rPr>
                <w:sz w:val="2"/>
                <w:szCs w:val="2"/>
                <w:color w:val="auto"/>
              </w:rPr>
            </w:pPr>
          </w:p>
        </w:tc>
        <w:tc>
          <w:tcPr>
            <w:tcW w:w="1540" w:type="dxa"/>
            <w:vAlign w:val="bottom"/>
            <w:gridSpan w:val="2"/>
          </w:tcPr>
          <w:p>
            <w:pPr>
              <w:spacing w:after="0"/>
              <w:rPr>
                <w:sz w:val="2"/>
                <w:szCs w:val="2"/>
                <w:color w:val="auto"/>
              </w:rPr>
            </w:pPr>
          </w:p>
        </w:tc>
      </w:tr>
      <w:tr>
        <w:trPr>
          <w:trHeight w:val="175"/>
        </w:trPr>
        <w:tc>
          <w:tcPr>
            <w:tcW w:w="1440" w:type="dxa"/>
            <w:vAlign w:val="bottom"/>
            <w:tcBorders>
              <w:top w:val="single" w:sz="8" w:color="auto"/>
            </w:tcBorders>
          </w:tcPr>
          <w:p>
            <w:pPr>
              <w:jc w:val="right"/>
              <w:spacing w:after="0" w:line="174" w:lineRule="exact"/>
              <w:rPr>
                <w:sz w:val="20"/>
                <w:szCs w:val="20"/>
                <w:color w:val="auto"/>
              </w:rPr>
            </w:pPr>
            <w:r>
              <w:rPr>
                <w:rFonts w:ascii="Calibri" w:cs="Calibri" w:eastAsia="Calibri" w:hAnsi="Calibri"/>
                <w:sz w:val="15"/>
                <w:szCs w:val="15"/>
                <w:color w:val="auto"/>
              </w:rPr>
              <w:t>4</w:t>
            </w:r>
          </w:p>
        </w:tc>
        <w:tc>
          <w:tcPr>
            <w:tcW w:w="260" w:type="dxa"/>
            <w:vAlign w:val="bottom"/>
          </w:tcPr>
          <w:p>
            <w:pPr>
              <w:jc w:val="right"/>
              <w:ind w:right="63"/>
              <w:spacing w:after="0" w:line="168" w:lineRule="exact"/>
              <w:rPr>
                <w:sz w:val="20"/>
                <w:szCs w:val="20"/>
                <w:color w:val="auto"/>
              </w:rPr>
            </w:pPr>
            <w:r>
              <w:rPr>
                <w:rFonts w:ascii="Calibri" w:cs="Calibri" w:eastAsia="Calibri" w:hAnsi="Calibri"/>
                <w:sz w:val="15"/>
                <w:szCs w:val="15"/>
                <w:color w:val="auto"/>
                <w:w w:val="92"/>
              </w:rPr>
              <w:t>%</w:t>
            </w:r>
          </w:p>
        </w:tc>
        <w:tc>
          <w:tcPr>
            <w:tcW w:w="1420" w:type="dxa"/>
            <w:vAlign w:val="bottom"/>
            <w:tcBorders>
              <w:top w:val="single" w:sz="8" w:color="auto"/>
            </w:tcBorders>
          </w:tcPr>
          <w:p>
            <w:pPr>
              <w:jc w:val="right"/>
              <w:spacing w:after="0" w:line="174" w:lineRule="exact"/>
              <w:rPr>
                <w:sz w:val="20"/>
                <w:szCs w:val="20"/>
                <w:color w:val="auto"/>
              </w:rPr>
            </w:pPr>
            <w:r>
              <w:rPr>
                <w:rFonts w:ascii="Calibri" w:cs="Calibri" w:eastAsia="Calibri" w:hAnsi="Calibri"/>
                <w:sz w:val="15"/>
                <w:szCs w:val="15"/>
                <w:color w:val="auto"/>
              </w:rPr>
              <w:t>7</w:t>
            </w:r>
          </w:p>
        </w:tc>
        <w:tc>
          <w:tcPr>
            <w:tcW w:w="120" w:type="dxa"/>
            <w:vAlign w:val="bottom"/>
          </w:tcPr>
          <w:p>
            <w:pPr>
              <w:jc w:val="right"/>
              <w:spacing w:after="0" w:line="168" w:lineRule="exact"/>
              <w:rPr>
                <w:sz w:val="20"/>
                <w:szCs w:val="20"/>
                <w:color w:val="auto"/>
              </w:rPr>
            </w:pPr>
            <w:r>
              <w:rPr>
                <w:rFonts w:ascii="Calibri" w:cs="Calibri" w:eastAsia="Calibri" w:hAnsi="Calibri"/>
                <w:sz w:val="15"/>
                <w:szCs w:val="15"/>
                <w:color w:val="auto"/>
                <w:w w:val="92"/>
              </w:rPr>
              <w:t>%</w:t>
            </w:r>
          </w:p>
        </w:tc>
      </w:tr>
      <w:tr>
        <w:trPr>
          <w:trHeight w:val="24"/>
        </w:trPr>
        <w:tc>
          <w:tcPr>
            <w:tcW w:w="14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0"/>
        </w:trPr>
        <w:tc>
          <w:tcPr>
            <w:tcW w:w="1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-4396105</wp:posOffset>
            </wp:positionH>
            <wp:positionV relativeFrom="paragraph">
              <wp:posOffset>-1372870</wp:posOffset>
            </wp:positionV>
            <wp:extent cx="6436360" cy="1314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436360" cy="131445"/>
                    </a:xfrm>
                    <a:prstGeom prst="rect">
                      <a:avLst/>
                    </a:prstGeom>
                    <a:noFill/>
                  </pic:spPr>
                </pic:pic>
              </a:graphicData>
            </a:graphic>
          </wp:anchor>
        </w:drawing>
        <w:drawing>
          <wp:anchor simplePos="0" relativeHeight="251657728" behindDoc="1" locked="0" layoutInCell="0" allowOverlap="1">
            <wp:simplePos x="0" y="0"/>
            <wp:positionH relativeFrom="column">
              <wp:posOffset>-4396105</wp:posOffset>
            </wp:positionH>
            <wp:positionV relativeFrom="paragraph">
              <wp:posOffset>-1109980</wp:posOffset>
            </wp:positionV>
            <wp:extent cx="6436360" cy="1314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436360" cy="131445"/>
                    </a:xfrm>
                    <a:prstGeom prst="rect">
                      <a:avLst/>
                    </a:prstGeom>
                    <a:noFill/>
                  </pic:spPr>
                </pic:pic>
              </a:graphicData>
            </a:graphic>
          </wp:anchor>
        </w:drawing>
        <w:drawing>
          <wp:anchor simplePos="0" relativeHeight="251657728" behindDoc="1" locked="0" layoutInCell="0" allowOverlap="1">
            <wp:simplePos x="0" y="0"/>
            <wp:positionH relativeFrom="column">
              <wp:posOffset>-4396105</wp:posOffset>
            </wp:positionH>
            <wp:positionV relativeFrom="paragraph">
              <wp:posOffset>-554355</wp:posOffset>
            </wp:positionV>
            <wp:extent cx="6436360" cy="1314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436360" cy="131445"/>
                    </a:xfrm>
                    <a:prstGeom prst="rect">
                      <a:avLst/>
                    </a:prstGeom>
                    <a:noFill/>
                  </pic:spPr>
                </pic:pic>
              </a:graphicData>
            </a:graphic>
          </wp:anchor>
        </w:drawing>
        <w:drawing>
          <wp:anchor simplePos="0" relativeHeight="251657728" behindDoc="1" locked="0" layoutInCell="0" allowOverlap="1">
            <wp:simplePos x="0" y="0"/>
            <wp:positionH relativeFrom="column">
              <wp:posOffset>-4396105</wp:posOffset>
            </wp:positionH>
            <wp:positionV relativeFrom="paragraph">
              <wp:posOffset>-839470</wp:posOffset>
            </wp:positionV>
            <wp:extent cx="6436360" cy="1536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436360" cy="153670"/>
                    </a:xfrm>
                    <a:prstGeom prst="rect">
                      <a:avLst/>
                    </a:prstGeom>
                    <a:noFill/>
                  </pic:spPr>
                </pic:pic>
              </a:graphicData>
            </a:graphic>
          </wp:anchor>
        </w:drawing>
        <w:drawing>
          <wp:anchor simplePos="0" relativeHeight="251657728" behindDoc="1" locked="0" layoutInCell="0" allowOverlap="1">
            <wp:simplePos x="0" y="0"/>
            <wp:positionH relativeFrom="column">
              <wp:posOffset>-4396105</wp:posOffset>
            </wp:positionH>
            <wp:positionV relativeFrom="paragraph">
              <wp:posOffset>-291465</wp:posOffset>
            </wp:positionV>
            <wp:extent cx="6436360" cy="1390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436360" cy="1390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760" w:space="720"/>
            <w:col w:w="3780"/>
          </w:cols>
          <w:pgMar w:left="320" w:top="1134" w:right="319" w:bottom="1440" w:gutter="0" w:footer="0" w:header="0"/>
          <w:type w:val="continuous"/>
        </w:sectPr>
      </w:pPr>
    </w:p>
    <w:p>
      <w:pPr>
        <w:spacing w:after="0" w:line="150" w:lineRule="exact"/>
        <w:rPr>
          <w:sz w:val="20"/>
          <w:szCs w:val="20"/>
          <w:color w:val="auto"/>
        </w:rPr>
      </w:pPr>
    </w:p>
    <w:p>
      <w:pPr>
        <w:jc w:val="center"/>
        <w:ind w:right="20"/>
        <w:spacing w:after="0"/>
        <w:rPr>
          <w:sz w:val="20"/>
          <w:szCs w:val="20"/>
          <w:color w:val="auto"/>
        </w:rPr>
      </w:pPr>
      <w:r>
        <w:rPr>
          <w:rFonts w:ascii="Calibri" w:cs="Calibri" w:eastAsia="Calibri" w:hAnsi="Calibri"/>
          <w:sz w:val="15"/>
          <w:szCs w:val="15"/>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408940</wp:posOffset>
            </wp:positionV>
            <wp:extent cx="7178040" cy="400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4" w:right="319" w:bottom="1440" w:gutter="0" w:footer="0" w:header="0"/>
          <w:type w:val="continuous"/>
        </w:sectPr>
      </w:pPr>
    </w:p>
    <w:bookmarkStart w:id="61" w:name="page62"/>
    <w:bookmarkEnd w:id="61"/>
    <w:p>
      <w:pPr>
        <w:spacing w:after="0"/>
        <w:rPr>
          <w:sz w:val="20"/>
          <w:szCs w:val="20"/>
          <w:color w:val="auto"/>
        </w:rPr>
      </w:pPr>
      <w:r>
        <w:rPr>
          <w:rFonts w:ascii="Calibri" w:cs="Calibri" w:eastAsia="Calibri" w:hAnsi="Calibri"/>
          <w:sz w:val="15"/>
          <w:szCs w:val="15"/>
          <w:b w:val="1"/>
          <w:bCs w:val="1"/>
          <w:color w:val="auto"/>
        </w:rPr>
        <w:t>Year Ended December 31, 2023 Compared to Year Ended December 31, 2022</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b w:val="1"/>
          <w:bCs w:val="1"/>
          <w:i w:val="1"/>
          <w:iCs w:val="1"/>
          <w:color w:val="auto"/>
        </w:rPr>
        <w:t>Revenue</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i w:val="1"/>
          <w:iCs w:val="1"/>
          <w:color w:val="auto"/>
        </w:rPr>
        <w:t>Revenue by Source</w:t>
      </w:r>
    </w:p>
    <w:p>
      <w:pPr>
        <w:spacing w:after="0" w:line="202" w:lineRule="exact"/>
        <w:rPr>
          <w:sz w:val="20"/>
          <w:szCs w:val="20"/>
          <w:color w:val="auto"/>
        </w:rPr>
      </w:pPr>
    </w:p>
    <w:tbl>
      <w:tblPr>
        <w:tblLayout w:type="fixed"/>
        <w:tblInd w:w="560" w:type="dxa"/>
        <w:tblCellMar>
          <w:top w:w="0" w:type="dxa"/>
          <w:left w:w="0" w:type="dxa"/>
          <w:bottom w:w="0" w:type="dxa"/>
          <w:right w:w="0" w:type="dxa"/>
        </w:tblCellMar>
      </w:tblPr>
      <w:tr>
        <w:trPr>
          <w:trHeight w:val="146"/>
        </w:trPr>
        <w:tc>
          <w:tcPr>
            <w:tcW w:w="5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340" w:type="dxa"/>
            <w:vAlign w:val="bottom"/>
            <w:gridSpan w:val="5"/>
          </w:tcPr>
          <w:p>
            <w:pPr>
              <w:jc w:val="right"/>
              <w:ind w:right="699"/>
              <w:spacing w:after="0"/>
              <w:rPr>
                <w:sz w:val="20"/>
                <w:szCs w:val="20"/>
                <w:color w:val="auto"/>
              </w:rPr>
            </w:pPr>
            <w:r>
              <w:rPr>
                <w:rFonts w:ascii="Calibri" w:cs="Calibri" w:eastAsia="Calibri" w:hAnsi="Calibri"/>
                <w:sz w:val="12"/>
                <w:szCs w:val="12"/>
                <w:b w:val="1"/>
                <w:bCs w:val="1"/>
                <w:color w:val="auto"/>
              </w:rPr>
              <w:t>Year Ended December 31,</w:t>
            </w:r>
          </w:p>
        </w:tc>
        <w:tc>
          <w:tcPr>
            <w:tcW w:w="200" w:type="dxa"/>
            <w:vAlign w:val="bottom"/>
          </w:tcPr>
          <w:p>
            <w:pPr>
              <w:spacing w:after="0"/>
              <w:rPr>
                <w:sz w:val="12"/>
                <w:szCs w:val="12"/>
                <w:color w:val="auto"/>
              </w:rPr>
            </w:pPr>
          </w:p>
        </w:tc>
        <w:tc>
          <w:tcPr>
            <w:tcW w:w="1300" w:type="dxa"/>
            <w:vAlign w:val="bottom"/>
            <w:gridSpan w:val="3"/>
          </w:tcPr>
          <w:p>
            <w:pPr>
              <w:ind w:left="760"/>
              <w:spacing w:after="0"/>
              <w:rPr>
                <w:sz w:val="20"/>
                <w:szCs w:val="20"/>
                <w:color w:val="auto"/>
              </w:rPr>
            </w:pPr>
            <w:r>
              <w:rPr>
                <w:rFonts w:ascii="Calibri" w:cs="Calibri" w:eastAsia="Calibri" w:hAnsi="Calibri"/>
                <w:sz w:val="12"/>
                <w:szCs w:val="12"/>
                <w:b w:val="1"/>
                <w:bCs w:val="1"/>
                <w:color w:val="auto"/>
              </w:rPr>
              <w:t>Change</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5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jc w:val="right"/>
              <w:ind w:right="346"/>
              <w:spacing w:after="0" w:line="138" w:lineRule="exact"/>
              <w:rPr>
                <w:sz w:val="20"/>
                <w:szCs w:val="20"/>
                <w:color w:val="auto"/>
              </w:rPr>
            </w:pPr>
            <w:r>
              <w:rPr>
                <w:rFonts w:ascii="Calibri" w:cs="Calibri" w:eastAsia="Calibri" w:hAnsi="Calibri"/>
                <w:sz w:val="12"/>
                <w:szCs w:val="12"/>
                <w:b w:val="1"/>
                <w:bCs w:val="1"/>
                <w:color w:val="auto"/>
              </w:rPr>
              <w:t>2023</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jc w:val="right"/>
              <w:ind w:right="346"/>
              <w:spacing w:after="0" w:line="138" w:lineRule="exact"/>
              <w:rPr>
                <w:sz w:val="20"/>
                <w:szCs w:val="20"/>
                <w:color w:val="auto"/>
              </w:rPr>
            </w:pPr>
            <w:r>
              <w:rPr>
                <w:rFonts w:ascii="Calibri" w:cs="Calibri" w:eastAsia="Calibri" w:hAnsi="Calibri"/>
                <w:sz w:val="12"/>
                <w:szCs w:val="12"/>
                <w:b w:val="1"/>
                <w:bCs w:val="1"/>
                <w:color w:val="auto"/>
              </w:rPr>
              <w:t>2022</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gridSpan w:val="3"/>
          </w:tcPr>
          <w:p>
            <w:pPr>
              <w:ind w:left="100"/>
              <w:spacing w:after="0" w:line="138" w:lineRule="exact"/>
              <w:rPr>
                <w:sz w:val="20"/>
                <w:szCs w:val="20"/>
                <w:color w:val="auto"/>
              </w:rPr>
            </w:pPr>
            <w:r>
              <w:rPr>
                <w:rFonts w:ascii="Calibri" w:cs="Calibri" w:eastAsia="Calibri" w:hAnsi="Calibri"/>
                <w:sz w:val="12"/>
                <w:szCs w:val="12"/>
                <w:b w:val="1"/>
                <w:bCs w:val="1"/>
                <w:color w:val="auto"/>
              </w:rPr>
              <w:t>Amount</w:t>
            </w:r>
          </w:p>
        </w:tc>
        <w:tc>
          <w:tcPr>
            <w:tcW w:w="780" w:type="dxa"/>
            <w:vAlign w:val="bottom"/>
          </w:tcPr>
          <w:p>
            <w:pPr>
              <w:jc w:val="right"/>
              <w:ind w:right="426"/>
              <w:spacing w:after="0" w:line="138" w:lineRule="exact"/>
              <w:rPr>
                <w:sz w:val="20"/>
                <w:szCs w:val="20"/>
                <w:color w:val="auto"/>
              </w:rPr>
            </w:pPr>
            <w:r>
              <w:rPr>
                <w:rFonts w:ascii="Calibri" w:cs="Calibri" w:eastAsia="Calibri" w:hAnsi="Calibri"/>
                <w:sz w:val="12"/>
                <w:szCs w:val="12"/>
                <w:b w:val="1"/>
                <w:bCs w:val="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5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jc w:val="right"/>
              <w:spacing w:after="0" w:line="138" w:lineRule="exact"/>
              <w:rPr>
                <w:sz w:val="20"/>
                <w:szCs w:val="20"/>
                <w:color w:val="auto"/>
              </w:rPr>
            </w:pPr>
            <w:r>
              <w:rPr>
                <w:rFonts w:ascii="Calibri" w:cs="Calibri" w:eastAsia="Calibri" w:hAnsi="Calibri"/>
                <w:sz w:val="12"/>
                <w:szCs w:val="12"/>
                <w:b w:val="1"/>
                <w:bCs w:val="1"/>
                <w:color w:val="auto"/>
              </w:rPr>
              <w:t>(dollars in</w:t>
            </w:r>
          </w:p>
        </w:tc>
        <w:tc>
          <w:tcPr>
            <w:tcW w:w="1220" w:type="dxa"/>
            <w:vAlign w:val="bottom"/>
            <w:gridSpan w:val="3"/>
          </w:tcPr>
          <w:p>
            <w:pPr>
              <w:jc w:val="right"/>
              <w:ind w:right="528"/>
              <w:spacing w:after="0" w:line="138" w:lineRule="exact"/>
              <w:rPr>
                <w:sz w:val="20"/>
                <w:szCs w:val="20"/>
                <w:color w:val="auto"/>
              </w:rPr>
            </w:pPr>
            <w:r>
              <w:rPr>
                <w:rFonts w:ascii="Calibri" w:cs="Calibri" w:eastAsia="Calibri" w:hAnsi="Calibri"/>
                <w:sz w:val="12"/>
                <w:szCs w:val="12"/>
                <w:b w:val="1"/>
                <w:bCs w:val="1"/>
                <w:color w:val="auto"/>
              </w:rPr>
              <w:t>thousands)</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516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5"/>
                <w:szCs w:val="15"/>
                <w:b w:val="1"/>
                <w:bCs w:val="1"/>
                <w:color w:val="auto"/>
              </w:rPr>
              <w:t>Revenue:</w:t>
            </w:r>
          </w:p>
        </w:tc>
        <w:tc>
          <w:tcPr>
            <w:tcW w:w="260" w:type="dxa"/>
            <w:vAlign w:val="bottom"/>
            <w:tcBorders>
              <w:bottom w:val="single" w:sz="8" w:color="CFF0FC"/>
            </w:tcBorders>
            <w:shd w:val="clear" w:color="auto" w:fill="CFF0FC"/>
          </w:tcPr>
          <w:p>
            <w:pPr>
              <w:spacing w:after="0"/>
              <w:rPr>
                <w:sz w:val="16"/>
                <w:szCs w:val="16"/>
                <w:color w:val="auto"/>
              </w:rPr>
            </w:pPr>
          </w:p>
        </w:tc>
        <w:tc>
          <w:tcPr>
            <w:tcW w:w="82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82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CFF0FC"/>
            </w:tcBorders>
            <w:shd w:val="clear" w:color="auto" w:fill="CFF0FC"/>
          </w:tcPr>
          <w:p>
            <w:pPr>
              <w:spacing w:after="0"/>
              <w:rPr>
                <w:sz w:val="16"/>
                <w:szCs w:val="16"/>
                <w:color w:val="auto"/>
              </w:rPr>
            </w:pPr>
          </w:p>
        </w:tc>
        <w:tc>
          <w:tcPr>
            <w:tcW w:w="7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160" w:type="dxa"/>
            <w:vAlign w:val="bottom"/>
          </w:tcPr>
          <w:p>
            <w:pPr>
              <w:spacing w:after="0"/>
              <w:rPr>
                <w:sz w:val="20"/>
                <w:szCs w:val="20"/>
                <w:color w:val="auto"/>
              </w:rPr>
            </w:pPr>
            <w:r>
              <w:rPr>
                <w:rFonts w:ascii="Calibri" w:cs="Calibri" w:eastAsia="Calibri" w:hAnsi="Calibri"/>
                <w:sz w:val="15"/>
                <w:szCs w:val="15"/>
                <w:color w:val="auto"/>
              </w:rPr>
              <w:t>Marketplace</w:t>
            </w:r>
          </w:p>
        </w:tc>
        <w:tc>
          <w:tcPr>
            <w:tcW w:w="260" w:type="dxa"/>
            <w:vAlign w:val="bottom"/>
          </w:tcPr>
          <w:p>
            <w:pPr>
              <w:jc w:val="right"/>
              <w:ind w:right="83"/>
              <w:spacing w:after="0"/>
              <w:rPr>
                <w:sz w:val="20"/>
                <w:szCs w:val="20"/>
                <w:color w:val="auto"/>
              </w:rPr>
            </w:pPr>
            <w:r>
              <w:rPr>
                <w:rFonts w:ascii="Calibri" w:cs="Calibri" w:eastAsia="Calibri" w:hAnsi="Calibri"/>
                <w:sz w:val="15"/>
                <w:szCs w:val="15"/>
                <w:color w:val="auto"/>
              </w:rPr>
              <w:t>$</w:t>
            </w:r>
          </w:p>
        </w:tc>
        <w:tc>
          <w:tcPr>
            <w:tcW w:w="820" w:type="dxa"/>
            <w:vAlign w:val="bottom"/>
          </w:tcPr>
          <w:p>
            <w:pPr>
              <w:jc w:val="right"/>
              <w:spacing w:after="0"/>
              <w:rPr>
                <w:sz w:val="20"/>
                <w:szCs w:val="20"/>
                <w:color w:val="auto"/>
              </w:rPr>
            </w:pPr>
            <w:r>
              <w:rPr>
                <w:rFonts w:ascii="Calibri" w:cs="Calibri" w:eastAsia="Calibri" w:hAnsi="Calibri"/>
                <w:sz w:val="15"/>
                <w:szCs w:val="15"/>
                <w:color w:val="auto"/>
              </w:rPr>
              <w:t>698,236</w:t>
            </w:r>
          </w:p>
        </w:tc>
        <w:tc>
          <w:tcPr>
            <w:tcW w:w="220" w:type="dxa"/>
            <w:vAlign w:val="bottom"/>
          </w:tcPr>
          <w:p>
            <w:pPr>
              <w:spacing w:after="0"/>
              <w:rPr>
                <w:sz w:val="15"/>
                <w:szCs w:val="15"/>
                <w:color w:val="auto"/>
              </w:rPr>
            </w:pPr>
          </w:p>
        </w:tc>
        <w:tc>
          <w:tcPr>
            <w:tcW w:w="260" w:type="dxa"/>
            <w:vAlign w:val="bottom"/>
          </w:tcPr>
          <w:p>
            <w:pPr>
              <w:jc w:val="right"/>
              <w:ind w:right="83"/>
              <w:spacing w:after="0"/>
              <w:rPr>
                <w:sz w:val="20"/>
                <w:szCs w:val="20"/>
                <w:color w:val="auto"/>
              </w:rPr>
            </w:pPr>
            <w:r>
              <w:rPr>
                <w:rFonts w:ascii="Calibri" w:cs="Calibri" w:eastAsia="Calibri" w:hAnsi="Calibri"/>
                <w:sz w:val="15"/>
                <w:szCs w:val="15"/>
                <w:color w:val="auto"/>
              </w:rPr>
              <w:t>$</w:t>
            </w:r>
          </w:p>
        </w:tc>
        <w:tc>
          <w:tcPr>
            <w:tcW w:w="820" w:type="dxa"/>
            <w:vAlign w:val="bottom"/>
          </w:tcPr>
          <w:p>
            <w:pPr>
              <w:jc w:val="right"/>
              <w:spacing w:after="0"/>
              <w:rPr>
                <w:sz w:val="20"/>
                <w:szCs w:val="20"/>
                <w:color w:val="auto"/>
              </w:rPr>
            </w:pPr>
            <w:r>
              <w:rPr>
                <w:rFonts w:ascii="Calibri" w:cs="Calibri" w:eastAsia="Calibri" w:hAnsi="Calibri"/>
                <w:sz w:val="15"/>
                <w:szCs w:val="15"/>
                <w:color w:val="auto"/>
              </w:rPr>
              <w:t>658,771</w:t>
            </w:r>
          </w:p>
        </w:tc>
        <w:tc>
          <w:tcPr>
            <w:tcW w:w="220" w:type="dxa"/>
            <w:vAlign w:val="bottom"/>
          </w:tcPr>
          <w:p>
            <w:pPr>
              <w:spacing w:after="0"/>
              <w:rPr>
                <w:sz w:val="15"/>
                <w:szCs w:val="15"/>
                <w:color w:val="auto"/>
              </w:rPr>
            </w:pPr>
          </w:p>
        </w:tc>
        <w:tc>
          <w:tcPr>
            <w:tcW w:w="200" w:type="dxa"/>
            <w:vAlign w:val="bottom"/>
          </w:tcPr>
          <w:p>
            <w:pPr>
              <w:jc w:val="right"/>
              <w:ind w:right="23"/>
              <w:spacing w:after="0"/>
              <w:rPr>
                <w:sz w:val="20"/>
                <w:szCs w:val="20"/>
                <w:color w:val="auto"/>
              </w:rPr>
            </w:pPr>
            <w:r>
              <w:rPr>
                <w:rFonts w:ascii="Calibri" w:cs="Calibri" w:eastAsia="Calibri" w:hAnsi="Calibri"/>
                <w:sz w:val="15"/>
                <w:szCs w:val="15"/>
                <w:color w:val="auto"/>
              </w:rPr>
              <w:t>$</w:t>
            </w:r>
          </w:p>
        </w:tc>
        <w:tc>
          <w:tcPr>
            <w:tcW w:w="800" w:type="dxa"/>
            <w:vAlign w:val="bottom"/>
          </w:tcPr>
          <w:p>
            <w:pPr>
              <w:jc w:val="right"/>
              <w:spacing w:after="0"/>
              <w:rPr>
                <w:sz w:val="20"/>
                <w:szCs w:val="20"/>
                <w:color w:val="auto"/>
              </w:rPr>
            </w:pPr>
            <w:r>
              <w:rPr>
                <w:rFonts w:ascii="Calibri" w:cs="Calibri" w:eastAsia="Calibri" w:hAnsi="Calibri"/>
                <w:sz w:val="15"/>
                <w:szCs w:val="15"/>
                <w:color w:val="auto"/>
              </w:rPr>
              <w:t>39,465</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gridSpan w:val="3"/>
          </w:tcPr>
          <w:p>
            <w:pPr>
              <w:jc w:val="right"/>
              <w:ind w:right="40"/>
              <w:spacing w:after="0"/>
              <w:rPr>
                <w:sz w:val="20"/>
                <w:szCs w:val="20"/>
                <w:color w:val="auto"/>
              </w:rPr>
            </w:pPr>
            <w:r>
              <w:rPr>
                <w:rFonts w:ascii="Calibri" w:cs="Calibri" w:eastAsia="Calibri" w:hAnsi="Calibri"/>
                <w:sz w:val="15"/>
                <w:szCs w:val="15"/>
                <w:color w:val="auto"/>
              </w:rPr>
              <w:t>6 %</w:t>
            </w:r>
          </w:p>
        </w:tc>
        <w:tc>
          <w:tcPr>
            <w:tcW w:w="0" w:type="dxa"/>
            <w:vAlign w:val="bottom"/>
          </w:tcPr>
          <w:p>
            <w:pPr>
              <w:spacing w:after="0"/>
              <w:rPr>
                <w:sz w:val="1"/>
                <w:szCs w:val="1"/>
                <w:color w:val="auto"/>
              </w:rPr>
            </w:pPr>
          </w:p>
        </w:tc>
      </w:tr>
      <w:tr>
        <w:trPr>
          <w:trHeight w:val="24"/>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516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5"/>
                <w:szCs w:val="15"/>
                <w:color w:val="auto"/>
              </w:rPr>
              <w:t>Wholesale</w:t>
            </w:r>
          </w:p>
        </w:tc>
        <w:tc>
          <w:tcPr>
            <w:tcW w:w="260" w:type="dxa"/>
            <w:vAlign w:val="bottom"/>
            <w:tcBorders>
              <w:bottom w:val="single" w:sz="8" w:color="CFF0FC"/>
            </w:tcBorders>
            <w:shd w:val="clear" w:color="auto" w:fill="CFF0FC"/>
          </w:tcPr>
          <w:p>
            <w:pPr>
              <w:spacing w:after="0"/>
              <w:rPr>
                <w:sz w:val="16"/>
                <w:szCs w:val="16"/>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100,908</w:t>
            </w:r>
          </w:p>
        </w:tc>
        <w:tc>
          <w:tcPr>
            <w:tcW w:w="22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237,635</w:t>
            </w:r>
          </w:p>
        </w:tc>
        <w:tc>
          <w:tcPr>
            <w:tcW w:w="22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98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Calibri" w:cs="Calibri" w:eastAsia="Calibri" w:hAnsi="Calibri"/>
                <w:sz w:val="15"/>
                <w:szCs w:val="15"/>
                <w:color w:val="auto"/>
              </w:rPr>
              <w:t>(136,727 )</w:t>
            </w:r>
          </w:p>
        </w:tc>
        <w:tc>
          <w:tcPr>
            <w:tcW w:w="320" w:type="dxa"/>
            <w:vAlign w:val="bottom"/>
            <w:tcBorders>
              <w:bottom w:val="single" w:sz="8" w:color="CFF0FC"/>
            </w:tcBorders>
            <w:shd w:val="clear" w:color="auto" w:fill="CFF0FC"/>
          </w:tcPr>
          <w:p>
            <w:pPr>
              <w:spacing w:after="0"/>
              <w:rPr>
                <w:sz w:val="16"/>
                <w:szCs w:val="16"/>
                <w:color w:val="auto"/>
              </w:rPr>
            </w:pPr>
          </w:p>
        </w:tc>
        <w:tc>
          <w:tcPr>
            <w:tcW w:w="880" w:type="dxa"/>
            <w:vAlign w:val="bottom"/>
            <w:tcBorders>
              <w:bottom w:val="single" w:sz="8" w:color="CFF0FC"/>
            </w:tcBorders>
            <w:gridSpan w:val="2"/>
            <w:shd w:val="clear" w:color="auto" w:fill="CFF0FC"/>
          </w:tcPr>
          <w:p>
            <w:pPr>
              <w:jc w:val="right"/>
              <w:ind w:right="40"/>
              <w:spacing w:after="0"/>
              <w:rPr>
                <w:sz w:val="20"/>
                <w:szCs w:val="20"/>
                <w:color w:val="auto"/>
              </w:rPr>
            </w:pPr>
            <w:r>
              <w:rPr>
                <w:rFonts w:ascii="Calibri" w:cs="Calibri" w:eastAsia="Calibri" w:hAnsi="Calibri"/>
                <w:sz w:val="15"/>
                <w:szCs w:val="15"/>
                <w:color w:val="auto"/>
              </w:rPr>
              <w:t>(58 )</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160" w:type="dxa"/>
            <w:vAlign w:val="bottom"/>
          </w:tcPr>
          <w:p>
            <w:pPr>
              <w:spacing w:after="0"/>
              <w:rPr>
                <w:sz w:val="20"/>
                <w:szCs w:val="20"/>
                <w:color w:val="auto"/>
              </w:rPr>
            </w:pPr>
            <w:r>
              <w:rPr>
                <w:rFonts w:ascii="Calibri" w:cs="Calibri" w:eastAsia="Calibri" w:hAnsi="Calibri"/>
                <w:sz w:val="15"/>
                <w:szCs w:val="15"/>
                <w:color w:val="auto"/>
              </w:rPr>
              <w:t>Product</w:t>
            </w: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alibri" w:cs="Calibri" w:eastAsia="Calibri" w:hAnsi="Calibri"/>
                <w:sz w:val="15"/>
                <w:szCs w:val="15"/>
                <w:color w:val="auto"/>
              </w:rPr>
              <w:t>115,098</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alibri" w:cs="Calibri" w:eastAsia="Calibri" w:hAnsi="Calibri"/>
                <w:sz w:val="15"/>
                <w:szCs w:val="15"/>
                <w:color w:val="auto"/>
              </w:rPr>
              <w:t>758,629</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(643,531 )</w:t>
            </w:r>
          </w:p>
        </w:tc>
        <w:tc>
          <w:tcPr>
            <w:tcW w:w="320" w:type="dxa"/>
            <w:vAlign w:val="bottom"/>
          </w:tcPr>
          <w:p>
            <w:pPr>
              <w:spacing w:after="0"/>
              <w:rPr>
                <w:sz w:val="15"/>
                <w:szCs w:val="15"/>
                <w:color w:val="auto"/>
              </w:rPr>
            </w:pPr>
          </w:p>
        </w:tc>
        <w:tc>
          <w:tcPr>
            <w:tcW w:w="880" w:type="dxa"/>
            <w:vAlign w:val="bottom"/>
            <w:gridSpan w:val="2"/>
          </w:tcPr>
          <w:p>
            <w:pPr>
              <w:jc w:val="right"/>
              <w:ind w:right="40"/>
              <w:spacing w:after="0"/>
              <w:rPr>
                <w:sz w:val="20"/>
                <w:szCs w:val="20"/>
                <w:color w:val="auto"/>
              </w:rPr>
            </w:pPr>
            <w:r>
              <w:rPr>
                <w:rFonts w:ascii="Calibri" w:cs="Calibri" w:eastAsia="Calibri" w:hAnsi="Calibri"/>
                <w:sz w:val="15"/>
                <w:szCs w:val="15"/>
                <w:color w:val="auto"/>
              </w:rPr>
              <w:t>(85 )</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160" w:type="dxa"/>
            <w:vAlign w:val="bottom"/>
            <w:vMerge w:val="restart"/>
          </w:tcPr>
          <w:p>
            <w:pPr>
              <w:ind w:left="160"/>
              <w:spacing w:after="0"/>
              <w:rPr>
                <w:sz w:val="20"/>
                <w:szCs w:val="20"/>
                <w:color w:val="auto"/>
              </w:rPr>
            </w:pPr>
            <w:r>
              <w:rPr>
                <w:rFonts w:ascii="Calibri" w:cs="Calibri" w:eastAsia="Calibri" w:hAnsi="Calibri"/>
                <w:sz w:val="15"/>
                <w:szCs w:val="15"/>
                <w:color w:val="auto"/>
              </w:rPr>
              <w:t>Total</w:t>
            </w: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5160" w:type="dxa"/>
            <w:vAlign w:val="bottom"/>
            <w:vMerge w:val="continue"/>
          </w:tcPr>
          <w:p>
            <w:pPr>
              <w:spacing w:after="0"/>
              <w:rPr>
                <w:sz w:val="15"/>
                <w:szCs w:val="15"/>
                <w:color w:val="auto"/>
              </w:rPr>
            </w:pPr>
          </w:p>
        </w:tc>
        <w:tc>
          <w:tcPr>
            <w:tcW w:w="260" w:type="dxa"/>
            <w:vAlign w:val="bottom"/>
          </w:tcPr>
          <w:p>
            <w:pPr>
              <w:jc w:val="right"/>
              <w:ind w:right="83"/>
              <w:spacing w:after="0" w:line="174" w:lineRule="exact"/>
              <w:rPr>
                <w:sz w:val="20"/>
                <w:szCs w:val="20"/>
                <w:color w:val="auto"/>
              </w:rPr>
            </w:pPr>
            <w:r>
              <w:rPr>
                <w:rFonts w:ascii="Calibri" w:cs="Calibri" w:eastAsia="Calibri" w:hAnsi="Calibri"/>
                <w:sz w:val="15"/>
                <w:szCs w:val="15"/>
                <w:color w:val="auto"/>
              </w:rPr>
              <w:t>$</w:t>
            </w:r>
          </w:p>
        </w:tc>
        <w:tc>
          <w:tcPr>
            <w:tcW w:w="820" w:type="dxa"/>
            <w:vAlign w:val="bottom"/>
          </w:tcPr>
          <w:p>
            <w:pPr>
              <w:jc w:val="right"/>
              <w:spacing w:after="0" w:line="174" w:lineRule="exact"/>
              <w:rPr>
                <w:sz w:val="20"/>
                <w:szCs w:val="20"/>
                <w:color w:val="auto"/>
              </w:rPr>
            </w:pPr>
            <w:r>
              <w:rPr>
                <w:rFonts w:ascii="Calibri" w:cs="Calibri" w:eastAsia="Calibri" w:hAnsi="Calibri"/>
                <w:sz w:val="15"/>
                <w:szCs w:val="15"/>
                <w:color w:val="auto"/>
              </w:rPr>
              <w:t>914,242</w:t>
            </w:r>
          </w:p>
        </w:tc>
        <w:tc>
          <w:tcPr>
            <w:tcW w:w="220" w:type="dxa"/>
            <w:vAlign w:val="bottom"/>
          </w:tcPr>
          <w:p>
            <w:pPr>
              <w:spacing w:after="0"/>
              <w:rPr>
                <w:sz w:val="15"/>
                <w:szCs w:val="15"/>
                <w:color w:val="auto"/>
              </w:rPr>
            </w:pPr>
          </w:p>
        </w:tc>
        <w:tc>
          <w:tcPr>
            <w:tcW w:w="260" w:type="dxa"/>
            <w:vAlign w:val="bottom"/>
          </w:tcPr>
          <w:p>
            <w:pPr>
              <w:jc w:val="right"/>
              <w:ind w:right="83"/>
              <w:spacing w:after="0" w:line="174" w:lineRule="exact"/>
              <w:rPr>
                <w:sz w:val="20"/>
                <w:szCs w:val="20"/>
                <w:color w:val="auto"/>
              </w:rPr>
            </w:pPr>
            <w:r>
              <w:rPr>
                <w:rFonts w:ascii="Calibri" w:cs="Calibri" w:eastAsia="Calibri" w:hAnsi="Calibri"/>
                <w:sz w:val="15"/>
                <w:szCs w:val="15"/>
                <w:color w:val="auto"/>
              </w:rPr>
              <w:t>$</w:t>
            </w:r>
          </w:p>
        </w:tc>
        <w:tc>
          <w:tcPr>
            <w:tcW w:w="820" w:type="dxa"/>
            <w:vAlign w:val="bottom"/>
          </w:tcPr>
          <w:p>
            <w:pPr>
              <w:jc w:val="right"/>
              <w:spacing w:after="0" w:line="174" w:lineRule="exact"/>
              <w:rPr>
                <w:sz w:val="20"/>
                <w:szCs w:val="20"/>
                <w:color w:val="auto"/>
              </w:rPr>
            </w:pPr>
            <w:r>
              <w:rPr>
                <w:rFonts w:ascii="Calibri" w:cs="Calibri" w:eastAsia="Calibri" w:hAnsi="Calibri"/>
                <w:sz w:val="15"/>
                <w:szCs w:val="15"/>
                <w:color w:val="auto"/>
              </w:rPr>
              <w:t>1,655,035</w:t>
            </w:r>
          </w:p>
        </w:tc>
        <w:tc>
          <w:tcPr>
            <w:tcW w:w="220" w:type="dxa"/>
            <w:vAlign w:val="bottom"/>
          </w:tcPr>
          <w:p>
            <w:pPr>
              <w:spacing w:after="0"/>
              <w:rPr>
                <w:sz w:val="15"/>
                <w:szCs w:val="15"/>
                <w:color w:val="auto"/>
              </w:rPr>
            </w:pPr>
          </w:p>
        </w:tc>
        <w:tc>
          <w:tcPr>
            <w:tcW w:w="200" w:type="dxa"/>
            <w:vAlign w:val="bottom"/>
          </w:tcPr>
          <w:p>
            <w:pPr>
              <w:jc w:val="right"/>
              <w:ind w:right="23"/>
              <w:spacing w:after="0" w:line="174" w:lineRule="exact"/>
              <w:rPr>
                <w:sz w:val="20"/>
                <w:szCs w:val="20"/>
                <w:color w:val="auto"/>
              </w:rPr>
            </w:pPr>
            <w:r>
              <w:rPr>
                <w:rFonts w:ascii="Calibri" w:cs="Calibri" w:eastAsia="Calibri" w:hAnsi="Calibri"/>
                <w:sz w:val="15"/>
                <w:szCs w:val="15"/>
                <w:color w:val="auto"/>
              </w:rPr>
              <w:t>$</w:t>
            </w:r>
          </w:p>
        </w:tc>
        <w:tc>
          <w:tcPr>
            <w:tcW w:w="980" w:type="dxa"/>
            <w:vAlign w:val="bottom"/>
            <w:gridSpan w:val="2"/>
          </w:tcPr>
          <w:p>
            <w:pPr>
              <w:jc w:val="right"/>
              <w:ind w:right="140"/>
              <w:spacing w:after="0" w:line="174" w:lineRule="exact"/>
              <w:rPr>
                <w:sz w:val="20"/>
                <w:szCs w:val="20"/>
                <w:color w:val="auto"/>
              </w:rPr>
            </w:pPr>
            <w:r>
              <w:rPr>
                <w:rFonts w:ascii="Calibri" w:cs="Calibri" w:eastAsia="Calibri" w:hAnsi="Calibri"/>
                <w:sz w:val="15"/>
                <w:szCs w:val="15"/>
                <w:color w:val="auto"/>
              </w:rPr>
              <w:t>(740,793 )</w:t>
            </w:r>
          </w:p>
        </w:tc>
        <w:tc>
          <w:tcPr>
            <w:tcW w:w="320" w:type="dxa"/>
            <w:vAlign w:val="bottom"/>
          </w:tcPr>
          <w:p>
            <w:pPr>
              <w:spacing w:after="0"/>
              <w:rPr>
                <w:sz w:val="15"/>
                <w:szCs w:val="15"/>
                <w:color w:val="auto"/>
              </w:rPr>
            </w:pPr>
          </w:p>
        </w:tc>
        <w:tc>
          <w:tcPr>
            <w:tcW w:w="940" w:type="dxa"/>
            <w:vAlign w:val="bottom"/>
            <w:gridSpan w:val="3"/>
          </w:tcPr>
          <w:p>
            <w:pPr>
              <w:jc w:val="right"/>
              <w:spacing w:after="0" w:line="174" w:lineRule="exact"/>
              <w:rPr>
                <w:sz w:val="20"/>
                <w:szCs w:val="20"/>
                <w:color w:val="auto"/>
              </w:rPr>
            </w:pPr>
            <w:r>
              <w:rPr>
                <w:rFonts w:ascii="Calibri" w:cs="Calibri" w:eastAsia="Calibri" w:hAnsi="Calibri"/>
                <w:sz w:val="15"/>
                <w:szCs w:val="15"/>
                <w:color w:val="auto"/>
              </w:rPr>
              <w:t>(45 )%</w:t>
            </w:r>
          </w:p>
        </w:tc>
        <w:tc>
          <w:tcPr>
            <w:tcW w:w="0" w:type="dxa"/>
            <w:vAlign w:val="bottom"/>
          </w:tcPr>
          <w:p>
            <w:pPr>
              <w:spacing w:after="0"/>
              <w:rPr>
                <w:sz w:val="1"/>
                <w:szCs w:val="1"/>
                <w:color w:val="auto"/>
              </w:rPr>
            </w:pPr>
          </w:p>
        </w:tc>
      </w:tr>
      <w:tr>
        <w:trPr>
          <w:trHeight w:val="24"/>
        </w:trPr>
        <w:tc>
          <w:tcPr>
            <w:tcW w:w="5160" w:type="dxa"/>
            <w:vAlign w:val="bottom"/>
            <w:vMerge w:val="restart"/>
          </w:tcPr>
          <w:p>
            <w:pPr>
              <w:spacing w:after="0"/>
              <w:rPr>
                <w:sz w:val="20"/>
                <w:szCs w:val="20"/>
                <w:color w:val="auto"/>
              </w:rPr>
            </w:pPr>
            <w:r>
              <w:rPr>
                <w:rFonts w:ascii="Calibri" w:cs="Calibri" w:eastAsia="Calibri" w:hAnsi="Calibri"/>
                <w:sz w:val="15"/>
                <w:szCs w:val="15"/>
                <w:b w:val="1"/>
                <w:bCs w:val="1"/>
                <w:color w:val="auto"/>
              </w:rPr>
              <w:t>Percentage of total revenue:</w:t>
            </w: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16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516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5"/>
                <w:szCs w:val="15"/>
                <w:color w:val="auto"/>
              </w:rPr>
              <w:t>Marketplace</w:t>
            </w:r>
          </w:p>
        </w:tc>
        <w:tc>
          <w:tcPr>
            <w:tcW w:w="260" w:type="dxa"/>
            <w:vAlign w:val="bottom"/>
            <w:tcBorders>
              <w:bottom w:val="single" w:sz="8" w:color="CFF0FC"/>
            </w:tcBorders>
            <w:shd w:val="clear" w:color="auto" w:fill="CFF0FC"/>
          </w:tcPr>
          <w:p>
            <w:pPr>
              <w:spacing w:after="0"/>
              <w:rPr>
                <w:sz w:val="16"/>
                <w:szCs w:val="16"/>
                <w:color w:val="auto"/>
              </w:rPr>
            </w:pPr>
          </w:p>
        </w:tc>
        <w:tc>
          <w:tcPr>
            <w:tcW w:w="104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Calibri" w:cs="Calibri" w:eastAsia="Calibri" w:hAnsi="Calibri"/>
                <w:sz w:val="15"/>
                <w:szCs w:val="15"/>
                <w:color w:val="auto"/>
              </w:rPr>
              <w:t>76 %</w:t>
            </w:r>
          </w:p>
        </w:tc>
        <w:tc>
          <w:tcPr>
            <w:tcW w:w="260" w:type="dxa"/>
            <w:vAlign w:val="bottom"/>
            <w:tcBorders>
              <w:bottom w:val="single" w:sz="8" w:color="CFF0FC"/>
            </w:tcBorders>
            <w:shd w:val="clear" w:color="auto" w:fill="CFF0FC"/>
          </w:tcPr>
          <w:p>
            <w:pPr>
              <w:spacing w:after="0"/>
              <w:rPr>
                <w:sz w:val="16"/>
                <w:szCs w:val="16"/>
                <w:color w:val="auto"/>
              </w:rPr>
            </w:pPr>
          </w:p>
        </w:tc>
        <w:tc>
          <w:tcPr>
            <w:tcW w:w="1040" w:type="dxa"/>
            <w:vAlign w:val="bottom"/>
            <w:tcBorders>
              <w:bottom w:val="single" w:sz="8" w:color="CFF0FC"/>
            </w:tcBorders>
            <w:gridSpan w:val="2"/>
            <w:shd w:val="clear" w:color="auto" w:fill="CFF0FC"/>
          </w:tcPr>
          <w:p>
            <w:pPr>
              <w:jc w:val="right"/>
              <w:ind w:right="39"/>
              <w:spacing w:after="0"/>
              <w:rPr>
                <w:sz w:val="20"/>
                <w:szCs w:val="20"/>
                <w:color w:val="auto"/>
              </w:rPr>
            </w:pPr>
            <w:r>
              <w:rPr>
                <w:rFonts w:ascii="Calibri" w:cs="Calibri" w:eastAsia="Calibri" w:hAnsi="Calibri"/>
                <w:sz w:val="15"/>
                <w:szCs w:val="15"/>
                <w:color w:val="auto"/>
              </w:rPr>
              <w:t>40 %</w:t>
            </w:r>
          </w:p>
        </w:tc>
        <w:tc>
          <w:tcPr>
            <w:tcW w:w="20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CFF0FC"/>
            </w:tcBorders>
            <w:shd w:val="clear" w:color="auto" w:fill="CFF0FC"/>
          </w:tcPr>
          <w:p>
            <w:pPr>
              <w:spacing w:after="0"/>
              <w:rPr>
                <w:sz w:val="16"/>
                <w:szCs w:val="16"/>
                <w:color w:val="auto"/>
              </w:rPr>
            </w:pPr>
          </w:p>
        </w:tc>
        <w:tc>
          <w:tcPr>
            <w:tcW w:w="7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160" w:type="dxa"/>
            <w:vAlign w:val="bottom"/>
          </w:tcPr>
          <w:p>
            <w:pPr>
              <w:spacing w:after="0"/>
              <w:rPr>
                <w:sz w:val="20"/>
                <w:szCs w:val="20"/>
                <w:color w:val="auto"/>
              </w:rPr>
            </w:pPr>
            <w:r>
              <w:rPr>
                <w:rFonts w:ascii="Calibri" w:cs="Calibri" w:eastAsia="Calibri" w:hAnsi="Calibri"/>
                <w:sz w:val="15"/>
                <w:szCs w:val="15"/>
                <w:color w:val="auto"/>
              </w:rPr>
              <w:t>Wholesale</w:t>
            </w: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alibri" w:cs="Calibri" w:eastAsia="Calibri" w:hAnsi="Calibri"/>
                <w:sz w:val="15"/>
                <w:szCs w:val="15"/>
                <w:color w:val="auto"/>
              </w:rPr>
              <w:t>11</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alibri" w:cs="Calibri" w:eastAsia="Calibri" w:hAnsi="Calibri"/>
                <w:sz w:val="15"/>
                <w:szCs w:val="15"/>
                <w:color w:val="auto"/>
              </w:rPr>
              <w:t>14</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516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5"/>
                <w:szCs w:val="15"/>
                <w:color w:val="auto"/>
              </w:rPr>
              <w:t>Product</w:t>
            </w:r>
          </w:p>
        </w:tc>
        <w:tc>
          <w:tcPr>
            <w:tcW w:w="260" w:type="dxa"/>
            <w:vAlign w:val="bottom"/>
            <w:tcBorders>
              <w:bottom w:val="single" w:sz="8" w:color="CFF0FC"/>
            </w:tcBorders>
            <w:shd w:val="clear" w:color="auto" w:fill="CFF0FC"/>
          </w:tcPr>
          <w:p>
            <w:pPr>
              <w:spacing w:after="0"/>
              <w:rPr>
                <w:sz w:val="16"/>
                <w:szCs w:val="16"/>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13</w:t>
            </w:r>
          </w:p>
        </w:tc>
        <w:tc>
          <w:tcPr>
            <w:tcW w:w="22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46</w:t>
            </w:r>
          </w:p>
        </w:tc>
        <w:tc>
          <w:tcPr>
            <w:tcW w:w="22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CFF0FC"/>
            </w:tcBorders>
            <w:shd w:val="clear" w:color="auto" w:fill="CFF0FC"/>
          </w:tcPr>
          <w:p>
            <w:pPr>
              <w:spacing w:after="0"/>
              <w:rPr>
                <w:sz w:val="16"/>
                <w:szCs w:val="16"/>
                <w:color w:val="auto"/>
              </w:rPr>
            </w:pPr>
          </w:p>
        </w:tc>
        <w:tc>
          <w:tcPr>
            <w:tcW w:w="7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1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160" w:type="dxa"/>
            <w:vAlign w:val="bottom"/>
          </w:tcPr>
          <w:p>
            <w:pPr>
              <w:ind w:left="160"/>
              <w:spacing w:after="0" w:line="174" w:lineRule="exact"/>
              <w:rPr>
                <w:sz w:val="20"/>
                <w:szCs w:val="20"/>
                <w:color w:val="auto"/>
              </w:rPr>
            </w:pPr>
            <w:r>
              <w:rPr>
                <w:rFonts w:ascii="Calibri" w:cs="Calibri" w:eastAsia="Calibri" w:hAnsi="Calibri"/>
                <w:sz w:val="15"/>
                <w:szCs w:val="15"/>
                <w:color w:val="auto"/>
              </w:rPr>
              <w:t>Total</w:t>
            </w:r>
          </w:p>
        </w:tc>
        <w:tc>
          <w:tcPr>
            <w:tcW w:w="260" w:type="dxa"/>
            <w:vAlign w:val="bottom"/>
          </w:tcPr>
          <w:p>
            <w:pPr>
              <w:spacing w:after="0"/>
              <w:rPr>
                <w:sz w:val="15"/>
                <w:szCs w:val="15"/>
                <w:color w:val="auto"/>
              </w:rPr>
            </w:pPr>
          </w:p>
        </w:tc>
        <w:tc>
          <w:tcPr>
            <w:tcW w:w="1040" w:type="dxa"/>
            <w:vAlign w:val="bottom"/>
            <w:gridSpan w:val="2"/>
          </w:tcPr>
          <w:p>
            <w:pPr>
              <w:jc w:val="right"/>
              <w:ind w:right="100"/>
              <w:spacing w:after="0" w:line="174" w:lineRule="exact"/>
              <w:rPr>
                <w:sz w:val="20"/>
                <w:szCs w:val="20"/>
                <w:color w:val="auto"/>
              </w:rPr>
            </w:pPr>
            <w:r>
              <w:rPr>
                <w:rFonts w:ascii="Calibri" w:cs="Calibri" w:eastAsia="Calibri" w:hAnsi="Calibri"/>
                <w:sz w:val="15"/>
                <w:szCs w:val="15"/>
                <w:color w:val="auto"/>
              </w:rPr>
              <w:t>100 %</w:t>
            </w:r>
          </w:p>
        </w:tc>
        <w:tc>
          <w:tcPr>
            <w:tcW w:w="260" w:type="dxa"/>
            <w:vAlign w:val="bottom"/>
          </w:tcPr>
          <w:p>
            <w:pPr>
              <w:spacing w:after="0"/>
              <w:rPr>
                <w:sz w:val="15"/>
                <w:szCs w:val="15"/>
                <w:color w:val="auto"/>
              </w:rPr>
            </w:pPr>
          </w:p>
        </w:tc>
        <w:tc>
          <w:tcPr>
            <w:tcW w:w="1040" w:type="dxa"/>
            <w:vAlign w:val="bottom"/>
            <w:gridSpan w:val="2"/>
          </w:tcPr>
          <w:p>
            <w:pPr>
              <w:jc w:val="right"/>
              <w:ind w:right="39"/>
              <w:spacing w:after="0" w:line="174" w:lineRule="exact"/>
              <w:rPr>
                <w:sz w:val="20"/>
                <w:szCs w:val="20"/>
                <w:color w:val="auto"/>
              </w:rPr>
            </w:pPr>
            <w:r>
              <w:rPr>
                <w:rFonts w:ascii="Calibri" w:cs="Calibri" w:eastAsia="Calibri" w:hAnsi="Calibri"/>
                <w:sz w:val="15"/>
                <w:szCs w:val="15"/>
                <w:color w:val="auto"/>
              </w:rPr>
              <w:t>100 %</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-839470</wp:posOffset>
            </wp:positionV>
            <wp:extent cx="6436360" cy="1536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436360" cy="153670"/>
                    </a:xfrm>
                    <a:prstGeom prst="rect">
                      <a:avLst/>
                    </a:prstGeom>
                    <a:noFill/>
                  </pic:spPr>
                </pic:pic>
              </a:graphicData>
            </a:graphic>
          </wp:anchor>
        </w:drawing>
        <w:drawing>
          <wp:anchor simplePos="0" relativeHeight="251657728" behindDoc="1" locked="0" layoutInCell="0" allowOverlap="1">
            <wp:simplePos x="0" y="0"/>
            <wp:positionH relativeFrom="column">
              <wp:posOffset>4319905</wp:posOffset>
            </wp:positionH>
            <wp:positionV relativeFrom="paragraph">
              <wp:posOffset>-160020</wp:posOffset>
            </wp:positionV>
            <wp:extent cx="66040"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5145405</wp:posOffset>
            </wp:positionH>
            <wp:positionV relativeFrom="paragraph">
              <wp:posOffset>-160020</wp:posOffset>
            </wp:positionV>
            <wp:extent cx="66040"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6040" cy="7620"/>
                    </a:xfrm>
                    <a:prstGeom prst="rect">
                      <a:avLst/>
                    </a:prstGeom>
                    <a:noFill/>
                  </pic:spPr>
                </pic:pic>
              </a:graphicData>
            </a:graphic>
          </wp:anchor>
        </w:drawing>
      </w:r>
    </w:p>
    <w:p>
      <w:pPr>
        <w:spacing w:after="0" w:line="146" w:lineRule="exact"/>
        <w:rPr>
          <w:sz w:val="20"/>
          <w:szCs w:val="20"/>
          <w:color w:val="auto"/>
        </w:rPr>
      </w:pPr>
    </w:p>
    <w:p>
      <w:pPr>
        <w:ind w:left="500"/>
        <w:spacing w:after="0"/>
        <w:rPr>
          <w:sz w:val="20"/>
          <w:szCs w:val="20"/>
          <w:color w:val="auto"/>
        </w:rPr>
      </w:pPr>
      <w:r>
        <w:rPr>
          <w:rFonts w:ascii="Calibri" w:cs="Calibri" w:eastAsia="Calibri" w:hAnsi="Calibri"/>
          <w:sz w:val="15"/>
          <w:szCs w:val="15"/>
          <w:color w:val="auto"/>
        </w:rPr>
        <w:t>Overall revenue decreased $740.8 million, or 45%, in the year ended December 31, 2023 compared to the year ended December 31, 2022.</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Marketplace revenue increased $39.5 million, or 6%, in the year ended December 31, 2023 compared to the year ended December 31, 2022 and represented 76% of total revenue for the year ended December 31, 2023 and 40% of total revenue for the year ended December 31, 2022. The increase was due to an increase in Listngs revenue, inclusive of certain digital add-on products, as a result of growth in QARSD, which was driven by signing on new dealers with higher average monthly recurring revenue and revenue expansion through product upgrades for existng dealers.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Wholesale revenue decreased $136.7 million, or 58%, in the year ended December 31, 2023 compared to the year ended December 31, 2022 and represented 11% of total revenue for the year ended December 31, 2023 and 14% of total revenue for the year ended December 31, 2022. The decrease was due primarily to a 66% decrease in Transactons, which includes Dealer-to-Dealer transactons and IMCO transactons, to 65,418 for the year ended December 31, 2023 from 190,594 for the year ended December 31, 2022, as a result of unfavorable market conditons and operatonal challenges in the prior year which resulted in our focus in the current year on optmizaton of internal policies and procedures over volume of Transactons. The decrease in Transactons resulted in a decrease in transacton fee revenue, transportaton revenue, inspecton revenue, and guarantee revenue.</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Product revenue decreased $643.5 million, or 85%, in the year ended December 31, 2023 compared to the year ended December 31, 2022 and represented 13% of the total revenue for the year ended December 31, 2023 and 46% of total revenue for the year ended December 31, 2022. The decrease was due primarily to a decrease in proceeds received from the sale of vehicles through IMCO transactons, including vehicle sale price and transacton fees, as a result of decreased Transactons resultng from the purposeful slowdown in volume as we emphasize operatonal rigor, as well as a decrease in the average selling price, as a result of economic conditons. The decrease in product revenue was also due in part to a decrease in proceeds received from the sale of vehicles acquired through arbitraton, including a decrease in the average vehicle sale price, as a result of decreased arbitraton claims primarily due to decreased Transactons and process improvements focused on higher quality inspectons.</w:t>
      </w:r>
    </w:p>
    <w:p>
      <w:pPr>
        <w:spacing w:after="0" w:line="185" w:lineRule="exact"/>
        <w:rPr>
          <w:sz w:val="20"/>
          <w:szCs w:val="20"/>
          <w:color w:val="auto"/>
        </w:rPr>
      </w:pPr>
    </w:p>
    <w:p>
      <w:pPr>
        <w:jc w:val="center"/>
        <w:spacing w:after="0"/>
        <w:rPr>
          <w:sz w:val="20"/>
          <w:szCs w:val="20"/>
          <w:color w:val="auto"/>
        </w:rPr>
      </w:pPr>
      <w:r>
        <w:rPr>
          <w:rFonts w:ascii="Calibri" w:cs="Calibri" w:eastAsia="Calibri" w:hAnsi="Calibri"/>
          <w:sz w:val="15"/>
          <w:szCs w:val="15"/>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408940</wp:posOffset>
            </wp:positionV>
            <wp:extent cx="7178040" cy="400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3" w:right="319" w:bottom="1440" w:gutter="0" w:footer="0" w:header="0"/>
        </w:sectPr>
      </w:pPr>
    </w:p>
    <w:bookmarkStart w:id="62" w:name="page63"/>
    <w:bookmarkEnd w:id="62"/>
    <w:p>
      <w:pPr>
        <w:spacing w:after="0"/>
        <w:rPr>
          <w:sz w:val="20"/>
          <w:szCs w:val="20"/>
          <w:color w:val="auto"/>
        </w:rPr>
      </w:pPr>
      <w:r>
        <w:rPr>
          <w:rFonts w:ascii="Calibri" w:cs="Calibri" w:eastAsia="Calibri" w:hAnsi="Calibri"/>
          <w:sz w:val="15"/>
          <w:szCs w:val="15"/>
          <w:i w:val="1"/>
          <w:iCs w:val="1"/>
          <w:color w:val="auto"/>
        </w:rPr>
        <w:t>Segment Revenue</w:t>
      </w:r>
    </w:p>
    <w:p>
      <w:pPr>
        <w:spacing w:after="0" w:line="202" w:lineRule="exact"/>
        <w:rPr>
          <w:sz w:val="20"/>
          <w:szCs w:val="20"/>
          <w:color w:val="auto"/>
        </w:rPr>
      </w:pPr>
    </w:p>
    <w:tbl>
      <w:tblPr>
        <w:tblLayout w:type="fixed"/>
        <w:tblInd w:w="560" w:type="dxa"/>
        <w:tblCellMar>
          <w:top w:w="0" w:type="dxa"/>
          <w:left w:w="0" w:type="dxa"/>
          <w:bottom w:w="0" w:type="dxa"/>
          <w:right w:w="0" w:type="dxa"/>
        </w:tblCellMar>
      </w:tblPr>
      <w:tr>
        <w:trPr>
          <w:trHeight w:val="146"/>
        </w:trPr>
        <w:tc>
          <w:tcPr>
            <w:tcW w:w="5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40" w:type="dxa"/>
            <w:vAlign w:val="bottom"/>
            <w:gridSpan w:val="5"/>
          </w:tcPr>
          <w:p>
            <w:pPr>
              <w:jc w:val="right"/>
              <w:ind w:right="760"/>
              <w:spacing w:after="0"/>
              <w:rPr>
                <w:sz w:val="20"/>
                <w:szCs w:val="20"/>
                <w:color w:val="auto"/>
              </w:rPr>
            </w:pPr>
            <w:r>
              <w:rPr>
                <w:rFonts w:ascii="Calibri" w:cs="Calibri" w:eastAsia="Calibri" w:hAnsi="Calibri"/>
                <w:sz w:val="12"/>
                <w:szCs w:val="12"/>
                <w:b w:val="1"/>
                <w:bCs w:val="1"/>
                <w:color w:val="auto"/>
              </w:rPr>
              <w:t>Year Ended December 31,</w:t>
            </w:r>
          </w:p>
        </w:tc>
        <w:tc>
          <w:tcPr>
            <w:tcW w:w="180" w:type="dxa"/>
            <w:vAlign w:val="bottom"/>
          </w:tcPr>
          <w:p>
            <w:pPr>
              <w:spacing w:after="0"/>
              <w:rPr>
                <w:sz w:val="12"/>
                <w:szCs w:val="12"/>
                <w:color w:val="auto"/>
              </w:rPr>
            </w:pPr>
          </w:p>
        </w:tc>
        <w:tc>
          <w:tcPr>
            <w:tcW w:w="1320" w:type="dxa"/>
            <w:vAlign w:val="bottom"/>
            <w:gridSpan w:val="3"/>
          </w:tcPr>
          <w:p>
            <w:pPr>
              <w:ind w:left="760"/>
              <w:spacing w:after="0"/>
              <w:rPr>
                <w:sz w:val="20"/>
                <w:szCs w:val="20"/>
                <w:color w:val="auto"/>
              </w:rPr>
            </w:pPr>
            <w:r>
              <w:rPr>
                <w:rFonts w:ascii="Calibri" w:cs="Calibri" w:eastAsia="Calibri" w:hAnsi="Calibri"/>
                <w:sz w:val="12"/>
                <w:szCs w:val="12"/>
                <w:b w:val="1"/>
                <w:bCs w:val="1"/>
                <w:color w:val="auto"/>
              </w:rPr>
              <w:t>Change</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5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5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ind w:right="326"/>
              <w:spacing w:after="0" w:line="138" w:lineRule="exact"/>
              <w:rPr>
                <w:sz w:val="20"/>
                <w:szCs w:val="20"/>
                <w:color w:val="auto"/>
              </w:rPr>
            </w:pPr>
            <w:r>
              <w:rPr>
                <w:rFonts w:ascii="Calibri" w:cs="Calibri" w:eastAsia="Calibri" w:hAnsi="Calibri"/>
                <w:sz w:val="12"/>
                <w:szCs w:val="12"/>
                <w:b w:val="1"/>
                <w:bCs w:val="1"/>
                <w:color w:val="auto"/>
              </w:rPr>
              <w:t>2023</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jc w:val="right"/>
              <w:ind w:right="346"/>
              <w:spacing w:after="0" w:line="138" w:lineRule="exact"/>
              <w:rPr>
                <w:sz w:val="20"/>
                <w:szCs w:val="20"/>
                <w:color w:val="auto"/>
              </w:rPr>
            </w:pPr>
            <w:r>
              <w:rPr>
                <w:rFonts w:ascii="Calibri" w:cs="Calibri" w:eastAsia="Calibri" w:hAnsi="Calibri"/>
                <w:sz w:val="12"/>
                <w:szCs w:val="12"/>
                <w:b w:val="1"/>
                <w:bCs w:val="1"/>
                <w:color w:val="auto"/>
              </w:rPr>
              <w:t>2022</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3"/>
          </w:tcPr>
          <w:p>
            <w:pPr>
              <w:ind w:left="100"/>
              <w:spacing w:after="0" w:line="138" w:lineRule="exact"/>
              <w:rPr>
                <w:sz w:val="20"/>
                <w:szCs w:val="20"/>
                <w:color w:val="auto"/>
              </w:rPr>
            </w:pPr>
            <w:r>
              <w:rPr>
                <w:rFonts w:ascii="Calibri" w:cs="Calibri" w:eastAsia="Calibri" w:hAnsi="Calibri"/>
                <w:sz w:val="12"/>
                <w:szCs w:val="12"/>
                <w:b w:val="1"/>
                <w:bCs w:val="1"/>
                <w:color w:val="auto"/>
              </w:rPr>
              <w:t>Amount</w:t>
            </w:r>
          </w:p>
        </w:tc>
        <w:tc>
          <w:tcPr>
            <w:tcW w:w="780" w:type="dxa"/>
            <w:vAlign w:val="bottom"/>
          </w:tcPr>
          <w:p>
            <w:pPr>
              <w:jc w:val="right"/>
              <w:ind w:right="426"/>
              <w:spacing w:after="0" w:line="138" w:lineRule="exact"/>
              <w:rPr>
                <w:sz w:val="20"/>
                <w:szCs w:val="20"/>
                <w:color w:val="auto"/>
              </w:rPr>
            </w:pPr>
            <w:r>
              <w:rPr>
                <w:rFonts w:ascii="Calibri" w:cs="Calibri" w:eastAsia="Calibri" w:hAnsi="Calibri"/>
                <w:sz w:val="12"/>
                <w:szCs w:val="12"/>
                <w:b w:val="1"/>
                <w:bCs w:val="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5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540" w:type="dxa"/>
            <w:vAlign w:val="bottom"/>
            <w:gridSpan w:val="6"/>
          </w:tcPr>
          <w:p>
            <w:pPr>
              <w:ind w:left="340"/>
              <w:spacing w:after="0" w:line="138" w:lineRule="exact"/>
              <w:rPr>
                <w:sz w:val="20"/>
                <w:szCs w:val="20"/>
                <w:color w:val="auto"/>
              </w:rPr>
            </w:pPr>
            <w:r>
              <w:rPr>
                <w:rFonts w:ascii="Calibri" w:cs="Calibri" w:eastAsia="Calibri" w:hAnsi="Calibri"/>
                <w:sz w:val="12"/>
                <w:szCs w:val="12"/>
                <w:b w:val="1"/>
                <w:bCs w:val="1"/>
                <w:color w:val="auto"/>
              </w:rPr>
              <w:t>(dollars in thousands)</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518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5"/>
                <w:szCs w:val="15"/>
                <w:b w:val="1"/>
                <w:bCs w:val="1"/>
                <w:color w:val="auto"/>
              </w:rPr>
              <w:t>Revenue:</w:t>
            </w:r>
          </w:p>
        </w:tc>
        <w:tc>
          <w:tcPr>
            <w:tcW w:w="240" w:type="dxa"/>
            <w:vAlign w:val="bottom"/>
            <w:tcBorders>
              <w:bottom w:val="single" w:sz="8" w:color="CFF0FC"/>
            </w:tcBorders>
            <w:shd w:val="clear" w:color="auto" w:fill="CFF0FC"/>
          </w:tcPr>
          <w:p>
            <w:pPr>
              <w:spacing w:after="0"/>
              <w:rPr>
                <w:sz w:val="16"/>
                <w:szCs w:val="16"/>
                <w:color w:val="auto"/>
              </w:rPr>
            </w:pPr>
          </w:p>
        </w:tc>
        <w:tc>
          <w:tcPr>
            <w:tcW w:w="82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82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82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CFF0FC"/>
            </w:tcBorders>
            <w:shd w:val="clear" w:color="auto" w:fill="CFF0FC"/>
          </w:tcPr>
          <w:p>
            <w:pPr>
              <w:spacing w:after="0"/>
              <w:rPr>
                <w:sz w:val="16"/>
                <w:szCs w:val="16"/>
                <w:color w:val="auto"/>
              </w:rPr>
            </w:pPr>
          </w:p>
        </w:tc>
        <w:tc>
          <w:tcPr>
            <w:tcW w:w="7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180" w:type="dxa"/>
            <w:vAlign w:val="bottom"/>
          </w:tcPr>
          <w:p>
            <w:pPr>
              <w:spacing w:after="0"/>
              <w:rPr>
                <w:sz w:val="20"/>
                <w:szCs w:val="20"/>
                <w:color w:val="auto"/>
              </w:rPr>
            </w:pPr>
            <w:r>
              <w:rPr>
                <w:rFonts w:ascii="Calibri" w:cs="Calibri" w:eastAsia="Calibri" w:hAnsi="Calibri"/>
                <w:sz w:val="15"/>
                <w:szCs w:val="15"/>
                <w:color w:val="auto"/>
              </w:rPr>
              <w:t>U.S. Marketplace</w:t>
            </w:r>
          </w:p>
        </w:tc>
        <w:tc>
          <w:tcPr>
            <w:tcW w:w="240" w:type="dxa"/>
            <w:vAlign w:val="bottom"/>
          </w:tcPr>
          <w:p>
            <w:pPr>
              <w:jc w:val="right"/>
              <w:ind w:right="83"/>
              <w:spacing w:after="0"/>
              <w:rPr>
                <w:sz w:val="20"/>
                <w:szCs w:val="20"/>
                <w:color w:val="auto"/>
              </w:rPr>
            </w:pPr>
            <w:r>
              <w:rPr>
                <w:rFonts w:ascii="Calibri" w:cs="Calibri" w:eastAsia="Calibri" w:hAnsi="Calibri"/>
                <w:sz w:val="15"/>
                <w:szCs w:val="15"/>
                <w:color w:val="auto"/>
                <w:w w:val="78"/>
              </w:rPr>
              <w:t>$</w:t>
            </w:r>
          </w:p>
        </w:tc>
        <w:tc>
          <w:tcPr>
            <w:tcW w:w="820" w:type="dxa"/>
            <w:vAlign w:val="bottom"/>
          </w:tcPr>
          <w:p>
            <w:pPr>
              <w:jc w:val="right"/>
              <w:spacing w:after="0"/>
              <w:rPr>
                <w:sz w:val="20"/>
                <w:szCs w:val="20"/>
                <w:color w:val="auto"/>
              </w:rPr>
            </w:pPr>
            <w:r>
              <w:rPr>
                <w:rFonts w:ascii="Calibri" w:cs="Calibri" w:eastAsia="Calibri" w:hAnsi="Calibri"/>
                <w:sz w:val="15"/>
                <w:szCs w:val="15"/>
                <w:color w:val="auto"/>
              </w:rPr>
              <w:t>647,284</w:t>
            </w:r>
          </w:p>
        </w:tc>
        <w:tc>
          <w:tcPr>
            <w:tcW w:w="220" w:type="dxa"/>
            <w:vAlign w:val="bottom"/>
          </w:tcPr>
          <w:p>
            <w:pPr>
              <w:spacing w:after="0"/>
              <w:rPr>
                <w:sz w:val="15"/>
                <w:szCs w:val="15"/>
                <w:color w:val="auto"/>
              </w:rPr>
            </w:pPr>
          </w:p>
        </w:tc>
        <w:tc>
          <w:tcPr>
            <w:tcW w:w="260" w:type="dxa"/>
            <w:vAlign w:val="bottom"/>
          </w:tcPr>
          <w:p>
            <w:pPr>
              <w:jc w:val="right"/>
              <w:ind w:right="83"/>
              <w:spacing w:after="0"/>
              <w:rPr>
                <w:sz w:val="20"/>
                <w:szCs w:val="20"/>
                <w:color w:val="auto"/>
              </w:rPr>
            </w:pPr>
            <w:r>
              <w:rPr>
                <w:rFonts w:ascii="Calibri" w:cs="Calibri" w:eastAsia="Calibri" w:hAnsi="Calibri"/>
                <w:sz w:val="15"/>
                <w:szCs w:val="15"/>
                <w:color w:val="auto"/>
              </w:rPr>
              <w:t>$</w:t>
            </w:r>
          </w:p>
        </w:tc>
        <w:tc>
          <w:tcPr>
            <w:tcW w:w="820" w:type="dxa"/>
            <w:vAlign w:val="bottom"/>
          </w:tcPr>
          <w:p>
            <w:pPr>
              <w:jc w:val="right"/>
              <w:spacing w:after="0"/>
              <w:rPr>
                <w:sz w:val="20"/>
                <w:szCs w:val="20"/>
                <w:color w:val="auto"/>
              </w:rPr>
            </w:pPr>
            <w:r>
              <w:rPr>
                <w:rFonts w:ascii="Calibri" w:cs="Calibri" w:eastAsia="Calibri" w:hAnsi="Calibri"/>
                <w:sz w:val="15"/>
                <w:szCs w:val="15"/>
                <w:color w:val="auto"/>
              </w:rPr>
              <w:t>614,136</w:t>
            </w:r>
          </w:p>
        </w:tc>
        <w:tc>
          <w:tcPr>
            <w:tcW w:w="220" w:type="dxa"/>
            <w:vAlign w:val="bottom"/>
          </w:tcPr>
          <w:p>
            <w:pPr>
              <w:spacing w:after="0"/>
              <w:rPr>
                <w:sz w:val="15"/>
                <w:szCs w:val="15"/>
                <w:color w:val="auto"/>
              </w:rPr>
            </w:pPr>
          </w:p>
        </w:tc>
        <w:tc>
          <w:tcPr>
            <w:tcW w:w="180" w:type="dxa"/>
            <w:vAlign w:val="bottom"/>
          </w:tcPr>
          <w:p>
            <w:pPr>
              <w:jc w:val="right"/>
              <w:ind w:right="23"/>
              <w:spacing w:after="0"/>
              <w:rPr>
                <w:sz w:val="20"/>
                <w:szCs w:val="20"/>
                <w:color w:val="auto"/>
              </w:rPr>
            </w:pPr>
            <w:r>
              <w:rPr>
                <w:rFonts w:ascii="Calibri" w:cs="Calibri" w:eastAsia="Calibri" w:hAnsi="Calibri"/>
                <w:sz w:val="15"/>
                <w:szCs w:val="15"/>
                <w:color w:val="auto"/>
                <w:w w:val="78"/>
              </w:rPr>
              <w:t>$</w:t>
            </w:r>
          </w:p>
        </w:tc>
        <w:tc>
          <w:tcPr>
            <w:tcW w:w="820" w:type="dxa"/>
            <w:vAlign w:val="bottom"/>
          </w:tcPr>
          <w:p>
            <w:pPr>
              <w:jc w:val="right"/>
              <w:spacing w:after="0"/>
              <w:rPr>
                <w:sz w:val="20"/>
                <w:szCs w:val="20"/>
                <w:color w:val="auto"/>
              </w:rPr>
            </w:pPr>
            <w:r>
              <w:rPr>
                <w:rFonts w:ascii="Calibri" w:cs="Calibri" w:eastAsia="Calibri" w:hAnsi="Calibri"/>
                <w:sz w:val="15"/>
                <w:szCs w:val="15"/>
                <w:color w:val="auto"/>
              </w:rPr>
              <w:t>33,148</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gridSpan w:val="3"/>
          </w:tcPr>
          <w:p>
            <w:pPr>
              <w:jc w:val="right"/>
              <w:ind w:right="40"/>
              <w:spacing w:after="0"/>
              <w:rPr>
                <w:sz w:val="20"/>
                <w:szCs w:val="20"/>
                <w:color w:val="auto"/>
              </w:rPr>
            </w:pPr>
            <w:r>
              <w:rPr>
                <w:rFonts w:ascii="Calibri" w:cs="Calibri" w:eastAsia="Calibri" w:hAnsi="Calibri"/>
                <w:sz w:val="15"/>
                <w:szCs w:val="15"/>
                <w:color w:val="auto"/>
              </w:rPr>
              <w:t>5 %</w:t>
            </w:r>
          </w:p>
        </w:tc>
        <w:tc>
          <w:tcPr>
            <w:tcW w:w="0" w:type="dxa"/>
            <w:vAlign w:val="bottom"/>
          </w:tcPr>
          <w:p>
            <w:pPr>
              <w:spacing w:after="0"/>
              <w:rPr>
                <w:sz w:val="1"/>
                <w:szCs w:val="1"/>
                <w:color w:val="auto"/>
              </w:rPr>
            </w:pPr>
          </w:p>
        </w:tc>
      </w:tr>
      <w:tr>
        <w:trPr>
          <w:trHeight w:val="24"/>
        </w:trPr>
        <w:tc>
          <w:tcPr>
            <w:tcW w:w="5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518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5"/>
                <w:szCs w:val="15"/>
                <w:color w:val="auto"/>
              </w:rPr>
              <w:t>Digital Wholesale</w:t>
            </w:r>
          </w:p>
        </w:tc>
        <w:tc>
          <w:tcPr>
            <w:tcW w:w="240" w:type="dxa"/>
            <w:vAlign w:val="bottom"/>
            <w:tcBorders>
              <w:bottom w:val="single" w:sz="8" w:color="CFF0FC"/>
            </w:tcBorders>
            <w:shd w:val="clear" w:color="auto" w:fill="CFF0FC"/>
          </w:tcPr>
          <w:p>
            <w:pPr>
              <w:spacing w:after="0"/>
              <w:rPr>
                <w:sz w:val="16"/>
                <w:szCs w:val="16"/>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216,005</w:t>
            </w:r>
          </w:p>
        </w:tc>
        <w:tc>
          <w:tcPr>
            <w:tcW w:w="22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996,264</w:t>
            </w:r>
          </w:p>
        </w:tc>
        <w:tc>
          <w:tcPr>
            <w:tcW w:w="22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10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Calibri" w:cs="Calibri" w:eastAsia="Calibri" w:hAnsi="Calibri"/>
                <w:sz w:val="15"/>
                <w:szCs w:val="15"/>
                <w:color w:val="auto"/>
              </w:rPr>
              <w:t>(780,259 )</w:t>
            </w:r>
          </w:p>
        </w:tc>
        <w:tc>
          <w:tcPr>
            <w:tcW w:w="300" w:type="dxa"/>
            <w:vAlign w:val="bottom"/>
            <w:tcBorders>
              <w:bottom w:val="single" w:sz="8" w:color="CFF0FC"/>
            </w:tcBorders>
            <w:shd w:val="clear" w:color="auto" w:fill="CFF0FC"/>
          </w:tcPr>
          <w:p>
            <w:pPr>
              <w:spacing w:after="0"/>
              <w:rPr>
                <w:sz w:val="16"/>
                <w:szCs w:val="16"/>
                <w:color w:val="auto"/>
              </w:rPr>
            </w:pPr>
          </w:p>
        </w:tc>
        <w:tc>
          <w:tcPr>
            <w:tcW w:w="880" w:type="dxa"/>
            <w:vAlign w:val="bottom"/>
            <w:tcBorders>
              <w:bottom w:val="single" w:sz="8" w:color="CFF0FC"/>
            </w:tcBorders>
            <w:gridSpan w:val="2"/>
            <w:shd w:val="clear" w:color="auto" w:fill="CFF0FC"/>
          </w:tcPr>
          <w:p>
            <w:pPr>
              <w:jc w:val="right"/>
              <w:ind w:right="40"/>
              <w:spacing w:after="0"/>
              <w:rPr>
                <w:sz w:val="20"/>
                <w:szCs w:val="20"/>
                <w:color w:val="auto"/>
              </w:rPr>
            </w:pPr>
            <w:r>
              <w:rPr>
                <w:rFonts w:ascii="Calibri" w:cs="Calibri" w:eastAsia="Calibri" w:hAnsi="Calibri"/>
                <w:sz w:val="15"/>
                <w:szCs w:val="15"/>
                <w:color w:val="auto"/>
              </w:rPr>
              <w:t>(78 )</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180" w:type="dxa"/>
            <w:vAlign w:val="bottom"/>
          </w:tcPr>
          <w:p>
            <w:pPr>
              <w:spacing w:after="0"/>
              <w:rPr>
                <w:sz w:val="20"/>
                <w:szCs w:val="20"/>
                <w:color w:val="auto"/>
              </w:rPr>
            </w:pPr>
            <w:r>
              <w:rPr>
                <w:rFonts w:ascii="Calibri" w:cs="Calibri" w:eastAsia="Calibri" w:hAnsi="Calibri"/>
                <w:sz w:val="15"/>
                <w:szCs w:val="15"/>
                <w:color w:val="auto"/>
              </w:rPr>
              <w:t>Other</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alibri" w:cs="Calibri" w:eastAsia="Calibri" w:hAnsi="Calibri"/>
                <w:sz w:val="15"/>
                <w:szCs w:val="15"/>
                <w:color w:val="auto"/>
              </w:rPr>
              <w:t>50,953</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alibri" w:cs="Calibri" w:eastAsia="Calibri" w:hAnsi="Calibri"/>
                <w:sz w:val="15"/>
                <w:szCs w:val="15"/>
                <w:color w:val="auto"/>
              </w:rPr>
              <w:t>44,635</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alibri" w:cs="Calibri" w:eastAsia="Calibri" w:hAnsi="Calibri"/>
                <w:sz w:val="15"/>
                <w:szCs w:val="15"/>
                <w:color w:val="auto"/>
              </w:rPr>
              <w:t>6,318</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alibri" w:cs="Calibri" w:eastAsia="Calibri" w:hAnsi="Calibri"/>
                <w:sz w:val="15"/>
                <w:szCs w:val="15"/>
                <w:color w:val="auto"/>
              </w:rPr>
              <w:t>14</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180" w:type="dxa"/>
            <w:vAlign w:val="bottom"/>
            <w:vMerge w:val="restart"/>
          </w:tcPr>
          <w:p>
            <w:pPr>
              <w:ind w:left="160"/>
              <w:spacing w:after="0"/>
              <w:rPr>
                <w:sz w:val="20"/>
                <w:szCs w:val="20"/>
                <w:color w:val="auto"/>
              </w:rPr>
            </w:pPr>
            <w:r>
              <w:rPr>
                <w:rFonts w:ascii="Calibri" w:cs="Calibri" w:eastAsia="Calibri" w:hAnsi="Calibri"/>
                <w:sz w:val="15"/>
                <w:szCs w:val="15"/>
                <w:color w:val="auto"/>
              </w:rPr>
              <w:t>Total</w:t>
            </w: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5180" w:type="dxa"/>
            <w:vAlign w:val="bottom"/>
            <w:vMerge w:val="continue"/>
          </w:tcPr>
          <w:p>
            <w:pPr>
              <w:spacing w:after="0"/>
              <w:rPr>
                <w:sz w:val="15"/>
                <w:szCs w:val="15"/>
                <w:color w:val="auto"/>
              </w:rPr>
            </w:pPr>
          </w:p>
        </w:tc>
        <w:tc>
          <w:tcPr>
            <w:tcW w:w="240" w:type="dxa"/>
            <w:vAlign w:val="bottom"/>
          </w:tcPr>
          <w:p>
            <w:pPr>
              <w:jc w:val="right"/>
              <w:ind w:right="83"/>
              <w:spacing w:after="0" w:line="174" w:lineRule="exact"/>
              <w:rPr>
                <w:sz w:val="20"/>
                <w:szCs w:val="20"/>
                <w:color w:val="auto"/>
              </w:rPr>
            </w:pPr>
            <w:r>
              <w:rPr>
                <w:rFonts w:ascii="Calibri" w:cs="Calibri" w:eastAsia="Calibri" w:hAnsi="Calibri"/>
                <w:sz w:val="15"/>
                <w:szCs w:val="15"/>
                <w:color w:val="auto"/>
                <w:w w:val="78"/>
              </w:rPr>
              <w:t>$</w:t>
            </w:r>
          </w:p>
        </w:tc>
        <w:tc>
          <w:tcPr>
            <w:tcW w:w="820" w:type="dxa"/>
            <w:vAlign w:val="bottom"/>
          </w:tcPr>
          <w:p>
            <w:pPr>
              <w:jc w:val="right"/>
              <w:spacing w:after="0" w:line="174" w:lineRule="exact"/>
              <w:rPr>
                <w:sz w:val="20"/>
                <w:szCs w:val="20"/>
                <w:color w:val="auto"/>
              </w:rPr>
            </w:pPr>
            <w:r>
              <w:rPr>
                <w:rFonts w:ascii="Calibri" w:cs="Calibri" w:eastAsia="Calibri" w:hAnsi="Calibri"/>
                <w:sz w:val="15"/>
                <w:szCs w:val="15"/>
                <w:color w:val="auto"/>
              </w:rPr>
              <w:t>914,242</w:t>
            </w:r>
          </w:p>
        </w:tc>
        <w:tc>
          <w:tcPr>
            <w:tcW w:w="220" w:type="dxa"/>
            <w:vAlign w:val="bottom"/>
          </w:tcPr>
          <w:p>
            <w:pPr>
              <w:spacing w:after="0"/>
              <w:rPr>
                <w:sz w:val="15"/>
                <w:szCs w:val="15"/>
                <w:color w:val="auto"/>
              </w:rPr>
            </w:pPr>
          </w:p>
        </w:tc>
        <w:tc>
          <w:tcPr>
            <w:tcW w:w="260" w:type="dxa"/>
            <w:vAlign w:val="bottom"/>
          </w:tcPr>
          <w:p>
            <w:pPr>
              <w:jc w:val="right"/>
              <w:ind w:right="83"/>
              <w:spacing w:after="0" w:line="174" w:lineRule="exact"/>
              <w:rPr>
                <w:sz w:val="20"/>
                <w:szCs w:val="20"/>
                <w:color w:val="auto"/>
              </w:rPr>
            </w:pPr>
            <w:r>
              <w:rPr>
                <w:rFonts w:ascii="Calibri" w:cs="Calibri" w:eastAsia="Calibri" w:hAnsi="Calibri"/>
                <w:sz w:val="15"/>
                <w:szCs w:val="15"/>
                <w:color w:val="auto"/>
              </w:rPr>
              <w:t>$</w:t>
            </w:r>
          </w:p>
        </w:tc>
        <w:tc>
          <w:tcPr>
            <w:tcW w:w="820" w:type="dxa"/>
            <w:vAlign w:val="bottom"/>
          </w:tcPr>
          <w:p>
            <w:pPr>
              <w:jc w:val="right"/>
              <w:spacing w:after="0" w:line="174" w:lineRule="exact"/>
              <w:rPr>
                <w:sz w:val="20"/>
                <w:szCs w:val="20"/>
                <w:color w:val="auto"/>
              </w:rPr>
            </w:pPr>
            <w:r>
              <w:rPr>
                <w:rFonts w:ascii="Calibri" w:cs="Calibri" w:eastAsia="Calibri" w:hAnsi="Calibri"/>
                <w:sz w:val="15"/>
                <w:szCs w:val="15"/>
                <w:color w:val="auto"/>
              </w:rPr>
              <w:t>1,655,035</w:t>
            </w:r>
          </w:p>
        </w:tc>
        <w:tc>
          <w:tcPr>
            <w:tcW w:w="220" w:type="dxa"/>
            <w:vAlign w:val="bottom"/>
          </w:tcPr>
          <w:p>
            <w:pPr>
              <w:spacing w:after="0"/>
              <w:rPr>
                <w:sz w:val="15"/>
                <w:szCs w:val="15"/>
                <w:color w:val="auto"/>
              </w:rPr>
            </w:pPr>
          </w:p>
        </w:tc>
        <w:tc>
          <w:tcPr>
            <w:tcW w:w="180" w:type="dxa"/>
            <w:vAlign w:val="bottom"/>
          </w:tcPr>
          <w:p>
            <w:pPr>
              <w:jc w:val="right"/>
              <w:ind w:right="23"/>
              <w:spacing w:after="0" w:line="174" w:lineRule="exact"/>
              <w:rPr>
                <w:sz w:val="20"/>
                <w:szCs w:val="20"/>
                <w:color w:val="auto"/>
              </w:rPr>
            </w:pPr>
            <w:r>
              <w:rPr>
                <w:rFonts w:ascii="Calibri" w:cs="Calibri" w:eastAsia="Calibri" w:hAnsi="Calibri"/>
                <w:sz w:val="15"/>
                <w:szCs w:val="15"/>
                <w:color w:val="auto"/>
                <w:w w:val="78"/>
              </w:rPr>
              <w:t>$</w:t>
            </w:r>
          </w:p>
        </w:tc>
        <w:tc>
          <w:tcPr>
            <w:tcW w:w="1020" w:type="dxa"/>
            <w:vAlign w:val="bottom"/>
            <w:gridSpan w:val="2"/>
          </w:tcPr>
          <w:p>
            <w:pPr>
              <w:jc w:val="right"/>
              <w:ind w:right="160"/>
              <w:spacing w:after="0" w:line="174" w:lineRule="exact"/>
              <w:rPr>
                <w:sz w:val="20"/>
                <w:szCs w:val="20"/>
                <w:color w:val="auto"/>
              </w:rPr>
            </w:pPr>
            <w:r>
              <w:rPr>
                <w:rFonts w:ascii="Calibri" w:cs="Calibri" w:eastAsia="Calibri" w:hAnsi="Calibri"/>
                <w:sz w:val="15"/>
                <w:szCs w:val="15"/>
                <w:color w:val="auto"/>
              </w:rPr>
              <w:t>(740,793 )</w:t>
            </w:r>
          </w:p>
        </w:tc>
        <w:tc>
          <w:tcPr>
            <w:tcW w:w="300" w:type="dxa"/>
            <w:vAlign w:val="bottom"/>
          </w:tcPr>
          <w:p>
            <w:pPr>
              <w:spacing w:after="0"/>
              <w:rPr>
                <w:sz w:val="15"/>
                <w:szCs w:val="15"/>
                <w:color w:val="auto"/>
              </w:rPr>
            </w:pPr>
          </w:p>
        </w:tc>
        <w:tc>
          <w:tcPr>
            <w:tcW w:w="940" w:type="dxa"/>
            <w:vAlign w:val="bottom"/>
            <w:gridSpan w:val="3"/>
          </w:tcPr>
          <w:p>
            <w:pPr>
              <w:jc w:val="right"/>
              <w:spacing w:after="0" w:line="174" w:lineRule="exact"/>
              <w:rPr>
                <w:sz w:val="20"/>
                <w:szCs w:val="20"/>
                <w:color w:val="auto"/>
              </w:rPr>
            </w:pPr>
            <w:r>
              <w:rPr>
                <w:rFonts w:ascii="Calibri" w:cs="Calibri" w:eastAsia="Calibri" w:hAnsi="Calibri"/>
                <w:sz w:val="15"/>
                <w:szCs w:val="15"/>
                <w:color w:val="auto"/>
              </w:rPr>
              <w:t>(45 )%</w:t>
            </w:r>
          </w:p>
        </w:tc>
        <w:tc>
          <w:tcPr>
            <w:tcW w:w="0" w:type="dxa"/>
            <w:vAlign w:val="bottom"/>
          </w:tcPr>
          <w:p>
            <w:pPr>
              <w:spacing w:after="0"/>
              <w:rPr>
                <w:sz w:val="1"/>
                <w:szCs w:val="1"/>
                <w:color w:val="auto"/>
              </w:rPr>
            </w:pPr>
          </w:p>
        </w:tc>
      </w:tr>
      <w:tr>
        <w:trPr>
          <w:trHeight w:val="24"/>
        </w:trPr>
        <w:tc>
          <w:tcPr>
            <w:tcW w:w="5180" w:type="dxa"/>
            <w:vAlign w:val="bottom"/>
            <w:vMerge w:val="restart"/>
          </w:tcPr>
          <w:p>
            <w:pPr>
              <w:spacing w:after="0"/>
              <w:rPr>
                <w:sz w:val="20"/>
                <w:szCs w:val="20"/>
                <w:color w:val="auto"/>
              </w:rPr>
            </w:pPr>
            <w:r>
              <w:rPr>
                <w:rFonts w:ascii="Calibri" w:cs="Calibri" w:eastAsia="Calibri" w:hAnsi="Calibri"/>
                <w:sz w:val="15"/>
                <w:szCs w:val="15"/>
                <w:b w:val="1"/>
                <w:bCs w:val="1"/>
                <w:color w:val="auto"/>
              </w:rPr>
              <w:t>Percentage of total revenue:</w:t>
            </w: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8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1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
        </w:trPr>
        <w:tc>
          <w:tcPr>
            <w:tcW w:w="5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518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5"/>
                <w:szCs w:val="15"/>
                <w:color w:val="auto"/>
              </w:rPr>
              <w:t>U.S. Marketplace</w:t>
            </w:r>
          </w:p>
        </w:tc>
        <w:tc>
          <w:tcPr>
            <w:tcW w:w="240" w:type="dxa"/>
            <w:vAlign w:val="bottom"/>
            <w:tcBorders>
              <w:bottom w:val="single" w:sz="8" w:color="CFF0FC"/>
            </w:tcBorders>
            <w:shd w:val="clear" w:color="auto" w:fill="CFF0FC"/>
          </w:tcPr>
          <w:p>
            <w:pPr>
              <w:spacing w:after="0"/>
              <w:rPr>
                <w:sz w:val="16"/>
                <w:szCs w:val="16"/>
                <w:color w:val="auto"/>
              </w:rPr>
            </w:pPr>
          </w:p>
        </w:tc>
        <w:tc>
          <w:tcPr>
            <w:tcW w:w="104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Calibri" w:cs="Calibri" w:eastAsia="Calibri" w:hAnsi="Calibri"/>
                <w:sz w:val="15"/>
                <w:szCs w:val="15"/>
                <w:color w:val="auto"/>
              </w:rPr>
              <w:t>71 %</w:t>
            </w:r>
          </w:p>
        </w:tc>
        <w:tc>
          <w:tcPr>
            <w:tcW w:w="260" w:type="dxa"/>
            <w:vAlign w:val="bottom"/>
            <w:tcBorders>
              <w:bottom w:val="single" w:sz="8" w:color="CFF0FC"/>
            </w:tcBorders>
            <w:shd w:val="clear" w:color="auto" w:fill="CFF0FC"/>
          </w:tcPr>
          <w:p>
            <w:pPr>
              <w:spacing w:after="0"/>
              <w:rPr>
                <w:sz w:val="16"/>
                <w:szCs w:val="16"/>
                <w:color w:val="auto"/>
              </w:rPr>
            </w:pPr>
          </w:p>
        </w:tc>
        <w:tc>
          <w:tcPr>
            <w:tcW w:w="104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Calibri" w:cs="Calibri" w:eastAsia="Calibri" w:hAnsi="Calibri"/>
                <w:sz w:val="15"/>
                <w:szCs w:val="15"/>
                <w:color w:val="auto"/>
              </w:rPr>
              <w:t>37 %</w:t>
            </w:r>
          </w:p>
        </w:tc>
        <w:tc>
          <w:tcPr>
            <w:tcW w:w="180" w:type="dxa"/>
            <w:vAlign w:val="bottom"/>
            <w:tcBorders>
              <w:bottom w:val="single" w:sz="8" w:color="CFF0FC"/>
            </w:tcBorders>
            <w:shd w:val="clear" w:color="auto" w:fill="CFF0FC"/>
          </w:tcPr>
          <w:p>
            <w:pPr>
              <w:spacing w:after="0"/>
              <w:rPr>
                <w:sz w:val="16"/>
                <w:szCs w:val="16"/>
                <w:color w:val="auto"/>
              </w:rPr>
            </w:pPr>
          </w:p>
        </w:tc>
        <w:tc>
          <w:tcPr>
            <w:tcW w:w="82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CFF0FC"/>
            </w:tcBorders>
            <w:shd w:val="clear" w:color="auto" w:fill="CFF0FC"/>
          </w:tcPr>
          <w:p>
            <w:pPr>
              <w:spacing w:after="0"/>
              <w:rPr>
                <w:sz w:val="16"/>
                <w:szCs w:val="16"/>
                <w:color w:val="auto"/>
              </w:rPr>
            </w:pPr>
          </w:p>
        </w:tc>
        <w:tc>
          <w:tcPr>
            <w:tcW w:w="7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180" w:type="dxa"/>
            <w:vAlign w:val="bottom"/>
          </w:tcPr>
          <w:p>
            <w:pPr>
              <w:spacing w:after="0"/>
              <w:rPr>
                <w:sz w:val="20"/>
                <w:szCs w:val="20"/>
                <w:color w:val="auto"/>
              </w:rPr>
            </w:pPr>
            <w:r>
              <w:rPr>
                <w:rFonts w:ascii="Calibri" w:cs="Calibri" w:eastAsia="Calibri" w:hAnsi="Calibri"/>
                <w:sz w:val="15"/>
                <w:szCs w:val="15"/>
                <w:color w:val="auto"/>
              </w:rPr>
              <w:t>Digital Wholesale</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alibri" w:cs="Calibri" w:eastAsia="Calibri" w:hAnsi="Calibri"/>
                <w:sz w:val="15"/>
                <w:szCs w:val="15"/>
                <w:color w:val="auto"/>
              </w:rPr>
              <w:t>24</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alibri" w:cs="Calibri" w:eastAsia="Calibri" w:hAnsi="Calibri"/>
                <w:sz w:val="15"/>
                <w:szCs w:val="15"/>
                <w:color w:val="auto"/>
              </w:rPr>
              <w:t>60</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518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5"/>
                <w:szCs w:val="15"/>
                <w:color w:val="auto"/>
              </w:rPr>
              <w:t>Other</w:t>
            </w:r>
          </w:p>
        </w:tc>
        <w:tc>
          <w:tcPr>
            <w:tcW w:w="240" w:type="dxa"/>
            <w:vAlign w:val="bottom"/>
            <w:tcBorders>
              <w:bottom w:val="single" w:sz="8" w:color="CFF0FC"/>
            </w:tcBorders>
            <w:shd w:val="clear" w:color="auto" w:fill="CFF0FC"/>
          </w:tcPr>
          <w:p>
            <w:pPr>
              <w:spacing w:after="0"/>
              <w:rPr>
                <w:sz w:val="16"/>
                <w:szCs w:val="16"/>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6</w:t>
            </w:r>
          </w:p>
        </w:tc>
        <w:tc>
          <w:tcPr>
            <w:tcW w:w="22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3</w:t>
            </w:r>
          </w:p>
        </w:tc>
        <w:tc>
          <w:tcPr>
            <w:tcW w:w="22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82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CFF0FC"/>
            </w:tcBorders>
            <w:shd w:val="clear" w:color="auto" w:fill="CFF0FC"/>
          </w:tcPr>
          <w:p>
            <w:pPr>
              <w:spacing w:after="0"/>
              <w:rPr>
                <w:sz w:val="16"/>
                <w:szCs w:val="16"/>
                <w:color w:val="auto"/>
              </w:rPr>
            </w:pPr>
          </w:p>
        </w:tc>
        <w:tc>
          <w:tcPr>
            <w:tcW w:w="7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1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180" w:type="dxa"/>
            <w:vAlign w:val="bottom"/>
          </w:tcPr>
          <w:p>
            <w:pPr>
              <w:ind w:left="160"/>
              <w:spacing w:after="0" w:line="174" w:lineRule="exact"/>
              <w:rPr>
                <w:sz w:val="20"/>
                <w:szCs w:val="20"/>
                <w:color w:val="auto"/>
              </w:rPr>
            </w:pPr>
            <w:r>
              <w:rPr>
                <w:rFonts w:ascii="Calibri" w:cs="Calibri" w:eastAsia="Calibri" w:hAnsi="Calibri"/>
                <w:sz w:val="15"/>
                <w:szCs w:val="15"/>
                <w:color w:val="auto"/>
              </w:rPr>
              <w:t>Total</w:t>
            </w:r>
          </w:p>
        </w:tc>
        <w:tc>
          <w:tcPr>
            <w:tcW w:w="240" w:type="dxa"/>
            <w:vAlign w:val="bottom"/>
          </w:tcPr>
          <w:p>
            <w:pPr>
              <w:spacing w:after="0"/>
              <w:rPr>
                <w:sz w:val="15"/>
                <w:szCs w:val="15"/>
                <w:color w:val="auto"/>
              </w:rPr>
            </w:pPr>
          </w:p>
        </w:tc>
        <w:tc>
          <w:tcPr>
            <w:tcW w:w="1040" w:type="dxa"/>
            <w:vAlign w:val="bottom"/>
            <w:gridSpan w:val="2"/>
          </w:tcPr>
          <w:p>
            <w:pPr>
              <w:jc w:val="right"/>
              <w:ind w:right="100"/>
              <w:spacing w:after="0" w:line="174" w:lineRule="exact"/>
              <w:rPr>
                <w:sz w:val="20"/>
                <w:szCs w:val="20"/>
                <w:color w:val="auto"/>
              </w:rPr>
            </w:pPr>
            <w:r>
              <w:rPr>
                <w:rFonts w:ascii="Calibri" w:cs="Calibri" w:eastAsia="Calibri" w:hAnsi="Calibri"/>
                <w:sz w:val="15"/>
                <w:szCs w:val="15"/>
                <w:color w:val="auto"/>
              </w:rPr>
              <w:t>100 %</w:t>
            </w:r>
          </w:p>
        </w:tc>
        <w:tc>
          <w:tcPr>
            <w:tcW w:w="260" w:type="dxa"/>
            <w:vAlign w:val="bottom"/>
          </w:tcPr>
          <w:p>
            <w:pPr>
              <w:spacing w:after="0"/>
              <w:rPr>
                <w:sz w:val="15"/>
                <w:szCs w:val="15"/>
                <w:color w:val="auto"/>
              </w:rPr>
            </w:pPr>
          </w:p>
        </w:tc>
        <w:tc>
          <w:tcPr>
            <w:tcW w:w="1040" w:type="dxa"/>
            <w:vAlign w:val="bottom"/>
            <w:gridSpan w:val="2"/>
          </w:tcPr>
          <w:p>
            <w:pPr>
              <w:jc w:val="right"/>
              <w:ind w:right="100"/>
              <w:spacing w:after="0" w:line="174" w:lineRule="exact"/>
              <w:rPr>
                <w:sz w:val="20"/>
                <w:szCs w:val="20"/>
                <w:color w:val="auto"/>
              </w:rPr>
            </w:pPr>
            <w:r>
              <w:rPr>
                <w:rFonts w:ascii="Calibri" w:cs="Calibri" w:eastAsia="Calibri" w:hAnsi="Calibri"/>
                <w:sz w:val="15"/>
                <w:szCs w:val="15"/>
                <w:color w:val="auto"/>
              </w:rPr>
              <w:t>100 %</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-839470</wp:posOffset>
            </wp:positionV>
            <wp:extent cx="6436360" cy="1536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436360" cy="153670"/>
                    </a:xfrm>
                    <a:prstGeom prst="rect">
                      <a:avLst/>
                    </a:prstGeom>
                    <a:noFill/>
                  </pic:spPr>
                </pic:pic>
              </a:graphicData>
            </a:graphic>
          </wp:anchor>
        </w:drawing>
        <w:drawing>
          <wp:anchor simplePos="0" relativeHeight="251657728" behindDoc="1" locked="0" layoutInCell="0" allowOverlap="1">
            <wp:simplePos x="0" y="0"/>
            <wp:positionH relativeFrom="column">
              <wp:posOffset>4319905</wp:posOffset>
            </wp:positionH>
            <wp:positionV relativeFrom="paragraph">
              <wp:posOffset>-160020</wp:posOffset>
            </wp:positionV>
            <wp:extent cx="66040"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5138420</wp:posOffset>
            </wp:positionH>
            <wp:positionV relativeFrom="paragraph">
              <wp:posOffset>-160020</wp:posOffset>
            </wp:positionV>
            <wp:extent cx="66040"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6040" cy="7620"/>
                    </a:xfrm>
                    <a:prstGeom prst="rect">
                      <a:avLst/>
                    </a:prstGeom>
                    <a:noFill/>
                  </pic:spPr>
                </pic:pic>
              </a:graphicData>
            </a:graphic>
          </wp:anchor>
        </w:drawing>
      </w:r>
    </w:p>
    <w:p>
      <w:pPr>
        <w:spacing w:after="0" w:line="146" w:lineRule="exact"/>
        <w:rPr>
          <w:sz w:val="20"/>
          <w:szCs w:val="20"/>
          <w:color w:val="auto"/>
        </w:rPr>
      </w:pPr>
    </w:p>
    <w:p>
      <w:pPr>
        <w:jc w:val="both"/>
        <w:ind w:right="20" w:firstLine="511"/>
        <w:spacing w:after="0" w:line="241" w:lineRule="auto"/>
        <w:rPr>
          <w:sz w:val="20"/>
          <w:szCs w:val="20"/>
          <w:color w:val="auto"/>
        </w:rPr>
      </w:pPr>
      <w:r>
        <w:rPr>
          <w:rFonts w:ascii="Calibri" w:cs="Calibri" w:eastAsia="Calibri" w:hAnsi="Calibri"/>
          <w:sz w:val="15"/>
          <w:szCs w:val="15"/>
          <w:color w:val="auto"/>
        </w:rPr>
        <w:t>U.S. Marketplace segment revenue increased $33.1 million, or 5%, in the year ended December 31, 2023 compared to the year ended December 31, 2022 and represented 71% of total revenue for the year ended December 31, 2023 and 37% of total revenue for the year ended December 31, 2022. This increase was due primarily to growth in U.S. QARSD throughout the year, as a result of signing on new dealers with higher average monthly recurring revenue and revenue expansion through product upgrades for existng dealers.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Digital Wholesale segment revenue, which is comprised of wholesale revenue and product revenue, decreased $780.3 million, or 78%, in the year ended December 31, 2023 compared to the year ended December 31, 2022 and represented 24% of total revenue for the year ended December 31, 2023 and 60% of total revenue for the year ended December 31, 2022. The decrease in Digital Wholesale segment revenue was due to a decrease in wholesale revenue and product revenue, as described above.</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b w:val="1"/>
          <w:bCs w:val="1"/>
          <w:i w:val="1"/>
          <w:iCs w:val="1"/>
          <w:color w:val="auto"/>
        </w:rPr>
        <w:t>Cost of Revenue</w:t>
      </w:r>
    </w:p>
    <w:p>
      <w:pPr>
        <w:spacing w:after="0" w:line="202" w:lineRule="exact"/>
        <w:rPr>
          <w:sz w:val="20"/>
          <w:szCs w:val="20"/>
          <w:color w:val="auto"/>
        </w:rPr>
      </w:pPr>
    </w:p>
    <w:tbl>
      <w:tblPr>
        <w:tblLayout w:type="fixed"/>
        <w:tblInd w:w="560" w:type="dxa"/>
        <w:tblCellMar>
          <w:top w:w="0" w:type="dxa"/>
          <w:left w:w="0" w:type="dxa"/>
          <w:bottom w:w="0" w:type="dxa"/>
          <w:right w:w="0" w:type="dxa"/>
        </w:tblCellMar>
      </w:tblPr>
      <w:tr>
        <w:trPr>
          <w:trHeight w:val="146"/>
        </w:trPr>
        <w:tc>
          <w:tcPr>
            <w:tcW w:w="5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20" w:type="dxa"/>
            <w:vAlign w:val="bottom"/>
            <w:gridSpan w:val="5"/>
          </w:tcPr>
          <w:p>
            <w:pPr>
              <w:jc w:val="right"/>
              <w:ind w:right="760"/>
              <w:spacing w:after="0"/>
              <w:rPr>
                <w:sz w:val="20"/>
                <w:szCs w:val="20"/>
                <w:color w:val="auto"/>
              </w:rPr>
            </w:pPr>
            <w:r>
              <w:rPr>
                <w:rFonts w:ascii="Calibri" w:cs="Calibri" w:eastAsia="Calibri" w:hAnsi="Calibri"/>
                <w:sz w:val="12"/>
                <w:szCs w:val="12"/>
                <w:b w:val="1"/>
                <w:bCs w:val="1"/>
                <w:color w:val="auto"/>
              </w:rPr>
              <w:t>Year Ended December 31,</w:t>
            </w:r>
          </w:p>
        </w:tc>
        <w:tc>
          <w:tcPr>
            <w:tcW w:w="180" w:type="dxa"/>
            <w:vAlign w:val="bottom"/>
          </w:tcPr>
          <w:p>
            <w:pPr>
              <w:spacing w:after="0"/>
              <w:rPr>
                <w:sz w:val="12"/>
                <w:szCs w:val="12"/>
                <w:color w:val="auto"/>
              </w:rPr>
            </w:pPr>
          </w:p>
        </w:tc>
        <w:tc>
          <w:tcPr>
            <w:tcW w:w="1320" w:type="dxa"/>
            <w:vAlign w:val="bottom"/>
            <w:gridSpan w:val="3"/>
          </w:tcPr>
          <w:p>
            <w:pPr>
              <w:ind w:left="760"/>
              <w:spacing w:after="0"/>
              <w:rPr>
                <w:sz w:val="20"/>
                <w:szCs w:val="20"/>
                <w:color w:val="auto"/>
              </w:rPr>
            </w:pPr>
            <w:r>
              <w:rPr>
                <w:rFonts w:ascii="Calibri" w:cs="Calibri" w:eastAsia="Calibri" w:hAnsi="Calibri"/>
                <w:sz w:val="12"/>
                <w:szCs w:val="12"/>
                <w:b w:val="1"/>
                <w:bCs w:val="1"/>
                <w:color w:val="auto"/>
              </w:rPr>
              <w:t>Change</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5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5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jc w:val="right"/>
              <w:ind w:right="326"/>
              <w:spacing w:after="0" w:line="138" w:lineRule="exact"/>
              <w:rPr>
                <w:sz w:val="20"/>
                <w:szCs w:val="20"/>
                <w:color w:val="auto"/>
              </w:rPr>
            </w:pPr>
            <w:r>
              <w:rPr>
                <w:rFonts w:ascii="Calibri" w:cs="Calibri" w:eastAsia="Calibri" w:hAnsi="Calibri"/>
                <w:sz w:val="12"/>
                <w:szCs w:val="12"/>
                <w:b w:val="1"/>
                <w:bCs w:val="1"/>
                <w:color w:val="auto"/>
              </w:rPr>
              <w:t>2023</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jc w:val="right"/>
              <w:ind w:right="326"/>
              <w:spacing w:after="0" w:line="138" w:lineRule="exact"/>
              <w:rPr>
                <w:sz w:val="20"/>
                <w:szCs w:val="20"/>
                <w:color w:val="auto"/>
              </w:rPr>
            </w:pPr>
            <w:r>
              <w:rPr>
                <w:rFonts w:ascii="Calibri" w:cs="Calibri" w:eastAsia="Calibri" w:hAnsi="Calibri"/>
                <w:sz w:val="12"/>
                <w:szCs w:val="12"/>
                <w:b w:val="1"/>
                <w:bCs w:val="1"/>
                <w:color w:val="auto"/>
              </w:rPr>
              <w:t>2022</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3"/>
          </w:tcPr>
          <w:p>
            <w:pPr>
              <w:ind w:left="120"/>
              <w:spacing w:after="0" w:line="138" w:lineRule="exact"/>
              <w:rPr>
                <w:sz w:val="20"/>
                <w:szCs w:val="20"/>
                <w:color w:val="auto"/>
              </w:rPr>
            </w:pPr>
            <w:r>
              <w:rPr>
                <w:rFonts w:ascii="Calibri" w:cs="Calibri" w:eastAsia="Calibri" w:hAnsi="Calibri"/>
                <w:sz w:val="12"/>
                <w:szCs w:val="12"/>
                <w:b w:val="1"/>
                <w:bCs w:val="1"/>
                <w:color w:val="auto"/>
              </w:rPr>
              <w:t>Amount</w:t>
            </w:r>
          </w:p>
        </w:tc>
        <w:tc>
          <w:tcPr>
            <w:tcW w:w="760" w:type="dxa"/>
            <w:vAlign w:val="bottom"/>
          </w:tcPr>
          <w:p>
            <w:pPr>
              <w:jc w:val="right"/>
              <w:ind w:right="426"/>
              <w:spacing w:after="0" w:line="138" w:lineRule="exact"/>
              <w:rPr>
                <w:sz w:val="20"/>
                <w:szCs w:val="20"/>
                <w:color w:val="auto"/>
              </w:rPr>
            </w:pPr>
            <w:r>
              <w:rPr>
                <w:rFonts w:ascii="Calibri" w:cs="Calibri" w:eastAsia="Calibri" w:hAnsi="Calibri"/>
                <w:sz w:val="12"/>
                <w:szCs w:val="12"/>
                <w:b w:val="1"/>
                <w:bCs w:val="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5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40" w:type="dxa"/>
            <w:vAlign w:val="bottom"/>
            <w:gridSpan w:val="6"/>
          </w:tcPr>
          <w:p>
            <w:pPr>
              <w:ind w:left="340"/>
              <w:spacing w:after="0" w:line="138" w:lineRule="exact"/>
              <w:rPr>
                <w:sz w:val="20"/>
                <w:szCs w:val="20"/>
                <w:color w:val="auto"/>
              </w:rPr>
            </w:pPr>
            <w:r>
              <w:rPr>
                <w:rFonts w:ascii="Calibri" w:cs="Calibri" w:eastAsia="Calibri" w:hAnsi="Calibri"/>
                <w:sz w:val="12"/>
                <w:szCs w:val="12"/>
                <w:b w:val="1"/>
                <w:bCs w:val="1"/>
                <w:color w:val="auto"/>
              </w:rPr>
              <w:t>(dollars in thousands)</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522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5"/>
                <w:szCs w:val="15"/>
                <w:b w:val="1"/>
                <w:bCs w:val="1"/>
                <w:color w:val="auto"/>
              </w:rPr>
              <w:t>Cost of revenue:</w:t>
            </w:r>
          </w:p>
        </w:tc>
        <w:tc>
          <w:tcPr>
            <w:tcW w:w="24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82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CFF0FC"/>
            </w:tcBorders>
            <w:shd w:val="clear" w:color="auto" w:fill="CFF0FC"/>
          </w:tcPr>
          <w:p>
            <w:pPr>
              <w:spacing w:after="0"/>
              <w:rPr>
                <w:sz w:val="16"/>
                <w:szCs w:val="16"/>
                <w:color w:val="auto"/>
              </w:rPr>
            </w:pPr>
          </w:p>
        </w:tc>
        <w:tc>
          <w:tcPr>
            <w:tcW w:w="7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220" w:type="dxa"/>
            <w:vAlign w:val="bottom"/>
          </w:tcPr>
          <w:p>
            <w:pPr>
              <w:spacing w:after="0"/>
              <w:rPr>
                <w:sz w:val="20"/>
                <w:szCs w:val="20"/>
                <w:color w:val="auto"/>
              </w:rPr>
            </w:pPr>
            <w:r>
              <w:rPr>
                <w:rFonts w:ascii="Calibri" w:cs="Calibri" w:eastAsia="Calibri" w:hAnsi="Calibri"/>
                <w:sz w:val="15"/>
                <w:szCs w:val="15"/>
                <w:color w:val="auto"/>
              </w:rPr>
              <w:t>Marketplace</w:t>
            </w:r>
          </w:p>
        </w:tc>
        <w:tc>
          <w:tcPr>
            <w:tcW w:w="240" w:type="dxa"/>
            <w:vAlign w:val="bottom"/>
          </w:tcPr>
          <w:p>
            <w:pPr>
              <w:jc w:val="right"/>
              <w:ind w:right="83"/>
              <w:spacing w:after="0"/>
              <w:rPr>
                <w:sz w:val="20"/>
                <w:szCs w:val="20"/>
                <w:color w:val="auto"/>
              </w:rPr>
            </w:pPr>
            <w:r>
              <w:rPr>
                <w:rFonts w:ascii="Calibri" w:cs="Calibri" w:eastAsia="Calibri" w:hAnsi="Calibri"/>
                <w:sz w:val="15"/>
                <w:szCs w:val="15"/>
                <w:color w:val="auto"/>
                <w:w w:val="78"/>
              </w:rPr>
              <w:t>$</w:t>
            </w:r>
          </w:p>
        </w:tc>
        <w:tc>
          <w:tcPr>
            <w:tcW w:w="800" w:type="dxa"/>
            <w:vAlign w:val="bottom"/>
          </w:tcPr>
          <w:p>
            <w:pPr>
              <w:jc w:val="right"/>
              <w:spacing w:after="0"/>
              <w:rPr>
                <w:sz w:val="20"/>
                <w:szCs w:val="20"/>
                <w:color w:val="auto"/>
              </w:rPr>
            </w:pPr>
            <w:r>
              <w:rPr>
                <w:rFonts w:ascii="Calibri" w:cs="Calibri" w:eastAsia="Calibri" w:hAnsi="Calibri"/>
                <w:sz w:val="15"/>
                <w:szCs w:val="15"/>
                <w:color w:val="auto"/>
              </w:rPr>
              <w:t>60,020</w:t>
            </w:r>
          </w:p>
        </w:tc>
        <w:tc>
          <w:tcPr>
            <w:tcW w:w="240" w:type="dxa"/>
            <w:vAlign w:val="bottom"/>
          </w:tcPr>
          <w:p>
            <w:pPr>
              <w:spacing w:after="0"/>
              <w:rPr>
                <w:sz w:val="15"/>
                <w:szCs w:val="15"/>
                <w:color w:val="auto"/>
              </w:rPr>
            </w:pPr>
          </w:p>
        </w:tc>
        <w:tc>
          <w:tcPr>
            <w:tcW w:w="240" w:type="dxa"/>
            <w:vAlign w:val="bottom"/>
          </w:tcPr>
          <w:p>
            <w:pPr>
              <w:jc w:val="right"/>
              <w:ind w:right="83"/>
              <w:spacing w:after="0"/>
              <w:rPr>
                <w:sz w:val="20"/>
                <w:szCs w:val="20"/>
                <w:color w:val="auto"/>
              </w:rPr>
            </w:pPr>
            <w:r>
              <w:rPr>
                <w:rFonts w:ascii="Calibri" w:cs="Calibri" w:eastAsia="Calibri" w:hAnsi="Calibri"/>
                <w:sz w:val="15"/>
                <w:szCs w:val="15"/>
                <w:color w:val="auto"/>
                <w:w w:val="78"/>
              </w:rPr>
              <w:t>$</w:t>
            </w:r>
          </w:p>
        </w:tc>
        <w:tc>
          <w:tcPr>
            <w:tcW w:w="800" w:type="dxa"/>
            <w:vAlign w:val="bottom"/>
          </w:tcPr>
          <w:p>
            <w:pPr>
              <w:jc w:val="right"/>
              <w:spacing w:after="0"/>
              <w:rPr>
                <w:sz w:val="20"/>
                <w:szCs w:val="20"/>
                <w:color w:val="auto"/>
              </w:rPr>
            </w:pPr>
            <w:r>
              <w:rPr>
                <w:rFonts w:ascii="Calibri" w:cs="Calibri" w:eastAsia="Calibri" w:hAnsi="Calibri"/>
                <w:sz w:val="15"/>
                <w:szCs w:val="15"/>
                <w:color w:val="auto"/>
              </w:rPr>
              <w:t>56,040</w:t>
            </w:r>
          </w:p>
        </w:tc>
        <w:tc>
          <w:tcPr>
            <w:tcW w:w="240" w:type="dxa"/>
            <w:vAlign w:val="bottom"/>
          </w:tcPr>
          <w:p>
            <w:pPr>
              <w:spacing w:after="0"/>
              <w:rPr>
                <w:sz w:val="15"/>
                <w:szCs w:val="15"/>
                <w:color w:val="auto"/>
              </w:rPr>
            </w:pPr>
          </w:p>
        </w:tc>
        <w:tc>
          <w:tcPr>
            <w:tcW w:w="180" w:type="dxa"/>
            <w:vAlign w:val="bottom"/>
          </w:tcPr>
          <w:p>
            <w:pPr>
              <w:jc w:val="right"/>
              <w:ind w:right="23"/>
              <w:spacing w:after="0"/>
              <w:rPr>
                <w:sz w:val="20"/>
                <w:szCs w:val="20"/>
                <w:color w:val="auto"/>
              </w:rPr>
            </w:pPr>
            <w:r>
              <w:rPr>
                <w:rFonts w:ascii="Calibri" w:cs="Calibri" w:eastAsia="Calibri" w:hAnsi="Calibri"/>
                <w:sz w:val="15"/>
                <w:szCs w:val="15"/>
                <w:color w:val="auto"/>
                <w:w w:val="78"/>
              </w:rPr>
              <w:t>$</w:t>
            </w:r>
          </w:p>
        </w:tc>
        <w:tc>
          <w:tcPr>
            <w:tcW w:w="820" w:type="dxa"/>
            <w:vAlign w:val="bottom"/>
          </w:tcPr>
          <w:p>
            <w:pPr>
              <w:jc w:val="right"/>
              <w:spacing w:after="0"/>
              <w:rPr>
                <w:sz w:val="20"/>
                <w:szCs w:val="20"/>
                <w:color w:val="auto"/>
              </w:rPr>
            </w:pPr>
            <w:r>
              <w:rPr>
                <w:rFonts w:ascii="Calibri" w:cs="Calibri" w:eastAsia="Calibri" w:hAnsi="Calibri"/>
                <w:sz w:val="15"/>
                <w:szCs w:val="15"/>
                <w:color w:val="auto"/>
              </w:rPr>
              <w:t>3,980</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gridSpan w:val="3"/>
          </w:tcPr>
          <w:p>
            <w:pPr>
              <w:jc w:val="right"/>
              <w:ind w:right="40"/>
              <w:spacing w:after="0"/>
              <w:rPr>
                <w:sz w:val="20"/>
                <w:szCs w:val="20"/>
                <w:color w:val="auto"/>
              </w:rPr>
            </w:pPr>
            <w:r>
              <w:rPr>
                <w:rFonts w:ascii="Calibri" w:cs="Calibri" w:eastAsia="Calibri" w:hAnsi="Calibri"/>
                <w:sz w:val="15"/>
                <w:szCs w:val="15"/>
                <w:color w:val="auto"/>
              </w:rPr>
              <w:t>7 %</w:t>
            </w:r>
          </w:p>
        </w:tc>
        <w:tc>
          <w:tcPr>
            <w:tcW w:w="0" w:type="dxa"/>
            <w:vAlign w:val="bottom"/>
          </w:tcPr>
          <w:p>
            <w:pPr>
              <w:spacing w:after="0"/>
              <w:rPr>
                <w:sz w:val="1"/>
                <w:szCs w:val="1"/>
                <w:color w:val="auto"/>
              </w:rPr>
            </w:pPr>
          </w:p>
        </w:tc>
      </w:tr>
      <w:tr>
        <w:trPr>
          <w:trHeight w:val="24"/>
        </w:trPr>
        <w:tc>
          <w:tcPr>
            <w:tcW w:w="5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522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5"/>
                <w:szCs w:val="15"/>
                <w:color w:val="auto"/>
              </w:rPr>
              <w:t>Wholesale</w:t>
            </w:r>
          </w:p>
        </w:tc>
        <w:tc>
          <w:tcPr>
            <w:tcW w:w="24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90,066</w:t>
            </w:r>
          </w:p>
        </w:tc>
        <w:tc>
          <w:tcPr>
            <w:tcW w:w="24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176,446</w:t>
            </w:r>
          </w:p>
        </w:tc>
        <w:tc>
          <w:tcPr>
            <w:tcW w:w="24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102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Calibri" w:cs="Calibri" w:eastAsia="Calibri" w:hAnsi="Calibri"/>
                <w:sz w:val="15"/>
                <w:szCs w:val="15"/>
                <w:color w:val="auto"/>
              </w:rPr>
              <w:t>(86,380 )</w:t>
            </w:r>
          </w:p>
        </w:tc>
        <w:tc>
          <w:tcPr>
            <w:tcW w:w="300" w:type="dxa"/>
            <w:vAlign w:val="bottom"/>
            <w:tcBorders>
              <w:bottom w:val="single" w:sz="8" w:color="CFF0FC"/>
            </w:tcBorders>
            <w:shd w:val="clear" w:color="auto" w:fill="CFF0FC"/>
          </w:tcPr>
          <w:p>
            <w:pPr>
              <w:spacing w:after="0"/>
              <w:rPr>
                <w:sz w:val="16"/>
                <w:szCs w:val="16"/>
                <w:color w:val="auto"/>
              </w:rPr>
            </w:pPr>
          </w:p>
        </w:tc>
        <w:tc>
          <w:tcPr>
            <w:tcW w:w="860" w:type="dxa"/>
            <w:vAlign w:val="bottom"/>
            <w:tcBorders>
              <w:bottom w:val="single" w:sz="8" w:color="CFF0FC"/>
            </w:tcBorders>
            <w:gridSpan w:val="2"/>
            <w:shd w:val="clear" w:color="auto" w:fill="CFF0FC"/>
          </w:tcPr>
          <w:p>
            <w:pPr>
              <w:jc w:val="right"/>
              <w:ind w:right="40"/>
              <w:spacing w:after="0"/>
              <w:rPr>
                <w:sz w:val="20"/>
                <w:szCs w:val="20"/>
                <w:color w:val="auto"/>
              </w:rPr>
            </w:pPr>
            <w:r>
              <w:rPr>
                <w:rFonts w:ascii="Calibri" w:cs="Calibri" w:eastAsia="Calibri" w:hAnsi="Calibri"/>
                <w:sz w:val="15"/>
                <w:szCs w:val="15"/>
                <w:color w:val="auto"/>
              </w:rPr>
              <w:t>(49 )</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220" w:type="dxa"/>
            <w:vAlign w:val="bottom"/>
          </w:tcPr>
          <w:p>
            <w:pPr>
              <w:spacing w:after="0"/>
              <w:rPr>
                <w:sz w:val="20"/>
                <w:szCs w:val="20"/>
                <w:color w:val="auto"/>
              </w:rPr>
            </w:pPr>
            <w:r>
              <w:rPr>
                <w:rFonts w:ascii="Calibri" w:cs="Calibri" w:eastAsia="Calibri" w:hAnsi="Calibri"/>
                <w:sz w:val="15"/>
                <w:szCs w:val="15"/>
                <w:color w:val="auto"/>
              </w:rPr>
              <w:t>Product</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alibri" w:cs="Calibri" w:eastAsia="Calibri" w:hAnsi="Calibri"/>
                <w:sz w:val="15"/>
                <w:szCs w:val="15"/>
                <w:color w:val="auto"/>
              </w:rPr>
              <w:t>112,702</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alibri" w:cs="Calibri" w:eastAsia="Calibri" w:hAnsi="Calibri"/>
                <w:sz w:val="15"/>
                <w:szCs w:val="15"/>
                <w:color w:val="auto"/>
              </w:rPr>
              <w:t>764,996</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(652,294 )</w:t>
            </w:r>
          </w:p>
        </w:tc>
        <w:tc>
          <w:tcPr>
            <w:tcW w:w="30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Calibri" w:cs="Calibri" w:eastAsia="Calibri" w:hAnsi="Calibri"/>
                <w:sz w:val="15"/>
                <w:szCs w:val="15"/>
                <w:color w:val="auto"/>
              </w:rPr>
              <w:t>(85 )</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220" w:type="dxa"/>
            <w:vAlign w:val="bottom"/>
            <w:vMerge w:val="restart"/>
          </w:tcPr>
          <w:p>
            <w:pPr>
              <w:ind w:left="160"/>
              <w:spacing w:after="0"/>
              <w:rPr>
                <w:sz w:val="20"/>
                <w:szCs w:val="20"/>
                <w:color w:val="auto"/>
              </w:rPr>
            </w:pPr>
            <w:r>
              <w:rPr>
                <w:rFonts w:ascii="Calibri" w:cs="Calibri" w:eastAsia="Calibri" w:hAnsi="Calibri"/>
                <w:sz w:val="15"/>
                <w:szCs w:val="15"/>
                <w:color w:val="auto"/>
              </w:rPr>
              <w:t>Total</w:t>
            </w: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5220" w:type="dxa"/>
            <w:vAlign w:val="bottom"/>
            <w:vMerge w:val="continue"/>
          </w:tcPr>
          <w:p>
            <w:pPr>
              <w:spacing w:after="0"/>
              <w:rPr>
                <w:sz w:val="15"/>
                <w:szCs w:val="15"/>
                <w:color w:val="auto"/>
              </w:rPr>
            </w:pPr>
          </w:p>
        </w:tc>
        <w:tc>
          <w:tcPr>
            <w:tcW w:w="240" w:type="dxa"/>
            <w:vAlign w:val="bottom"/>
          </w:tcPr>
          <w:p>
            <w:pPr>
              <w:jc w:val="right"/>
              <w:ind w:right="83"/>
              <w:spacing w:after="0" w:line="174" w:lineRule="exact"/>
              <w:rPr>
                <w:sz w:val="20"/>
                <w:szCs w:val="20"/>
                <w:color w:val="auto"/>
              </w:rPr>
            </w:pPr>
            <w:r>
              <w:rPr>
                <w:rFonts w:ascii="Calibri" w:cs="Calibri" w:eastAsia="Calibri" w:hAnsi="Calibri"/>
                <w:sz w:val="15"/>
                <w:szCs w:val="15"/>
                <w:color w:val="auto"/>
                <w:w w:val="78"/>
              </w:rPr>
              <w:t>$</w:t>
            </w:r>
          </w:p>
        </w:tc>
        <w:tc>
          <w:tcPr>
            <w:tcW w:w="800" w:type="dxa"/>
            <w:vAlign w:val="bottom"/>
          </w:tcPr>
          <w:p>
            <w:pPr>
              <w:jc w:val="right"/>
              <w:spacing w:after="0" w:line="174" w:lineRule="exact"/>
              <w:rPr>
                <w:sz w:val="20"/>
                <w:szCs w:val="20"/>
                <w:color w:val="auto"/>
              </w:rPr>
            </w:pPr>
            <w:r>
              <w:rPr>
                <w:rFonts w:ascii="Calibri" w:cs="Calibri" w:eastAsia="Calibri" w:hAnsi="Calibri"/>
                <w:sz w:val="15"/>
                <w:szCs w:val="15"/>
                <w:color w:val="auto"/>
              </w:rPr>
              <w:t>262,788</w:t>
            </w:r>
          </w:p>
        </w:tc>
        <w:tc>
          <w:tcPr>
            <w:tcW w:w="240" w:type="dxa"/>
            <w:vAlign w:val="bottom"/>
          </w:tcPr>
          <w:p>
            <w:pPr>
              <w:spacing w:after="0"/>
              <w:rPr>
                <w:sz w:val="15"/>
                <w:szCs w:val="15"/>
                <w:color w:val="auto"/>
              </w:rPr>
            </w:pPr>
          </w:p>
        </w:tc>
        <w:tc>
          <w:tcPr>
            <w:tcW w:w="240" w:type="dxa"/>
            <w:vAlign w:val="bottom"/>
          </w:tcPr>
          <w:p>
            <w:pPr>
              <w:jc w:val="right"/>
              <w:ind w:right="83"/>
              <w:spacing w:after="0" w:line="174" w:lineRule="exact"/>
              <w:rPr>
                <w:sz w:val="20"/>
                <w:szCs w:val="20"/>
                <w:color w:val="auto"/>
              </w:rPr>
            </w:pPr>
            <w:r>
              <w:rPr>
                <w:rFonts w:ascii="Calibri" w:cs="Calibri" w:eastAsia="Calibri" w:hAnsi="Calibri"/>
                <w:sz w:val="15"/>
                <w:szCs w:val="15"/>
                <w:color w:val="auto"/>
                <w:w w:val="78"/>
              </w:rPr>
              <w:t>$</w:t>
            </w:r>
          </w:p>
        </w:tc>
        <w:tc>
          <w:tcPr>
            <w:tcW w:w="800" w:type="dxa"/>
            <w:vAlign w:val="bottom"/>
          </w:tcPr>
          <w:p>
            <w:pPr>
              <w:jc w:val="right"/>
              <w:spacing w:after="0" w:line="174" w:lineRule="exact"/>
              <w:rPr>
                <w:sz w:val="20"/>
                <w:szCs w:val="20"/>
                <w:color w:val="auto"/>
              </w:rPr>
            </w:pPr>
            <w:r>
              <w:rPr>
                <w:rFonts w:ascii="Calibri" w:cs="Calibri" w:eastAsia="Calibri" w:hAnsi="Calibri"/>
                <w:sz w:val="15"/>
                <w:szCs w:val="15"/>
                <w:color w:val="auto"/>
              </w:rPr>
              <w:t>997,482</w:t>
            </w:r>
          </w:p>
        </w:tc>
        <w:tc>
          <w:tcPr>
            <w:tcW w:w="240" w:type="dxa"/>
            <w:vAlign w:val="bottom"/>
          </w:tcPr>
          <w:p>
            <w:pPr>
              <w:spacing w:after="0"/>
              <w:rPr>
                <w:sz w:val="15"/>
                <w:szCs w:val="15"/>
                <w:color w:val="auto"/>
              </w:rPr>
            </w:pPr>
          </w:p>
        </w:tc>
        <w:tc>
          <w:tcPr>
            <w:tcW w:w="180" w:type="dxa"/>
            <w:vAlign w:val="bottom"/>
          </w:tcPr>
          <w:p>
            <w:pPr>
              <w:jc w:val="right"/>
              <w:ind w:right="23"/>
              <w:spacing w:after="0" w:line="174" w:lineRule="exact"/>
              <w:rPr>
                <w:sz w:val="20"/>
                <w:szCs w:val="20"/>
                <w:color w:val="auto"/>
              </w:rPr>
            </w:pPr>
            <w:r>
              <w:rPr>
                <w:rFonts w:ascii="Calibri" w:cs="Calibri" w:eastAsia="Calibri" w:hAnsi="Calibri"/>
                <w:sz w:val="15"/>
                <w:szCs w:val="15"/>
                <w:color w:val="auto"/>
                <w:w w:val="78"/>
              </w:rPr>
              <w:t>$</w:t>
            </w:r>
          </w:p>
        </w:tc>
        <w:tc>
          <w:tcPr>
            <w:tcW w:w="1020" w:type="dxa"/>
            <w:vAlign w:val="bottom"/>
            <w:gridSpan w:val="2"/>
          </w:tcPr>
          <w:p>
            <w:pPr>
              <w:jc w:val="right"/>
              <w:ind w:right="140"/>
              <w:spacing w:after="0" w:line="174" w:lineRule="exact"/>
              <w:rPr>
                <w:sz w:val="20"/>
                <w:szCs w:val="20"/>
                <w:color w:val="auto"/>
              </w:rPr>
            </w:pPr>
            <w:r>
              <w:rPr>
                <w:rFonts w:ascii="Calibri" w:cs="Calibri" w:eastAsia="Calibri" w:hAnsi="Calibri"/>
                <w:sz w:val="15"/>
                <w:szCs w:val="15"/>
                <w:color w:val="auto"/>
              </w:rPr>
              <w:t>(734,694 )</w:t>
            </w:r>
          </w:p>
        </w:tc>
        <w:tc>
          <w:tcPr>
            <w:tcW w:w="300" w:type="dxa"/>
            <w:vAlign w:val="bottom"/>
          </w:tcPr>
          <w:p>
            <w:pPr>
              <w:spacing w:after="0"/>
              <w:rPr>
                <w:sz w:val="15"/>
                <w:szCs w:val="15"/>
                <w:color w:val="auto"/>
              </w:rPr>
            </w:pPr>
          </w:p>
        </w:tc>
        <w:tc>
          <w:tcPr>
            <w:tcW w:w="920" w:type="dxa"/>
            <w:vAlign w:val="bottom"/>
            <w:gridSpan w:val="3"/>
          </w:tcPr>
          <w:p>
            <w:pPr>
              <w:jc w:val="right"/>
              <w:spacing w:after="0" w:line="174" w:lineRule="exact"/>
              <w:rPr>
                <w:sz w:val="20"/>
                <w:szCs w:val="20"/>
                <w:color w:val="auto"/>
              </w:rPr>
            </w:pPr>
            <w:r>
              <w:rPr>
                <w:rFonts w:ascii="Calibri" w:cs="Calibri" w:eastAsia="Calibri" w:hAnsi="Calibri"/>
                <w:sz w:val="15"/>
                <w:szCs w:val="15"/>
                <w:color w:val="auto"/>
              </w:rPr>
              <w:t>(74 )%</w:t>
            </w:r>
          </w:p>
        </w:tc>
        <w:tc>
          <w:tcPr>
            <w:tcW w:w="0" w:type="dxa"/>
            <w:vAlign w:val="bottom"/>
          </w:tcPr>
          <w:p>
            <w:pPr>
              <w:spacing w:after="0"/>
              <w:rPr>
                <w:sz w:val="1"/>
                <w:szCs w:val="1"/>
                <w:color w:val="auto"/>
              </w:rPr>
            </w:pPr>
          </w:p>
        </w:tc>
      </w:tr>
      <w:tr>
        <w:trPr>
          <w:trHeight w:val="24"/>
        </w:trPr>
        <w:tc>
          <w:tcPr>
            <w:tcW w:w="5220" w:type="dxa"/>
            <w:vAlign w:val="bottom"/>
            <w:vMerge w:val="restart"/>
          </w:tcPr>
          <w:p>
            <w:pPr>
              <w:spacing w:after="0"/>
              <w:rPr>
                <w:sz w:val="20"/>
                <w:szCs w:val="20"/>
                <w:color w:val="auto"/>
              </w:rPr>
            </w:pPr>
            <w:r>
              <w:rPr>
                <w:rFonts w:ascii="Calibri" w:cs="Calibri" w:eastAsia="Calibri" w:hAnsi="Calibri"/>
                <w:sz w:val="15"/>
                <w:szCs w:val="15"/>
                <w:b w:val="1"/>
                <w:bCs w:val="1"/>
                <w:color w:val="auto"/>
              </w:rPr>
              <w:t>Percentage of total revenue:</w:t>
            </w: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2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2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
        </w:trPr>
        <w:tc>
          <w:tcPr>
            <w:tcW w:w="5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522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5"/>
                <w:szCs w:val="15"/>
                <w:color w:val="auto"/>
              </w:rPr>
              <w:t>Marketplace</w:t>
            </w:r>
          </w:p>
        </w:tc>
        <w:tc>
          <w:tcPr>
            <w:tcW w:w="240" w:type="dxa"/>
            <w:vAlign w:val="bottom"/>
            <w:tcBorders>
              <w:bottom w:val="single" w:sz="8" w:color="CFF0FC"/>
            </w:tcBorders>
            <w:shd w:val="clear" w:color="auto" w:fill="CFF0FC"/>
          </w:tcPr>
          <w:p>
            <w:pPr>
              <w:spacing w:after="0"/>
              <w:rPr>
                <w:sz w:val="16"/>
                <w:szCs w:val="16"/>
                <w:color w:val="auto"/>
              </w:rPr>
            </w:pPr>
          </w:p>
        </w:tc>
        <w:tc>
          <w:tcPr>
            <w:tcW w:w="104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Calibri" w:cs="Calibri" w:eastAsia="Calibri" w:hAnsi="Calibri"/>
                <w:sz w:val="15"/>
                <w:szCs w:val="15"/>
                <w:color w:val="auto"/>
              </w:rPr>
              <w:t>7 %</w:t>
            </w:r>
          </w:p>
        </w:tc>
        <w:tc>
          <w:tcPr>
            <w:tcW w:w="240" w:type="dxa"/>
            <w:vAlign w:val="bottom"/>
            <w:tcBorders>
              <w:bottom w:val="single" w:sz="8" w:color="CFF0FC"/>
            </w:tcBorders>
            <w:shd w:val="clear" w:color="auto" w:fill="CFF0FC"/>
          </w:tcPr>
          <w:p>
            <w:pPr>
              <w:spacing w:after="0"/>
              <w:rPr>
                <w:sz w:val="16"/>
                <w:szCs w:val="16"/>
                <w:color w:val="auto"/>
              </w:rPr>
            </w:pPr>
          </w:p>
        </w:tc>
        <w:tc>
          <w:tcPr>
            <w:tcW w:w="104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Calibri" w:cs="Calibri" w:eastAsia="Calibri" w:hAnsi="Calibri"/>
                <w:sz w:val="15"/>
                <w:szCs w:val="15"/>
                <w:color w:val="auto"/>
              </w:rPr>
              <w:t>3 %</w:t>
            </w:r>
          </w:p>
        </w:tc>
        <w:tc>
          <w:tcPr>
            <w:tcW w:w="180" w:type="dxa"/>
            <w:vAlign w:val="bottom"/>
            <w:tcBorders>
              <w:bottom w:val="single" w:sz="8" w:color="CFF0FC"/>
            </w:tcBorders>
            <w:shd w:val="clear" w:color="auto" w:fill="CFF0FC"/>
          </w:tcPr>
          <w:p>
            <w:pPr>
              <w:spacing w:after="0"/>
              <w:rPr>
                <w:sz w:val="16"/>
                <w:szCs w:val="16"/>
                <w:color w:val="auto"/>
              </w:rPr>
            </w:pPr>
          </w:p>
        </w:tc>
        <w:tc>
          <w:tcPr>
            <w:tcW w:w="82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CFF0FC"/>
            </w:tcBorders>
            <w:shd w:val="clear" w:color="auto" w:fill="CFF0FC"/>
          </w:tcPr>
          <w:p>
            <w:pPr>
              <w:spacing w:after="0"/>
              <w:rPr>
                <w:sz w:val="16"/>
                <w:szCs w:val="16"/>
                <w:color w:val="auto"/>
              </w:rPr>
            </w:pPr>
          </w:p>
        </w:tc>
        <w:tc>
          <w:tcPr>
            <w:tcW w:w="7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220" w:type="dxa"/>
            <w:vAlign w:val="bottom"/>
          </w:tcPr>
          <w:p>
            <w:pPr>
              <w:spacing w:after="0"/>
              <w:rPr>
                <w:sz w:val="20"/>
                <w:szCs w:val="20"/>
                <w:color w:val="auto"/>
              </w:rPr>
            </w:pPr>
            <w:r>
              <w:rPr>
                <w:rFonts w:ascii="Calibri" w:cs="Calibri" w:eastAsia="Calibri" w:hAnsi="Calibri"/>
                <w:sz w:val="15"/>
                <w:szCs w:val="15"/>
                <w:color w:val="auto"/>
              </w:rPr>
              <w:t>Wholesale</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alibri" w:cs="Calibri" w:eastAsia="Calibri" w:hAnsi="Calibri"/>
                <w:sz w:val="15"/>
                <w:szCs w:val="15"/>
                <w:color w:val="auto"/>
              </w:rPr>
              <w:t>10</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alibri" w:cs="Calibri" w:eastAsia="Calibri" w:hAnsi="Calibri"/>
                <w:sz w:val="15"/>
                <w:szCs w:val="15"/>
                <w:color w:val="auto"/>
              </w:rPr>
              <w:t>11</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522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5"/>
                <w:szCs w:val="15"/>
                <w:color w:val="auto"/>
              </w:rPr>
              <w:t>Product</w:t>
            </w:r>
          </w:p>
        </w:tc>
        <w:tc>
          <w:tcPr>
            <w:tcW w:w="24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12</w:t>
            </w:r>
          </w:p>
        </w:tc>
        <w:tc>
          <w:tcPr>
            <w:tcW w:w="24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46</w:t>
            </w:r>
          </w:p>
        </w:tc>
        <w:tc>
          <w:tcPr>
            <w:tcW w:w="24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82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CFF0FC"/>
            </w:tcBorders>
            <w:shd w:val="clear" w:color="auto" w:fill="CFF0FC"/>
          </w:tcPr>
          <w:p>
            <w:pPr>
              <w:spacing w:after="0"/>
              <w:rPr>
                <w:sz w:val="16"/>
                <w:szCs w:val="16"/>
                <w:color w:val="auto"/>
              </w:rPr>
            </w:pPr>
          </w:p>
        </w:tc>
        <w:tc>
          <w:tcPr>
            <w:tcW w:w="7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220" w:type="dxa"/>
            <w:vAlign w:val="bottom"/>
          </w:tcPr>
          <w:p>
            <w:pPr>
              <w:ind w:left="160"/>
              <w:spacing w:after="0" w:line="174" w:lineRule="exact"/>
              <w:rPr>
                <w:sz w:val="20"/>
                <w:szCs w:val="20"/>
                <w:color w:val="auto"/>
              </w:rPr>
            </w:pPr>
            <w:r>
              <w:rPr>
                <w:rFonts w:ascii="Calibri" w:cs="Calibri" w:eastAsia="Calibri" w:hAnsi="Calibri"/>
                <w:sz w:val="15"/>
                <w:szCs w:val="15"/>
                <w:color w:val="auto"/>
              </w:rPr>
              <w:t>Total</w:t>
            </w:r>
          </w:p>
        </w:tc>
        <w:tc>
          <w:tcPr>
            <w:tcW w:w="240" w:type="dxa"/>
            <w:vAlign w:val="bottom"/>
          </w:tcPr>
          <w:p>
            <w:pPr>
              <w:spacing w:after="0"/>
              <w:rPr>
                <w:sz w:val="15"/>
                <w:szCs w:val="15"/>
                <w:color w:val="auto"/>
              </w:rPr>
            </w:pPr>
          </w:p>
        </w:tc>
        <w:tc>
          <w:tcPr>
            <w:tcW w:w="1040" w:type="dxa"/>
            <w:vAlign w:val="bottom"/>
            <w:gridSpan w:val="2"/>
          </w:tcPr>
          <w:p>
            <w:pPr>
              <w:jc w:val="right"/>
              <w:ind w:right="120"/>
              <w:spacing w:after="0" w:line="174" w:lineRule="exact"/>
              <w:rPr>
                <w:sz w:val="20"/>
                <w:szCs w:val="20"/>
                <w:color w:val="auto"/>
              </w:rPr>
            </w:pPr>
            <w:r>
              <w:rPr>
                <w:rFonts w:ascii="Calibri" w:cs="Calibri" w:eastAsia="Calibri" w:hAnsi="Calibri"/>
                <w:sz w:val="15"/>
                <w:szCs w:val="15"/>
                <w:color w:val="auto"/>
              </w:rPr>
              <w:t>29 %</w:t>
            </w:r>
          </w:p>
        </w:tc>
        <w:tc>
          <w:tcPr>
            <w:tcW w:w="240" w:type="dxa"/>
            <w:vAlign w:val="bottom"/>
          </w:tcPr>
          <w:p>
            <w:pPr>
              <w:spacing w:after="0"/>
              <w:rPr>
                <w:sz w:val="15"/>
                <w:szCs w:val="15"/>
                <w:color w:val="auto"/>
              </w:rPr>
            </w:pPr>
          </w:p>
        </w:tc>
        <w:tc>
          <w:tcPr>
            <w:tcW w:w="1040" w:type="dxa"/>
            <w:vAlign w:val="bottom"/>
            <w:gridSpan w:val="2"/>
          </w:tcPr>
          <w:p>
            <w:pPr>
              <w:jc w:val="right"/>
              <w:ind w:right="120"/>
              <w:spacing w:after="0" w:line="174" w:lineRule="exact"/>
              <w:rPr>
                <w:sz w:val="20"/>
                <w:szCs w:val="20"/>
                <w:color w:val="auto"/>
              </w:rPr>
            </w:pPr>
            <w:r>
              <w:rPr>
                <w:rFonts w:ascii="Calibri" w:cs="Calibri" w:eastAsia="Calibri" w:hAnsi="Calibri"/>
                <w:sz w:val="15"/>
                <w:szCs w:val="15"/>
                <w:color w:val="auto"/>
              </w:rPr>
              <w:t>60 %</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-839470</wp:posOffset>
            </wp:positionV>
            <wp:extent cx="6436360" cy="15367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436360" cy="153670"/>
                    </a:xfrm>
                    <a:prstGeom prst="rect">
                      <a:avLst/>
                    </a:prstGeom>
                    <a:noFill/>
                  </pic:spPr>
                </pic:pic>
              </a:graphicData>
            </a:graphic>
          </wp:anchor>
        </w:drawing>
        <w:drawing>
          <wp:anchor simplePos="0" relativeHeight="251657728" behindDoc="1" locked="0" layoutInCell="0" allowOverlap="1">
            <wp:simplePos x="0" y="0"/>
            <wp:positionH relativeFrom="column">
              <wp:posOffset>4327525</wp:posOffset>
            </wp:positionH>
            <wp:positionV relativeFrom="paragraph">
              <wp:posOffset>-160020</wp:posOffset>
            </wp:positionV>
            <wp:extent cx="66040"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5138420</wp:posOffset>
            </wp:positionH>
            <wp:positionV relativeFrom="paragraph">
              <wp:posOffset>-160020</wp:posOffset>
            </wp:positionV>
            <wp:extent cx="66040"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6040" cy="7620"/>
                    </a:xfrm>
                    <a:prstGeom prst="rect">
                      <a:avLst/>
                    </a:prstGeom>
                    <a:noFill/>
                  </pic:spPr>
                </pic:pic>
              </a:graphicData>
            </a:graphic>
          </wp:anchor>
        </w:drawing>
      </w:r>
    </w:p>
    <w:p>
      <w:pPr>
        <w:spacing w:after="0" w:line="146" w:lineRule="exact"/>
        <w:rPr>
          <w:sz w:val="20"/>
          <w:szCs w:val="20"/>
          <w:color w:val="auto"/>
        </w:rPr>
      </w:pPr>
    </w:p>
    <w:p>
      <w:pPr>
        <w:ind w:left="500"/>
        <w:spacing w:after="0"/>
        <w:rPr>
          <w:sz w:val="20"/>
          <w:szCs w:val="20"/>
          <w:color w:val="auto"/>
        </w:rPr>
      </w:pPr>
      <w:r>
        <w:rPr>
          <w:rFonts w:ascii="Calibri" w:cs="Calibri" w:eastAsia="Calibri" w:hAnsi="Calibri"/>
          <w:sz w:val="15"/>
          <w:szCs w:val="15"/>
          <w:color w:val="auto"/>
        </w:rPr>
        <w:t>Overall cost of revenue decreased $734.7 million, or 74%, in the year ended December 31, 2023 compared to the year ended December 31, 2022.</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Marketplace cost of revenue increased $4.0 million, or 7%, in the year ended December 31, 2023 compared to the year ended December 31, 2022 and represented 7% of total revenue for the year ended December 31, 2023 and 3% of total revenue for the year ended December 31, 2022. The increase was due primarily to an increase in data and hostng costs as a result of our migraton onto a cloud-based hostng platorm and an increase in fees related to provisioning advertsing campaigns on our websites from changing to more efectve, higher cost service providers.</w:t>
      </w:r>
    </w:p>
    <w:p>
      <w:pPr>
        <w:spacing w:after="0" w:line="185" w:lineRule="exact"/>
        <w:rPr>
          <w:sz w:val="20"/>
          <w:szCs w:val="20"/>
          <w:color w:val="auto"/>
        </w:rPr>
      </w:pPr>
    </w:p>
    <w:p>
      <w:pPr>
        <w:jc w:val="center"/>
        <w:spacing w:after="0"/>
        <w:rPr>
          <w:sz w:val="20"/>
          <w:szCs w:val="20"/>
          <w:color w:val="auto"/>
        </w:rPr>
      </w:pPr>
      <w:r>
        <w:rPr>
          <w:rFonts w:ascii="Calibri" w:cs="Calibri" w:eastAsia="Calibri" w:hAnsi="Calibri"/>
          <w:sz w:val="15"/>
          <w:szCs w:val="15"/>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408940</wp:posOffset>
            </wp:positionV>
            <wp:extent cx="7178040" cy="400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3" w:right="319" w:bottom="1440" w:gutter="0" w:footer="0" w:header="0"/>
        </w:sectPr>
      </w:pPr>
    </w:p>
    <w:bookmarkStart w:id="63" w:name="page64"/>
    <w:bookmarkEnd w:id="63"/>
    <w:p>
      <w:pPr>
        <w:jc w:val="both"/>
        <w:ind w:firstLine="511"/>
        <w:spacing w:after="0" w:line="241" w:lineRule="auto"/>
        <w:rPr>
          <w:sz w:val="20"/>
          <w:szCs w:val="20"/>
          <w:color w:val="auto"/>
        </w:rPr>
      </w:pPr>
      <w:r>
        <w:rPr>
          <w:rFonts w:ascii="Calibri" w:cs="Calibri" w:eastAsia="Calibri" w:hAnsi="Calibri"/>
          <w:sz w:val="15"/>
          <w:szCs w:val="15"/>
          <w:color w:val="auto"/>
        </w:rPr>
        <w:t>Wholesale cost of revenue decreased $86.4 million, or 49%, in the year ended December 31, 2023 compared to the year ended December 31, 2022 and represented 10% of total revenue for the year ended December 31, 2023 and 11% of total revenue for the year ended December 31, 2022. The decrease was due primarily to less favorable market conditons and operatonal challenges in the prior year which resulted in our focus in the current year on optmizaton of internal policies and procedures over volume of Transactons. This decrease in volume resulted in a decrease in transportaton expense, third-party service provider expense, inspecton expense, personnel expense, and guarantee expense.</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Product cost of revenue decreased $652.3 million, or 85%, in the year ended December 31, 2023 compared to the year ended December 31, 2022 and represented 12% of the total revenue for the year ended December 31, 2023 and 46% of total revenue for the year ended December 31, 2022. The decrease was due primarily to a decrease in expenses related to vehicles sold to dealers through IMCO transactons as a result of decreased Transactons resultng from the purposeful slowdown in volume as we emphasize operatonal rigor, as well as a decrease in the average purchase price, as a result of economic conditons. The decrease in product cost of revenue was also due in part to a decrease in expenses related to vehicles sold to dealers acquired through arbitraton as a result of decreased arbitraton claims primarily due to decreased Transactons and process improvements focused on higher quality inspectons.</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b w:val="1"/>
          <w:bCs w:val="1"/>
          <w:i w:val="1"/>
          <w:iCs w:val="1"/>
          <w:color w:val="auto"/>
        </w:rPr>
        <w:t>Operatng Expenses</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i w:val="1"/>
          <w:iCs w:val="1"/>
          <w:color w:val="auto"/>
        </w:rPr>
        <w:t>Sales and Marketng Expense</w:t>
      </w:r>
    </w:p>
    <w:p>
      <w:pPr>
        <w:spacing w:after="0" w:line="202" w:lineRule="exact"/>
        <w:rPr>
          <w:sz w:val="20"/>
          <w:szCs w:val="20"/>
          <w:color w:val="auto"/>
        </w:rPr>
      </w:pPr>
    </w:p>
    <w:tbl>
      <w:tblPr>
        <w:tblLayout w:type="fixed"/>
        <w:tblInd w:w="560" w:type="dxa"/>
        <w:tblCellMar>
          <w:top w:w="0" w:type="dxa"/>
          <w:left w:w="0" w:type="dxa"/>
          <w:bottom w:w="0" w:type="dxa"/>
          <w:right w:w="0" w:type="dxa"/>
        </w:tblCellMar>
      </w:tblPr>
      <w:tr>
        <w:trPr>
          <w:trHeight w:val="146"/>
        </w:trPr>
        <w:tc>
          <w:tcPr>
            <w:tcW w:w="5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20" w:type="dxa"/>
            <w:vAlign w:val="bottom"/>
            <w:gridSpan w:val="5"/>
          </w:tcPr>
          <w:p>
            <w:pPr>
              <w:jc w:val="right"/>
              <w:ind w:right="760"/>
              <w:spacing w:after="0"/>
              <w:rPr>
                <w:sz w:val="20"/>
                <w:szCs w:val="20"/>
                <w:color w:val="auto"/>
              </w:rPr>
            </w:pPr>
            <w:r>
              <w:rPr>
                <w:rFonts w:ascii="Calibri" w:cs="Calibri" w:eastAsia="Calibri" w:hAnsi="Calibri"/>
                <w:sz w:val="12"/>
                <w:szCs w:val="12"/>
                <w:b w:val="1"/>
                <w:bCs w:val="1"/>
                <w:color w:val="auto"/>
              </w:rPr>
              <w:t>Year Ended December 31,</w:t>
            </w:r>
          </w:p>
        </w:tc>
        <w:tc>
          <w:tcPr>
            <w:tcW w:w="200" w:type="dxa"/>
            <w:vAlign w:val="bottom"/>
          </w:tcPr>
          <w:p>
            <w:pPr>
              <w:spacing w:after="0"/>
              <w:rPr>
                <w:sz w:val="12"/>
                <w:szCs w:val="12"/>
                <w:color w:val="auto"/>
              </w:rPr>
            </w:pPr>
          </w:p>
        </w:tc>
        <w:tc>
          <w:tcPr>
            <w:tcW w:w="1300" w:type="dxa"/>
            <w:vAlign w:val="bottom"/>
            <w:gridSpan w:val="3"/>
          </w:tcPr>
          <w:p>
            <w:pPr>
              <w:ind w:left="740"/>
              <w:spacing w:after="0"/>
              <w:rPr>
                <w:sz w:val="20"/>
                <w:szCs w:val="20"/>
                <w:color w:val="auto"/>
              </w:rPr>
            </w:pPr>
            <w:r>
              <w:rPr>
                <w:rFonts w:ascii="Calibri" w:cs="Calibri" w:eastAsia="Calibri" w:hAnsi="Calibri"/>
                <w:sz w:val="12"/>
                <w:szCs w:val="12"/>
                <w:b w:val="1"/>
                <w:bCs w:val="1"/>
                <w:color w:val="auto"/>
              </w:rPr>
              <w:t>Change</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8"/>
        </w:trPr>
        <w:tc>
          <w:tcPr>
            <w:tcW w:w="5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37"/>
        </w:trPr>
        <w:tc>
          <w:tcPr>
            <w:tcW w:w="5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jc w:val="right"/>
              <w:ind w:right="331"/>
              <w:spacing w:after="0" w:line="138" w:lineRule="exact"/>
              <w:rPr>
                <w:sz w:val="20"/>
                <w:szCs w:val="20"/>
                <w:color w:val="auto"/>
              </w:rPr>
            </w:pPr>
            <w:r>
              <w:rPr>
                <w:rFonts w:ascii="Calibri" w:cs="Calibri" w:eastAsia="Calibri" w:hAnsi="Calibri"/>
                <w:sz w:val="12"/>
                <w:szCs w:val="12"/>
                <w:b w:val="1"/>
                <w:bCs w:val="1"/>
                <w:color w:val="auto"/>
              </w:rPr>
              <w:t>2023</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jc w:val="right"/>
              <w:ind w:right="331"/>
              <w:spacing w:after="0" w:line="138" w:lineRule="exact"/>
              <w:rPr>
                <w:sz w:val="20"/>
                <w:szCs w:val="20"/>
                <w:color w:val="auto"/>
              </w:rPr>
            </w:pPr>
            <w:r>
              <w:rPr>
                <w:rFonts w:ascii="Calibri" w:cs="Calibri" w:eastAsia="Calibri" w:hAnsi="Calibri"/>
                <w:sz w:val="12"/>
                <w:szCs w:val="12"/>
                <w:b w:val="1"/>
                <w:bCs w:val="1"/>
                <w:color w:val="auto"/>
              </w:rPr>
              <w:t>2022</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gridSpan w:val="3"/>
          </w:tcPr>
          <w:p>
            <w:pPr>
              <w:ind w:left="100"/>
              <w:spacing w:after="0" w:line="138" w:lineRule="exact"/>
              <w:rPr>
                <w:sz w:val="20"/>
                <w:szCs w:val="20"/>
                <w:color w:val="auto"/>
              </w:rPr>
            </w:pPr>
            <w:r>
              <w:rPr>
                <w:rFonts w:ascii="Calibri" w:cs="Calibri" w:eastAsia="Calibri" w:hAnsi="Calibri"/>
                <w:sz w:val="12"/>
                <w:szCs w:val="12"/>
                <w:b w:val="1"/>
                <w:bCs w:val="1"/>
                <w:color w:val="auto"/>
              </w:rPr>
              <w:t>Amount</w:t>
            </w:r>
          </w:p>
        </w:tc>
        <w:tc>
          <w:tcPr>
            <w:tcW w:w="760" w:type="dxa"/>
            <w:vAlign w:val="bottom"/>
          </w:tcPr>
          <w:p>
            <w:pPr>
              <w:jc w:val="right"/>
              <w:ind w:right="411"/>
              <w:spacing w:after="0" w:line="138" w:lineRule="exact"/>
              <w:rPr>
                <w:sz w:val="20"/>
                <w:szCs w:val="20"/>
                <w:color w:val="auto"/>
              </w:rPr>
            </w:pPr>
            <w:r>
              <w:rPr>
                <w:rFonts w:ascii="Calibri" w:cs="Calibri" w:eastAsia="Calibri" w:hAnsi="Calibri"/>
                <w:sz w:val="12"/>
                <w:szCs w:val="12"/>
                <w:b w:val="1"/>
                <w:bCs w:val="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7"/>
        </w:trPr>
        <w:tc>
          <w:tcPr>
            <w:tcW w:w="5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37"/>
        </w:trPr>
        <w:tc>
          <w:tcPr>
            <w:tcW w:w="5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40" w:type="dxa"/>
            <w:vAlign w:val="bottom"/>
            <w:gridSpan w:val="6"/>
          </w:tcPr>
          <w:p>
            <w:pPr>
              <w:ind w:left="340"/>
              <w:spacing w:after="0" w:line="138" w:lineRule="exact"/>
              <w:rPr>
                <w:sz w:val="20"/>
                <w:szCs w:val="20"/>
                <w:color w:val="auto"/>
              </w:rPr>
            </w:pPr>
            <w:r>
              <w:rPr>
                <w:rFonts w:ascii="Calibri" w:cs="Calibri" w:eastAsia="Calibri" w:hAnsi="Calibri"/>
                <w:sz w:val="12"/>
                <w:szCs w:val="12"/>
                <w:b w:val="1"/>
                <w:bCs w:val="1"/>
                <w:color w:val="auto"/>
              </w:rPr>
              <w:t>(dollars in thousands)</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03"/>
        </w:trPr>
        <w:tc>
          <w:tcPr>
            <w:tcW w:w="5220" w:type="dxa"/>
            <w:vAlign w:val="bottom"/>
          </w:tcPr>
          <w:p>
            <w:pPr>
              <w:spacing w:after="0"/>
              <w:rPr>
                <w:sz w:val="20"/>
                <w:szCs w:val="20"/>
                <w:color w:val="auto"/>
              </w:rPr>
            </w:pPr>
            <w:r>
              <w:rPr>
                <w:rFonts w:ascii="Calibri" w:cs="Calibri" w:eastAsia="Calibri" w:hAnsi="Calibri"/>
                <w:sz w:val="15"/>
                <w:szCs w:val="15"/>
                <w:color w:val="auto"/>
              </w:rPr>
              <w:t>Sales and marketng</w:t>
            </w:r>
          </w:p>
        </w:tc>
        <w:tc>
          <w:tcPr>
            <w:tcW w:w="240" w:type="dxa"/>
            <w:vAlign w:val="bottom"/>
          </w:tcPr>
          <w:p>
            <w:pPr>
              <w:jc w:val="right"/>
              <w:ind w:right="83"/>
              <w:spacing w:after="0"/>
              <w:rPr>
                <w:sz w:val="20"/>
                <w:szCs w:val="20"/>
                <w:color w:val="auto"/>
              </w:rPr>
            </w:pPr>
            <w:r>
              <w:rPr>
                <w:rFonts w:ascii="Calibri" w:cs="Calibri" w:eastAsia="Calibri" w:hAnsi="Calibri"/>
                <w:sz w:val="15"/>
                <w:szCs w:val="15"/>
                <w:color w:val="auto"/>
                <w:w w:val="78"/>
              </w:rPr>
              <w:t>$</w:t>
            </w:r>
          </w:p>
        </w:tc>
        <w:tc>
          <w:tcPr>
            <w:tcW w:w="800" w:type="dxa"/>
            <w:vAlign w:val="bottom"/>
          </w:tcPr>
          <w:p>
            <w:pPr>
              <w:jc w:val="right"/>
              <w:spacing w:after="0"/>
              <w:rPr>
                <w:sz w:val="20"/>
                <w:szCs w:val="20"/>
                <w:color w:val="auto"/>
              </w:rPr>
            </w:pPr>
            <w:r>
              <w:rPr>
                <w:rFonts w:ascii="Calibri" w:cs="Calibri" w:eastAsia="Calibri" w:hAnsi="Calibri"/>
                <w:sz w:val="15"/>
                <w:szCs w:val="15"/>
                <w:color w:val="auto"/>
              </w:rPr>
              <w:t>304,070</w:t>
            </w:r>
          </w:p>
        </w:tc>
        <w:tc>
          <w:tcPr>
            <w:tcW w:w="240" w:type="dxa"/>
            <w:vAlign w:val="bottom"/>
          </w:tcPr>
          <w:p>
            <w:pPr>
              <w:spacing w:after="0"/>
              <w:rPr>
                <w:sz w:val="17"/>
                <w:szCs w:val="17"/>
                <w:color w:val="auto"/>
              </w:rPr>
            </w:pPr>
          </w:p>
        </w:tc>
        <w:tc>
          <w:tcPr>
            <w:tcW w:w="240" w:type="dxa"/>
            <w:vAlign w:val="bottom"/>
          </w:tcPr>
          <w:p>
            <w:pPr>
              <w:jc w:val="right"/>
              <w:ind w:right="83"/>
              <w:spacing w:after="0"/>
              <w:rPr>
                <w:sz w:val="20"/>
                <w:szCs w:val="20"/>
                <w:color w:val="auto"/>
              </w:rPr>
            </w:pPr>
            <w:r>
              <w:rPr>
                <w:rFonts w:ascii="Calibri" w:cs="Calibri" w:eastAsia="Calibri" w:hAnsi="Calibri"/>
                <w:sz w:val="15"/>
                <w:szCs w:val="15"/>
                <w:color w:val="auto"/>
                <w:w w:val="78"/>
              </w:rPr>
              <w:t>$</w:t>
            </w:r>
          </w:p>
        </w:tc>
        <w:tc>
          <w:tcPr>
            <w:tcW w:w="800" w:type="dxa"/>
            <w:vAlign w:val="bottom"/>
          </w:tcPr>
          <w:p>
            <w:pPr>
              <w:jc w:val="right"/>
              <w:spacing w:after="0"/>
              <w:rPr>
                <w:sz w:val="20"/>
                <w:szCs w:val="20"/>
                <w:color w:val="auto"/>
              </w:rPr>
            </w:pPr>
            <w:r>
              <w:rPr>
                <w:rFonts w:ascii="Calibri" w:cs="Calibri" w:eastAsia="Calibri" w:hAnsi="Calibri"/>
                <w:sz w:val="15"/>
                <w:szCs w:val="15"/>
                <w:color w:val="auto"/>
              </w:rPr>
              <w:t>336,708</w:t>
            </w:r>
          </w:p>
        </w:tc>
        <w:tc>
          <w:tcPr>
            <w:tcW w:w="240" w:type="dxa"/>
            <w:vAlign w:val="bottom"/>
          </w:tcPr>
          <w:p>
            <w:pPr>
              <w:spacing w:after="0"/>
              <w:rPr>
                <w:sz w:val="17"/>
                <w:szCs w:val="17"/>
                <w:color w:val="auto"/>
              </w:rPr>
            </w:pPr>
          </w:p>
        </w:tc>
        <w:tc>
          <w:tcPr>
            <w:tcW w:w="200" w:type="dxa"/>
            <w:vAlign w:val="bottom"/>
          </w:tcPr>
          <w:p>
            <w:pPr>
              <w:jc w:val="right"/>
              <w:ind w:right="43"/>
              <w:spacing w:after="0"/>
              <w:rPr>
                <w:sz w:val="20"/>
                <w:szCs w:val="20"/>
                <w:color w:val="auto"/>
              </w:rPr>
            </w:pPr>
            <w:r>
              <w:rPr>
                <w:rFonts w:ascii="Calibri" w:cs="Calibri" w:eastAsia="Calibri" w:hAnsi="Calibri"/>
                <w:sz w:val="15"/>
                <w:szCs w:val="15"/>
                <w:color w:val="auto"/>
                <w:w w:val="78"/>
              </w:rPr>
              <w:t>$</w:t>
            </w:r>
          </w:p>
        </w:tc>
        <w:tc>
          <w:tcPr>
            <w:tcW w:w="1000" w:type="dxa"/>
            <w:vAlign w:val="bottom"/>
            <w:gridSpan w:val="2"/>
          </w:tcPr>
          <w:p>
            <w:pPr>
              <w:jc w:val="right"/>
              <w:ind w:right="120"/>
              <w:spacing w:after="0"/>
              <w:rPr>
                <w:sz w:val="20"/>
                <w:szCs w:val="20"/>
                <w:color w:val="auto"/>
              </w:rPr>
            </w:pPr>
            <w:r>
              <w:rPr>
                <w:rFonts w:ascii="Calibri" w:cs="Calibri" w:eastAsia="Calibri" w:hAnsi="Calibri"/>
                <w:sz w:val="15"/>
                <w:szCs w:val="15"/>
                <w:color w:val="auto"/>
              </w:rPr>
              <w:t>(32,638 )</w:t>
            </w:r>
          </w:p>
        </w:tc>
        <w:tc>
          <w:tcPr>
            <w:tcW w:w="300" w:type="dxa"/>
            <w:vAlign w:val="bottom"/>
          </w:tcPr>
          <w:p>
            <w:pPr>
              <w:spacing w:after="0"/>
              <w:rPr>
                <w:sz w:val="17"/>
                <w:szCs w:val="17"/>
                <w:color w:val="auto"/>
              </w:rPr>
            </w:pPr>
          </w:p>
        </w:tc>
        <w:tc>
          <w:tcPr>
            <w:tcW w:w="920" w:type="dxa"/>
            <w:vAlign w:val="bottom"/>
            <w:gridSpan w:val="3"/>
          </w:tcPr>
          <w:p>
            <w:pPr>
              <w:jc w:val="right"/>
              <w:spacing w:after="0"/>
              <w:rPr>
                <w:sz w:val="20"/>
                <w:szCs w:val="20"/>
                <w:color w:val="auto"/>
              </w:rPr>
            </w:pPr>
            <w:r>
              <w:rPr>
                <w:rFonts w:ascii="Calibri" w:cs="Calibri" w:eastAsia="Calibri" w:hAnsi="Calibri"/>
                <w:sz w:val="15"/>
                <w:szCs w:val="15"/>
                <w:color w:val="auto"/>
              </w:rPr>
              <w:t>(10 )%</w:t>
            </w:r>
          </w:p>
        </w:tc>
      </w:tr>
      <w:tr>
        <w:trPr>
          <w:trHeight w:val="207"/>
        </w:trPr>
        <w:tc>
          <w:tcPr>
            <w:tcW w:w="5220" w:type="dxa"/>
            <w:vAlign w:val="bottom"/>
          </w:tcPr>
          <w:p>
            <w:pPr>
              <w:spacing w:after="0"/>
              <w:rPr>
                <w:sz w:val="20"/>
                <w:szCs w:val="20"/>
                <w:color w:val="auto"/>
              </w:rPr>
            </w:pPr>
            <w:r>
              <w:rPr>
                <w:rFonts w:ascii="Calibri" w:cs="Calibri" w:eastAsia="Calibri" w:hAnsi="Calibri"/>
                <w:sz w:val="15"/>
                <w:szCs w:val="15"/>
                <w:color w:val="auto"/>
              </w:rPr>
              <w:t>Percentage of total revenue</w:t>
            </w: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Calibri" w:cs="Calibri" w:eastAsia="Calibri" w:hAnsi="Calibri"/>
                <w:sz w:val="15"/>
                <w:szCs w:val="15"/>
                <w:color w:val="auto"/>
              </w:rPr>
              <w:t>33 %</w:t>
            </w: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Calibri" w:cs="Calibri" w:eastAsia="Calibri" w:hAnsi="Calibri"/>
                <w:sz w:val="15"/>
                <w:szCs w:val="15"/>
                <w:color w:val="auto"/>
              </w:rPr>
              <w:t>20 %</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-242570</wp:posOffset>
            </wp:positionV>
            <wp:extent cx="6436360" cy="1314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436360" cy="131445"/>
                    </a:xfrm>
                    <a:prstGeom prst="rect">
                      <a:avLst/>
                    </a:prstGeom>
                    <a:noFill/>
                  </pic:spPr>
                </pic:pic>
              </a:graphicData>
            </a:graphic>
          </wp:anchor>
        </w:drawing>
      </w:r>
    </w:p>
    <w:p>
      <w:pPr>
        <w:spacing w:after="0" w:line="177"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Sales and marketng expense decreased $32.6 million, or 10%, in the year ended December 31, 2023 compared to the year ended December 31, 2022. The decrease was due primarily to a $22.3 million decrease in advertsing expense due to decreased spend as a result of a change in advertsing strategy implemented in the fourth quarter of 2022. The decrease was also due in part to a $15.3 million decrease in marketng expense due primarily to lower IMCO marketng spend and a $10.5 million decrease in commissions expense due primarily to fewer Transactons as well as an 8% decrease in headcount. The decrease in commissions expense was also due in part to increased capitalizaton of commissions. The decrease in sales and marketng expense was ofset in part by a $6.2 million increase in rent expense due to the commencement of the 1001 Boylston Street lease. The decrease in sales and marketng expense was also ofset by a $6.0 million increase in stock-based compensaton expense, primarily due to the prior year valuaton of the liability-based stock awards, following mark-to-market valuaton adjustments, as well as modifcatons resultng from the 2023 CarOfer Transacton. The decrease in sales and marketng expense was also ofset by a $1.0 million increase in sofware subscriptons, inclusive of amortzaton of hostng arrangements. Additonally, the decrease in sales and marketng expense was ofset by a $0.9 million increase in salaries and employee-related expense, exclusive of stock-based compensaton expense and commissions expense, due to increases related to 401(k) expense, as well as higher atainment of bonus targets.</w:t>
      </w:r>
    </w:p>
    <w:p>
      <w:pPr>
        <w:spacing w:after="0" w:line="186" w:lineRule="exact"/>
        <w:rPr>
          <w:sz w:val="20"/>
          <w:szCs w:val="20"/>
          <w:color w:val="auto"/>
        </w:rPr>
      </w:pPr>
    </w:p>
    <w:p>
      <w:pPr>
        <w:spacing w:after="0"/>
        <w:rPr>
          <w:sz w:val="20"/>
          <w:szCs w:val="20"/>
          <w:color w:val="auto"/>
        </w:rPr>
      </w:pPr>
      <w:r>
        <w:rPr>
          <w:rFonts w:ascii="Calibri" w:cs="Calibri" w:eastAsia="Calibri" w:hAnsi="Calibri"/>
          <w:sz w:val="15"/>
          <w:szCs w:val="15"/>
          <w:i w:val="1"/>
          <w:iCs w:val="1"/>
          <w:color w:val="auto"/>
        </w:rPr>
        <w:t>Product, Technology, and Development Expense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42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20" w:type="dxa"/>
            <w:vAlign w:val="bottom"/>
            <w:gridSpan w:val="5"/>
          </w:tcPr>
          <w:p>
            <w:pPr>
              <w:jc w:val="right"/>
              <w:ind w:right="760"/>
              <w:spacing w:after="0"/>
              <w:rPr>
                <w:sz w:val="20"/>
                <w:szCs w:val="20"/>
                <w:color w:val="auto"/>
              </w:rPr>
            </w:pPr>
            <w:r>
              <w:rPr>
                <w:rFonts w:ascii="Calibri" w:cs="Calibri" w:eastAsia="Calibri" w:hAnsi="Calibri"/>
                <w:sz w:val="12"/>
                <w:szCs w:val="12"/>
                <w:b w:val="1"/>
                <w:bCs w:val="1"/>
                <w:color w:val="auto"/>
              </w:rPr>
              <w:t>Year Ended December 31,</w:t>
            </w:r>
          </w:p>
        </w:tc>
        <w:tc>
          <w:tcPr>
            <w:tcW w:w="200" w:type="dxa"/>
            <w:vAlign w:val="bottom"/>
          </w:tcPr>
          <w:p>
            <w:pPr>
              <w:spacing w:after="0"/>
              <w:rPr>
                <w:sz w:val="12"/>
                <w:szCs w:val="12"/>
                <w:color w:val="auto"/>
              </w:rPr>
            </w:pPr>
          </w:p>
        </w:tc>
        <w:tc>
          <w:tcPr>
            <w:tcW w:w="1300" w:type="dxa"/>
            <w:vAlign w:val="bottom"/>
            <w:gridSpan w:val="3"/>
          </w:tcPr>
          <w:p>
            <w:pPr>
              <w:ind w:left="740"/>
              <w:spacing w:after="0"/>
              <w:rPr>
                <w:sz w:val="20"/>
                <w:szCs w:val="20"/>
                <w:color w:val="auto"/>
              </w:rPr>
            </w:pPr>
            <w:r>
              <w:rPr>
                <w:rFonts w:ascii="Calibri" w:cs="Calibri" w:eastAsia="Calibri" w:hAnsi="Calibri"/>
                <w:sz w:val="12"/>
                <w:szCs w:val="12"/>
                <w:b w:val="1"/>
                <w:bCs w:val="1"/>
                <w:color w:val="auto"/>
              </w:rPr>
              <w:t>Change</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28"/>
        </w:trPr>
        <w:tc>
          <w:tcPr>
            <w:tcW w:w="4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137"/>
        </w:trPr>
        <w:tc>
          <w:tcPr>
            <w:tcW w:w="42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jc w:val="right"/>
              <w:ind w:right="331"/>
              <w:spacing w:after="0" w:line="138" w:lineRule="exact"/>
              <w:rPr>
                <w:sz w:val="20"/>
                <w:szCs w:val="20"/>
                <w:color w:val="auto"/>
              </w:rPr>
            </w:pPr>
            <w:r>
              <w:rPr>
                <w:rFonts w:ascii="Calibri" w:cs="Calibri" w:eastAsia="Calibri" w:hAnsi="Calibri"/>
                <w:sz w:val="12"/>
                <w:szCs w:val="12"/>
                <w:b w:val="1"/>
                <w:bCs w:val="1"/>
                <w:color w:val="auto"/>
              </w:rPr>
              <w:t>2023</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jc w:val="right"/>
              <w:ind w:right="331"/>
              <w:spacing w:after="0" w:line="138" w:lineRule="exact"/>
              <w:rPr>
                <w:sz w:val="20"/>
                <w:szCs w:val="20"/>
                <w:color w:val="auto"/>
              </w:rPr>
            </w:pPr>
            <w:r>
              <w:rPr>
                <w:rFonts w:ascii="Calibri" w:cs="Calibri" w:eastAsia="Calibri" w:hAnsi="Calibri"/>
                <w:sz w:val="12"/>
                <w:szCs w:val="12"/>
                <w:b w:val="1"/>
                <w:bCs w:val="1"/>
                <w:color w:val="auto"/>
              </w:rPr>
              <w:t>2022</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gridSpan w:val="3"/>
          </w:tcPr>
          <w:p>
            <w:pPr>
              <w:ind w:left="100"/>
              <w:spacing w:after="0" w:line="138" w:lineRule="exact"/>
              <w:rPr>
                <w:sz w:val="20"/>
                <w:szCs w:val="20"/>
                <w:color w:val="auto"/>
              </w:rPr>
            </w:pPr>
            <w:r>
              <w:rPr>
                <w:rFonts w:ascii="Calibri" w:cs="Calibri" w:eastAsia="Calibri" w:hAnsi="Calibri"/>
                <w:sz w:val="12"/>
                <w:szCs w:val="12"/>
                <w:b w:val="1"/>
                <w:bCs w:val="1"/>
                <w:color w:val="auto"/>
              </w:rPr>
              <w:t>Amount</w:t>
            </w:r>
          </w:p>
        </w:tc>
        <w:tc>
          <w:tcPr>
            <w:tcW w:w="760" w:type="dxa"/>
            <w:vAlign w:val="bottom"/>
          </w:tcPr>
          <w:p>
            <w:pPr>
              <w:jc w:val="right"/>
              <w:ind w:right="411"/>
              <w:spacing w:after="0" w:line="138" w:lineRule="exact"/>
              <w:rPr>
                <w:sz w:val="20"/>
                <w:szCs w:val="20"/>
                <w:color w:val="auto"/>
              </w:rPr>
            </w:pPr>
            <w:r>
              <w:rPr>
                <w:rFonts w:ascii="Calibri" w:cs="Calibri" w:eastAsia="Calibri" w:hAnsi="Calibri"/>
                <w:sz w:val="12"/>
                <w:szCs w:val="12"/>
                <w:b w:val="1"/>
                <w:bCs w:val="1"/>
                <w:color w:val="auto"/>
              </w:rPr>
              <w:t>%</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27"/>
        </w:trPr>
        <w:tc>
          <w:tcPr>
            <w:tcW w:w="4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137"/>
        </w:trPr>
        <w:tc>
          <w:tcPr>
            <w:tcW w:w="42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40" w:type="dxa"/>
            <w:vAlign w:val="bottom"/>
            <w:gridSpan w:val="6"/>
          </w:tcPr>
          <w:p>
            <w:pPr>
              <w:ind w:left="340"/>
              <w:spacing w:after="0" w:line="138" w:lineRule="exact"/>
              <w:rPr>
                <w:sz w:val="20"/>
                <w:szCs w:val="20"/>
                <w:color w:val="auto"/>
              </w:rPr>
            </w:pPr>
            <w:r>
              <w:rPr>
                <w:rFonts w:ascii="Calibri" w:cs="Calibri" w:eastAsia="Calibri" w:hAnsi="Calibri"/>
                <w:sz w:val="12"/>
                <w:szCs w:val="12"/>
                <w:b w:val="1"/>
                <w:bCs w:val="1"/>
                <w:color w:val="auto"/>
              </w:rPr>
              <w:t>(dollars in thousands)</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203"/>
        </w:trPr>
        <w:tc>
          <w:tcPr>
            <w:tcW w:w="4240" w:type="dxa"/>
            <w:vAlign w:val="bottom"/>
          </w:tcPr>
          <w:p>
            <w:pPr>
              <w:ind w:left="560"/>
              <w:spacing w:after="0"/>
              <w:rPr>
                <w:sz w:val="20"/>
                <w:szCs w:val="20"/>
                <w:color w:val="auto"/>
              </w:rPr>
            </w:pPr>
            <w:r>
              <w:rPr>
                <w:rFonts w:ascii="Calibri" w:cs="Calibri" w:eastAsia="Calibri" w:hAnsi="Calibri"/>
                <w:sz w:val="15"/>
                <w:szCs w:val="15"/>
                <w:color w:val="auto"/>
              </w:rPr>
              <w:t>Product, technology, and development</w:t>
            </w:r>
          </w:p>
        </w:tc>
        <w:tc>
          <w:tcPr>
            <w:tcW w:w="1780" w:type="dxa"/>
            <w:vAlign w:val="bottom"/>
            <w:gridSpan w:val="2"/>
          </w:tcPr>
          <w:p>
            <w:pPr>
              <w:jc w:val="right"/>
              <w:ind w:right="160"/>
              <w:spacing w:after="0"/>
              <w:rPr>
                <w:sz w:val="20"/>
                <w:szCs w:val="20"/>
                <w:color w:val="auto"/>
              </w:rPr>
            </w:pPr>
            <w:r>
              <w:rPr>
                <w:rFonts w:ascii="Calibri" w:cs="Calibri" w:eastAsia="Calibri" w:hAnsi="Calibri"/>
                <w:sz w:val="15"/>
                <w:szCs w:val="15"/>
                <w:color w:val="auto"/>
              </w:rPr>
              <w:t>$</w:t>
            </w:r>
          </w:p>
        </w:tc>
        <w:tc>
          <w:tcPr>
            <w:tcW w:w="800" w:type="dxa"/>
            <w:vAlign w:val="bottom"/>
          </w:tcPr>
          <w:p>
            <w:pPr>
              <w:jc w:val="right"/>
              <w:spacing w:after="0"/>
              <w:rPr>
                <w:sz w:val="20"/>
                <w:szCs w:val="20"/>
                <w:color w:val="auto"/>
              </w:rPr>
            </w:pPr>
            <w:r>
              <w:rPr>
                <w:rFonts w:ascii="Calibri" w:cs="Calibri" w:eastAsia="Calibri" w:hAnsi="Calibri"/>
                <w:sz w:val="15"/>
                <w:szCs w:val="15"/>
                <w:color w:val="auto"/>
              </w:rPr>
              <w:t>146,169</w:t>
            </w:r>
          </w:p>
        </w:tc>
        <w:tc>
          <w:tcPr>
            <w:tcW w:w="240" w:type="dxa"/>
            <w:vAlign w:val="bottom"/>
          </w:tcPr>
          <w:p>
            <w:pPr>
              <w:spacing w:after="0"/>
              <w:rPr>
                <w:sz w:val="17"/>
                <w:szCs w:val="17"/>
                <w:color w:val="auto"/>
              </w:rPr>
            </w:pPr>
          </w:p>
        </w:tc>
        <w:tc>
          <w:tcPr>
            <w:tcW w:w="240" w:type="dxa"/>
            <w:vAlign w:val="bottom"/>
          </w:tcPr>
          <w:p>
            <w:pPr>
              <w:jc w:val="right"/>
              <w:ind w:right="83"/>
              <w:spacing w:after="0"/>
              <w:rPr>
                <w:sz w:val="20"/>
                <w:szCs w:val="20"/>
                <w:color w:val="auto"/>
              </w:rPr>
            </w:pPr>
            <w:r>
              <w:rPr>
                <w:rFonts w:ascii="Calibri" w:cs="Calibri" w:eastAsia="Calibri" w:hAnsi="Calibri"/>
                <w:sz w:val="15"/>
                <w:szCs w:val="15"/>
                <w:color w:val="auto"/>
                <w:w w:val="78"/>
              </w:rPr>
              <w:t>$</w:t>
            </w:r>
          </w:p>
        </w:tc>
        <w:tc>
          <w:tcPr>
            <w:tcW w:w="800" w:type="dxa"/>
            <w:vAlign w:val="bottom"/>
          </w:tcPr>
          <w:p>
            <w:pPr>
              <w:jc w:val="right"/>
              <w:spacing w:after="0"/>
              <w:rPr>
                <w:sz w:val="20"/>
                <w:szCs w:val="20"/>
                <w:color w:val="auto"/>
              </w:rPr>
            </w:pPr>
            <w:r>
              <w:rPr>
                <w:rFonts w:ascii="Calibri" w:cs="Calibri" w:eastAsia="Calibri" w:hAnsi="Calibri"/>
                <w:sz w:val="15"/>
                <w:szCs w:val="15"/>
                <w:color w:val="auto"/>
              </w:rPr>
              <w:t>123,768</w:t>
            </w:r>
          </w:p>
        </w:tc>
        <w:tc>
          <w:tcPr>
            <w:tcW w:w="240" w:type="dxa"/>
            <w:vAlign w:val="bottom"/>
          </w:tcPr>
          <w:p>
            <w:pPr>
              <w:spacing w:after="0"/>
              <w:rPr>
                <w:sz w:val="17"/>
                <w:szCs w:val="17"/>
                <w:color w:val="auto"/>
              </w:rPr>
            </w:pPr>
          </w:p>
        </w:tc>
        <w:tc>
          <w:tcPr>
            <w:tcW w:w="200" w:type="dxa"/>
            <w:vAlign w:val="bottom"/>
          </w:tcPr>
          <w:p>
            <w:pPr>
              <w:jc w:val="right"/>
              <w:ind w:right="43"/>
              <w:spacing w:after="0"/>
              <w:rPr>
                <w:sz w:val="20"/>
                <w:szCs w:val="20"/>
                <w:color w:val="auto"/>
              </w:rPr>
            </w:pPr>
            <w:r>
              <w:rPr>
                <w:rFonts w:ascii="Calibri" w:cs="Calibri" w:eastAsia="Calibri" w:hAnsi="Calibri"/>
                <w:sz w:val="15"/>
                <w:szCs w:val="15"/>
                <w:color w:val="auto"/>
                <w:w w:val="78"/>
              </w:rPr>
              <w:t>$</w:t>
            </w:r>
          </w:p>
        </w:tc>
        <w:tc>
          <w:tcPr>
            <w:tcW w:w="820" w:type="dxa"/>
            <w:vAlign w:val="bottom"/>
          </w:tcPr>
          <w:p>
            <w:pPr>
              <w:jc w:val="right"/>
              <w:spacing w:after="0"/>
              <w:rPr>
                <w:sz w:val="20"/>
                <w:szCs w:val="20"/>
                <w:color w:val="auto"/>
              </w:rPr>
            </w:pPr>
            <w:r>
              <w:rPr>
                <w:rFonts w:ascii="Calibri" w:cs="Calibri" w:eastAsia="Calibri" w:hAnsi="Calibri"/>
                <w:sz w:val="15"/>
                <w:szCs w:val="15"/>
                <w:color w:val="auto"/>
              </w:rPr>
              <w:t>22,401</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gridSpan w:val="3"/>
          </w:tcPr>
          <w:p>
            <w:pPr>
              <w:jc w:val="right"/>
              <w:ind w:right="540"/>
              <w:spacing w:after="0"/>
              <w:rPr>
                <w:sz w:val="20"/>
                <w:szCs w:val="20"/>
                <w:color w:val="auto"/>
              </w:rPr>
            </w:pPr>
            <w:r>
              <w:rPr>
                <w:rFonts w:ascii="Calibri" w:cs="Calibri" w:eastAsia="Calibri" w:hAnsi="Calibri"/>
                <w:sz w:val="15"/>
                <w:szCs w:val="15"/>
                <w:color w:val="auto"/>
              </w:rPr>
              <w:t>18 %</w:t>
            </w:r>
          </w:p>
        </w:tc>
      </w:tr>
      <w:tr>
        <w:trPr>
          <w:trHeight w:val="207"/>
        </w:trPr>
        <w:tc>
          <w:tcPr>
            <w:tcW w:w="4240" w:type="dxa"/>
            <w:vAlign w:val="bottom"/>
          </w:tcPr>
          <w:p>
            <w:pPr>
              <w:ind w:left="560"/>
              <w:spacing w:after="0"/>
              <w:rPr>
                <w:sz w:val="20"/>
                <w:szCs w:val="20"/>
                <w:color w:val="auto"/>
              </w:rPr>
            </w:pPr>
            <w:r>
              <w:rPr>
                <w:rFonts w:ascii="Calibri" w:cs="Calibri" w:eastAsia="Calibri" w:hAnsi="Calibri"/>
                <w:sz w:val="15"/>
                <w:szCs w:val="15"/>
                <w:color w:val="auto"/>
              </w:rPr>
              <w:t>Percentage of total revenue</w:t>
            </w: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Calibri" w:cs="Calibri" w:eastAsia="Calibri" w:hAnsi="Calibri"/>
                <w:sz w:val="15"/>
                <w:szCs w:val="15"/>
                <w:color w:val="auto"/>
              </w:rPr>
              <w:t>16 %</w:t>
            </w: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Calibri" w:cs="Calibri" w:eastAsia="Calibri" w:hAnsi="Calibri"/>
                <w:sz w:val="15"/>
                <w:szCs w:val="15"/>
                <w:color w:val="auto"/>
              </w:rPr>
              <w:t>7 %</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564"/>
        </w:trPr>
        <w:tc>
          <w:tcPr>
            <w:tcW w:w="4240" w:type="dxa"/>
            <w:vAlign w:val="bottom"/>
          </w:tcPr>
          <w:p>
            <w:pPr>
              <w:spacing w:after="0"/>
              <w:rPr>
                <w:sz w:val="24"/>
                <w:szCs w:val="24"/>
                <w:color w:val="auto"/>
              </w:rPr>
            </w:pPr>
          </w:p>
        </w:tc>
        <w:tc>
          <w:tcPr>
            <w:tcW w:w="1540" w:type="dxa"/>
            <w:vAlign w:val="bottom"/>
          </w:tcPr>
          <w:p>
            <w:pPr>
              <w:jc w:val="right"/>
              <w:ind w:right="3"/>
              <w:spacing w:after="0"/>
              <w:rPr>
                <w:sz w:val="20"/>
                <w:szCs w:val="20"/>
                <w:color w:val="auto"/>
              </w:rPr>
            </w:pPr>
            <w:r>
              <w:rPr>
                <w:rFonts w:ascii="Calibri" w:cs="Calibri" w:eastAsia="Calibri" w:hAnsi="Calibri"/>
                <w:sz w:val="15"/>
                <w:szCs w:val="15"/>
                <w:color w:val="auto"/>
              </w:rPr>
              <w:t>62</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667"/>
        </w:trPr>
        <w:tc>
          <w:tcPr>
            <w:tcW w:w="424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-1036955</wp:posOffset>
            </wp:positionV>
            <wp:extent cx="6436360" cy="1314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436360" cy="131445"/>
                    </a:xfrm>
                    <a:prstGeom prst="rect">
                      <a:avLst/>
                    </a:prstGeom>
                    <a:noFill/>
                  </pic:spPr>
                </pic:pic>
              </a:graphicData>
            </a:graphic>
          </wp:anchor>
        </w:drawing>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-26670</wp:posOffset>
            </wp:positionV>
            <wp:extent cx="33020" cy="400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1134" w:right="319" w:bottom="1440" w:gutter="0" w:footer="0" w:header="0"/>
        </w:sectPr>
      </w:pPr>
    </w:p>
    <w:bookmarkStart w:id="64" w:name="page65"/>
    <w:bookmarkEnd w:id="64"/>
    <w:p>
      <w:pPr>
        <w:jc w:val="both"/>
        <w:ind w:firstLine="511"/>
        <w:spacing w:after="0" w:line="241" w:lineRule="auto"/>
        <w:rPr>
          <w:sz w:val="20"/>
          <w:szCs w:val="20"/>
          <w:color w:val="auto"/>
        </w:rPr>
      </w:pPr>
      <w:r>
        <w:rPr>
          <w:rFonts w:ascii="Calibri" w:cs="Calibri" w:eastAsia="Calibri" w:hAnsi="Calibri"/>
          <w:sz w:val="15"/>
          <w:szCs w:val="15"/>
          <w:color w:val="auto"/>
        </w:rPr>
        <w:t>Product, technology, and development expense increased $22.4 million, or 18%, in the year ended December 31, 2023 compared to the year ended December 31, 2022. The increase was due primarily to a $13.7 million increase in salaries and employee-related expenses, exclusive of stock-based compensaton, due primarily to a 6% increase in headcount as well as merit increases. The increase was also due in part to a $5.7 million increase in rent expense due to the commencement of the 1001 Boylston Street lease and a $5.7 million increase in stock-based compensaton due to the prior year valuaton of the liability-based stock awards, following mark-to-market valuaton adjustments, as well as modifcatons resultng from the 2023 CarOfer Transacton. The increase was ofset in part by a $4.1 million decrease in product, technology, and development expense as a result of increased capitalizaton for our website development.</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i w:val="1"/>
          <w:iCs w:val="1"/>
          <w:color w:val="auto"/>
        </w:rPr>
        <w:t>General and Administratve Expense</w:t>
      </w:r>
    </w:p>
    <w:p>
      <w:pPr>
        <w:spacing w:after="0" w:line="202" w:lineRule="exact"/>
        <w:rPr>
          <w:sz w:val="20"/>
          <w:szCs w:val="20"/>
          <w:color w:val="auto"/>
        </w:rPr>
      </w:pPr>
    </w:p>
    <w:tbl>
      <w:tblPr>
        <w:tblLayout w:type="fixed"/>
        <w:tblInd w:w="560" w:type="dxa"/>
        <w:tblCellMar>
          <w:top w:w="0" w:type="dxa"/>
          <w:left w:w="0" w:type="dxa"/>
          <w:bottom w:w="0" w:type="dxa"/>
          <w:right w:w="0" w:type="dxa"/>
        </w:tblCellMar>
      </w:tblPr>
      <w:tr>
        <w:trPr>
          <w:trHeight w:val="146"/>
        </w:trPr>
        <w:tc>
          <w:tcPr>
            <w:tcW w:w="5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20" w:type="dxa"/>
            <w:vAlign w:val="bottom"/>
            <w:gridSpan w:val="5"/>
          </w:tcPr>
          <w:p>
            <w:pPr>
              <w:jc w:val="right"/>
              <w:ind w:right="760"/>
              <w:spacing w:after="0"/>
              <w:rPr>
                <w:sz w:val="20"/>
                <w:szCs w:val="20"/>
                <w:color w:val="auto"/>
              </w:rPr>
            </w:pPr>
            <w:r>
              <w:rPr>
                <w:rFonts w:ascii="Calibri" w:cs="Calibri" w:eastAsia="Calibri" w:hAnsi="Calibri"/>
                <w:sz w:val="12"/>
                <w:szCs w:val="12"/>
                <w:b w:val="1"/>
                <w:bCs w:val="1"/>
                <w:color w:val="auto"/>
              </w:rPr>
              <w:t>Year Ended December 31,</w:t>
            </w:r>
          </w:p>
        </w:tc>
        <w:tc>
          <w:tcPr>
            <w:tcW w:w="200" w:type="dxa"/>
            <w:vAlign w:val="bottom"/>
          </w:tcPr>
          <w:p>
            <w:pPr>
              <w:spacing w:after="0"/>
              <w:rPr>
                <w:sz w:val="12"/>
                <w:szCs w:val="12"/>
                <w:color w:val="auto"/>
              </w:rPr>
            </w:pPr>
          </w:p>
        </w:tc>
        <w:tc>
          <w:tcPr>
            <w:tcW w:w="1300" w:type="dxa"/>
            <w:vAlign w:val="bottom"/>
            <w:gridSpan w:val="3"/>
          </w:tcPr>
          <w:p>
            <w:pPr>
              <w:ind w:left="740"/>
              <w:spacing w:after="0"/>
              <w:rPr>
                <w:sz w:val="20"/>
                <w:szCs w:val="20"/>
                <w:color w:val="auto"/>
              </w:rPr>
            </w:pPr>
            <w:r>
              <w:rPr>
                <w:rFonts w:ascii="Calibri" w:cs="Calibri" w:eastAsia="Calibri" w:hAnsi="Calibri"/>
                <w:sz w:val="12"/>
                <w:szCs w:val="12"/>
                <w:b w:val="1"/>
                <w:bCs w:val="1"/>
                <w:color w:val="auto"/>
              </w:rPr>
              <w:t>Change</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8"/>
        </w:trPr>
        <w:tc>
          <w:tcPr>
            <w:tcW w:w="5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37"/>
        </w:trPr>
        <w:tc>
          <w:tcPr>
            <w:tcW w:w="5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jc w:val="right"/>
              <w:ind w:right="331"/>
              <w:spacing w:after="0" w:line="138" w:lineRule="exact"/>
              <w:rPr>
                <w:sz w:val="20"/>
                <w:szCs w:val="20"/>
                <w:color w:val="auto"/>
              </w:rPr>
            </w:pPr>
            <w:r>
              <w:rPr>
                <w:rFonts w:ascii="Calibri" w:cs="Calibri" w:eastAsia="Calibri" w:hAnsi="Calibri"/>
                <w:sz w:val="12"/>
                <w:szCs w:val="12"/>
                <w:b w:val="1"/>
                <w:bCs w:val="1"/>
                <w:color w:val="auto"/>
              </w:rPr>
              <w:t>2023</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jc w:val="right"/>
              <w:ind w:right="331"/>
              <w:spacing w:after="0" w:line="138" w:lineRule="exact"/>
              <w:rPr>
                <w:sz w:val="20"/>
                <w:szCs w:val="20"/>
                <w:color w:val="auto"/>
              </w:rPr>
            </w:pPr>
            <w:r>
              <w:rPr>
                <w:rFonts w:ascii="Calibri" w:cs="Calibri" w:eastAsia="Calibri" w:hAnsi="Calibri"/>
                <w:sz w:val="12"/>
                <w:szCs w:val="12"/>
                <w:b w:val="1"/>
                <w:bCs w:val="1"/>
                <w:color w:val="auto"/>
              </w:rPr>
              <w:t>2022</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gridSpan w:val="3"/>
          </w:tcPr>
          <w:p>
            <w:pPr>
              <w:ind w:left="100"/>
              <w:spacing w:after="0" w:line="138" w:lineRule="exact"/>
              <w:rPr>
                <w:sz w:val="20"/>
                <w:szCs w:val="20"/>
                <w:color w:val="auto"/>
              </w:rPr>
            </w:pPr>
            <w:r>
              <w:rPr>
                <w:rFonts w:ascii="Calibri" w:cs="Calibri" w:eastAsia="Calibri" w:hAnsi="Calibri"/>
                <w:sz w:val="12"/>
                <w:szCs w:val="12"/>
                <w:b w:val="1"/>
                <w:bCs w:val="1"/>
                <w:color w:val="auto"/>
              </w:rPr>
              <w:t>Amount</w:t>
            </w:r>
          </w:p>
        </w:tc>
        <w:tc>
          <w:tcPr>
            <w:tcW w:w="760" w:type="dxa"/>
            <w:vAlign w:val="bottom"/>
          </w:tcPr>
          <w:p>
            <w:pPr>
              <w:jc w:val="right"/>
              <w:ind w:right="411"/>
              <w:spacing w:after="0" w:line="138" w:lineRule="exact"/>
              <w:rPr>
                <w:sz w:val="20"/>
                <w:szCs w:val="20"/>
                <w:color w:val="auto"/>
              </w:rPr>
            </w:pPr>
            <w:r>
              <w:rPr>
                <w:rFonts w:ascii="Calibri" w:cs="Calibri" w:eastAsia="Calibri" w:hAnsi="Calibri"/>
                <w:sz w:val="12"/>
                <w:szCs w:val="12"/>
                <w:b w:val="1"/>
                <w:bCs w:val="1"/>
                <w:color w:val="auto"/>
              </w:rPr>
              <w:t>%</w:t>
            </w:r>
          </w:p>
        </w:tc>
        <w:tc>
          <w:tcPr>
            <w:tcW w:w="120" w:type="dxa"/>
            <w:vAlign w:val="bottom"/>
          </w:tcPr>
          <w:p>
            <w:pPr>
              <w:spacing w:after="0"/>
              <w:rPr>
                <w:sz w:val="11"/>
                <w:szCs w:val="11"/>
                <w:color w:val="auto"/>
              </w:rPr>
            </w:pPr>
          </w:p>
        </w:tc>
      </w:tr>
      <w:tr>
        <w:trPr>
          <w:trHeight w:val="27"/>
        </w:trPr>
        <w:tc>
          <w:tcPr>
            <w:tcW w:w="5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37"/>
        </w:trPr>
        <w:tc>
          <w:tcPr>
            <w:tcW w:w="5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40" w:type="dxa"/>
            <w:vAlign w:val="bottom"/>
            <w:gridSpan w:val="6"/>
          </w:tcPr>
          <w:p>
            <w:pPr>
              <w:ind w:left="340"/>
              <w:spacing w:after="0" w:line="138" w:lineRule="exact"/>
              <w:rPr>
                <w:sz w:val="20"/>
                <w:szCs w:val="20"/>
                <w:color w:val="auto"/>
              </w:rPr>
            </w:pPr>
            <w:r>
              <w:rPr>
                <w:rFonts w:ascii="Calibri" w:cs="Calibri" w:eastAsia="Calibri" w:hAnsi="Calibri"/>
                <w:sz w:val="12"/>
                <w:szCs w:val="12"/>
                <w:b w:val="1"/>
                <w:bCs w:val="1"/>
                <w:color w:val="auto"/>
              </w:rPr>
              <w:t>(dollars in thousands)</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03"/>
        </w:trPr>
        <w:tc>
          <w:tcPr>
            <w:tcW w:w="5220" w:type="dxa"/>
            <w:vAlign w:val="bottom"/>
          </w:tcPr>
          <w:p>
            <w:pPr>
              <w:spacing w:after="0"/>
              <w:rPr>
                <w:sz w:val="20"/>
                <w:szCs w:val="20"/>
                <w:color w:val="auto"/>
              </w:rPr>
            </w:pPr>
            <w:r>
              <w:rPr>
                <w:rFonts w:ascii="Calibri" w:cs="Calibri" w:eastAsia="Calibri" w:hAnsi="Calibri"/>
                <w:sz w:val="15"/>
                <w:szCs w:val="15"/>
                <w:color w:val="auto"/>
              </w:rPr>
              <w:t>General and administratve</w:t>
            </w:r>
          </w:p>
        </w:tc>
        <w:tc>
          <w:tcPr>
            <w:tcW w:w="240" w:type="dxa"/>
            <w:vAlign w:val="bottom"/>
          </w:tcPr>
          <w:p>
            <w:pPr>
              <w:jc w:val="right"/>
              <w:ind w:right="83"/>
              <w:spacing w:after="0"/>
              <w:rPr>
                <w:sz w:val="20"/>
                <w:szCs w:val="20"/>
                <w:color w:val="auto"/>
              </w:rPr>
            </w:pPr>
            <w:r>
              <w:rPr>
                <w:rFonts w:ascii="Calibri" w:cs="Calibri" w:eastAsia="Calibri" w:hAnsi="Calibri"/>
                <w:sz w:val="15"/>
                <w:szCs w:val="15"/>
                <w:color w:val="auto"/>
                <w:w w:val="78"/>
              </w:rPr>
              <w:t>$</w:t>
            </w:r>
          </w:p>
        </w:tc>
        <w:tc>
          <w:tcPr>
            <w:tcW w:w="800" w:type="dxa"/>
            <w:vAlign w:val="bottom"/>
          </w:tcPr>
          <w:p>
            <w:pPr>
              <w:jc w:val="right"/>
              <w:spacing w:after="0"/>
              <w:rPr>
                <w:sz w:val="20"/>
                <w:szCs w:val="20"/>
                <w:color w:val="auto"/>
              </w:rPr>
            </w:pPr>
            <w:r>
              <w:rPr>
                <w:rFonts w:ascii="Calibri" w:cs="Calibri" w:eastAsia="Calibri" w:hAnsi="Calibri"/>
                <w:sz w:val="15"/>
                <w:szCs w:val="15"/>
                <w:color w:val="auto"/>
              </w:rPr>
              <w:t>152,757</w:t>
            </w:r>
          </w:p>
        </w:tc>
        <w:tc>
          <w:tcPr>
            <w:tcW w:w="240" w:type="dxa"/>
            <w:vAlign w:val="bottom"/>
          </w:tcPr>
          <w:p>
            <w:pPr>
              <w:spacing w:after="0"/>
              <w:rPr>
                <w:sz w:val="17"/>
                <w:szCs w:val="17"/>
                <w:color w:val="auto"/>
              </w:rPr>
            </w:pPr>
          </w:p>
        </w:tc>
        <w:tc>
          <w:tcPr>
            <w:tcW w:w="240" w:type="dxa"/>
            <w:vAlign w:val="bottom"/>
          </w:tcPr>
          <w:p>
            <w:pPr>
              <w:jc w:val="right"/>
              <w:ind w:right="83"/>
              <w:spacing w:after="0"/>
              <w:rPr>
                <w:sz w:val="20"/>
                <w:szCs w:val="20"/>
                <w:color w:val="auto"/>
              </w:rPr>
            </w:pPr>
            <w:r>
              <w:rPr>
                <w:rFonts w:ascii="Calibri" w:cs="Calibri" w:eastAsia="Calibri" w:hAnsi="Calibri"/>
                <w:sz w:val="15"/>
                <w:szCs w:val="15"/>
                <w:color w:val="auto"/>
                <w:w w:val="78"/>
              </w:rPr>
              <w:t>$</w:t>
            </w:r>
          </w:p>
        </w:tc>
        <w:tc>
          <w:tcPr>
            <w:tcW w:w="800" w:type="dxa"/>
            <w:vAlign w:val="bottom"/>
          </w:tcPr>
          <w:p>
            <w:pPr>
              <w:jc w:val="right"/>
              <w:spacing w:after="0"/>
              <w:rPr>
                <w:sz w:val="20"/>
                <w:szCs w:val="20"/>
                <w:color w:val="auto"/>
              </w:rPr>
            </w:pPr>
            <w:r>
              <w:rPr>
                <w:rFonts w:ascii="Calibri" w:cs="Calibri" w:eastAsia="Calibri" w:hAnsi="Calibri"/>
                <w:sz w:val="15"/>
                <w:szCs w:val="15"/>
                <w:color w:val="auto"/>
              </w:rPr>
              <w:t>73,117</w:t>
            </w:r>
          </w:p>
        </w:tc>
        <w:tc>
          <w:tcPr>
            <w:tcW w:w="240" w:type="dxa"/>
            <w:vAlign w:val="bottom"/>
          </w:tcPr>
          <w:p>
            <w:pPr>
              <w:spacing w:after="0"/>
              <w:rPr>
                <w:sz w:val="17"/>
                <w:szCs w:val="17"/>
                <w:color w:val="auto"/>
              </w:rPr>
            </w:pPr>
          </w:p>
        </w:tc>
        <w:tc>
          <w:tcPr>
            <w:tcW w:w="200" w:type="dxa"/>
            <w:vAlign w:val="bottom"/>
          </w:tcPr>
          <w:p>
            <w:pPr>
              <w:jc w:val="right"/>
              <w:ind w:right="43"/>
              <w:spacing w:after="0"/>
              <w:rPr>
                <w:sz w:val="20"/>
                <w:szCs w:val="20"/>
                <w:color w:val="auto"/>
              </w:rPr>
            </w:pPr>
            <w:r>
              <w:rPr>
                <w:rFonts w:ascii="Calibri" w:cs="Calibri" w:eastAsia="Calibri" w:hAnsi="Calibri"/>
                <w:sz w:val="15"/>
                <w:szCs w:val="15"/>
                <w:color w:val="auto"/>
                <w:w w:val="78"/>
              </w:rPr>
              <w:t>$</w:t>
            </w:r>
          </w:p>
        </w:tc>
        <w:tc>
          <w:tcPr>
            <w:tcW w:w="820" w:type="dxa"/>
            <w:vAlign w:val="bottom"/>
          </w:tcPr>
          <w:p>
            <w:pPr>
              <w:jc w:val="right"/>
              <w:spacing w:after="0"/>
              <w:rPr>
                <w:sz w:val="20"/>
                <w:szCs w:val="20"/>
                <w:color w:val="auto"/>
              </w:rPr>
            </w:pPr>
            <w:r>
              <w:rPr>
                <w:rFonts w:ascii="Calibri" w:cs="Calibri" w:eastAsia="Calibri" w:hAnsi="Calibri"/>
                <w:sz w:val="15"/>
                <w:szCs w:val="15"/>
                <w:color w:val="auto"/>
              </w:rPr>
              <w:t>79,640</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Calibri" w:cs="Calibri" w:eastAsia="Calibri" w:hAnsi="Calibri"/>
                <w:sz w:val="15"/>
                <w:szCs w:val="15"/>
                <w:color w:val="auto"/>
              </w:rPr>
              <w:t>109 %</w:t>
            </w:r>
          </w:p>
        </w:tc>
      </w:tr>
      <w:tr>
        <w:trPr>
          <w:trHeight w:val="207"/>
        </w:trPr>
        <w:tc>
          <w:tcPr>
            <w:tcW w:w="5220" w:type="dxa"/>
            <w:vAlign w:val="bottom"/>
          </w:tcPr>
          <w:p>
            <w:pPr>
              <w:spacing w:after="0"/>
              <w:rPr>
                <w:sz w:val="20"/>
                <w:szCs w:val="20"/>
                <w:color w:val="auto"/>
              </w:rPr>
            </w:pPr>
            <w:r>
              <w:rPr>
                <w:rFonts w:ascii="Calibri" w:cs="Calibri" w:eastAsia="Calibri" w:hAnsi="Calibri"/>
                <w:sz w:val="15"/>
                <w:szCs w:val="15"/>
                <w:color w:val="auto"/>
              </w:rPr>
              <w:t>Percentage of total revenue</w:t>
            </w: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Calibri" w:cs="Calibri" w:eastAsia="Calibri" w:hAnsi="Calibri"/>
                <w:sz w:val="15"/>
                <w:szCs w:val="15"/>
                <w:color w:val="auto"/>
              </w:rPr>
              <w:t>17 %</w:t>
            </w: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Calibri" w:cs="Calibri" w:eastAsia="Calibri" w:hAnsi="Calibri"/>
                <w:sz w:val="15"/>
                <w:szCs w:val="15"/>
                <w:color w:val="auto"/>
              </w:rPr>
              <w:t>4 %</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-242570</wp:posOffset>
            </wp:positionV>
            <wp:extent cx="6436360" cy="1314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436360" cy="131445"/>
                    </a:xfrm>
                    <a:prstGeom prst="rect">
                      <a:avLst/>
                    </a:prstGeom>
                    <a:noFill/>
                  </pic:spPr>
                </pic:pic>
              </a:graphicData>
            </a:graphic>
          </wp:anchor>
        </w:drawing>
      </w:r>
    </w:p>
    <w:p>
      <w:pPr>
        <w:spacing w:after="0" w:line="177"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General and administratve expense increased $79.6 million, or 109%, in the year ended December 31, 2023 compared to the year ended December 31, 2022. The increase was due primarily to a $66.2 million increase in stock-based compensaton due to modifcatons resultng from the 2023 CarOfer Transacton, as well as the impact of the prior year revaluaton of the liability-based stock awards, following mark-to-market valuaton adjustments. This increase was also due in part to a $6.7 million increase in salaries and employee-related expenses, exclusive of stock-based compensaton, due primarily to a 7% increase in headcount as well as merit increases, a $2.8 million increase in legal, audit, and insurance fees due in part to the 2023 CarOfer Transacton, and a $2.5 million increase in rent expense due to the commencement of the 1001 Boylston Street lease.</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i w:val="1"/>
          <w:iCs w:val="1"/>
          <w:color w:val="auto"/>
        </w:rPr>
        <w:t>Depreciaton and Amortzaton Expense</w:t>
      </w:r>
    </w:p>
    <w:p>
      <w:pPr>
        <w:spacing w:after="0" w:line="202" w:lineRule="exact"/>
        <w:rPr>
          <w:sz w:val="20"/>
          <w:szCs w:val="20"/>
          <w:color w:val="auto"/>
        </w:rPr>
      </w:pPr>
    </w:p>
    <w:tbl>
      <w:tblPr>
        <w:tblLayout w:type="fixed"/>
        <w:tblInd w:w="560" w:type="dxa"/>
        <w:tblCellMar>
          <w:top w:w="0" w:type="dxa"/>
          <w:left w:w="0" w:type="dxa"/>
          <w:bottom w:w="0" w:type="dxa"/>
          <w:right w:w="0" w:type="dxa"/>
        </w:tblCellMar>
      </w:tblPr>
      <w:tr>
        <w:trPr>
          <w:trHeight w:val="146"/>
        </w:trPr>
        <w:tc>
          <w:tcPr>
            <w:tcW w:w="5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20" w:type="dxa"/>
            <w:vAlign w:val="bottom"/>
            <w:gridSpan w:val="5"/>
          </w:tcPr>
          <w:p>
            <w:pPr>
              <w:jc w:val="right"/>
              <w:ind w:right="760"/>
              <w:spacing w:after="0"/>
              <w:rPr>
                <w:sz w:val="20"/>
                <w:szCs w:val="20"/>
                <w:color w:val="auto"/>
              </w:rPr>
            </w:pPr>
            <w:r>
              <w:rPr>
                <w:rFonts w:ascii="Calibri" w:cs="Calibri" w:eastAsia="Calibri" w:hAnsi="Calibri"/>
                <w:sz w:val="12"/>
                <w:szCs w:val="12"/>
                <w:b w:val="1"/>
                <w:bCs w:val="1"/>
                <w:color w:val="auto"/>
              </w:rPr>
              <w:t>Year Ended December 31,</w:t>
            </w:r>
          </w:p>
        </w:tc>
        <w:tc>
          <w:tcPr>
            <w:tcW w:w="740" w:type="dxa"/>
            <w:vAlign w:val="bottom"/>
          </w:tcPr>
          <w:p>
            <w:pPr>
              <w:spacing w:after="0"/>
              <w:rPr>
                <w:sz w:val="12"/>
                <w:szCs w:val="12"/>
                <w:color w:val="auto"/>
              </w:rPr>
            </w:pPr>
          </w:p>
        </w:tc>
        <w:tc>
          <w:tcPr>
            <w:tcW w:w="760" w:type="dxa"/>
            <w:vAlign w:val="bottom"/>
            <w:gridSpan w:val="3"/>
          </w:tcPr>
          <w:p>
            <w:pPr>
              <w:ind w:left="200"/>
              <w:spacing w:after="0"/>
              <w:rPr>
                <w:sz w:val="20"/>
                <w:szCs w:val="20"/>
                <w:color w:val="auto"/>
              </w:rPr>
            </w:pPr>
            <w:r>
              <w:rPr>
                <w:rFonts w:ascii="Calibri" w:cs="Calibri" w:eastAsia="Calibri" w:hAnsi="Calibri"/>
                <w:sz w:val="12"/>
                <w:szCs w:val="12"/>
                <w:b w:val="1"/>
                <w:bCs w:val="1"/>
                <w:color w:val="auto"/>
              </w:rPr>
              <w:t>Change</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8"/>
        </w:trPr>
        <w:tc>
          <w:tcPr>
            <w:tcW w:w="5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37"/>
        </w:trPr>
        <w:tc>
          <w:tcPr>
            <w:tcW w:w="5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jc w:val="right"/>
              <w:ind w:right="331"/>
              <w:spacing w:after="0" w:line="138" w:lineRule="exact"/>
              <w:rPr>
                <w:sz w:val="20"/>
                <w:szCs w:val="20"/>
                <w:color w:val="auto"/>
              </w:rPr>
            </w:pPr>
            <w:r>
              <w:rPr>
                <w:rFonts w:ascii="Calibri" w:cs="Calibri" w:eastAsia="Calibri" w:hAnsi="Calibri"/>
                <w:sz w:val="12"/>
                <w:szCs w:val="12"/>
                <w:b w:val="1"/>
                <w:bCs w:val="1"/>
                <w:color w:val="auto"/>
              </w:rPr>
              <w:t>2023</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jc w:val="right"/>
              <w:ind w:right="331"/>
              <w:spacing w:after="0" w:line="138" w:lineRule="exact"/>
              <w:rPr>
                <w:sz w:val="20"/>
                <w:szCs w:val="20"/>
                <w:color w:val="auto"/>
              </w:rPr>
            </w:pPr>
            <w:r>
              <w:rPr>
                <w:rFonts w:ascii="Calibri" w:cs="Calibri" w:eastAsia="Calibri" w:hAnsi="Calibri"/>
                <w:sz w:val="12"/>
                <w:szCs w:val="12"/>
                <w:b w:val="1"/>
                <w:bCs w:val="1"/>
                <w:color w:val="auto"/>
              </w:rPr>
              <w:t>2022</w:t>
            </w:r>
          </w:p>
        </w:tc>
        <w:tc>
          <w:tcPr>
            <w:tcW w:w="240" w:type="dxa"/>
            <w:vAlign w:val="bottom"/>
          </w:tcPr>
          <w:p>
            <w:pPr>
              <w:spacing w:after="0"/>
              <w:rPr>
                <w:sz w:val="11"/>
                <w:szCs w:val="11"/>
                <w:color w:val="auto"/>
              </w:rPr>
            </w:pPr>
          </w:p>
        </w:tc>
        <w:tc>
          <w:tcPr>
            <w:tcW w:w="740" w:type="dxa"/>
            <w:vAlign w:val="bottom"/>
          </w:tcPr>
          <w:p>
            <w:pPr>
              <w:jc w:val="right"/>
              <w:spacing w:after="0" w:line="138" w:lineRule="exact"/>
              <w:rPr>
                <w:sz w:val="20"/>
                <w:szCs w:val="20"/>
                <w:color w:val="auto"/>
              </w:rPr>
            </w:pPr>
            <w:r>
              <w:rPr>
                <w:rFonts w:ascii="Calibri" w:cs="Calibri" w:eastAsia="Calibri" w:hAnsi="Calibri"/>
                <w:sz w:val="12"/>
                <w:szCs w:val="12"/>
                <w:b w:val="1"/>
                <w:bCs w:val="1"/>
                <w:color w:val="auto"/>
              </w:rPr>
              <w:t>Amount</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jc w:val="right"/>
              <w:ind w:right="411"/>
              <w:spacing w:after="0" w:line="138" w:lineRule="exact"/>
              <w:rPr>
                <w:sz w:val="20"/>
                <w:szCs w:val="20"/>
                <w:color w:val="auto"/>
              </w:rPr>
            </w:pPr>
            <w:r>
              <w:rPr>
                <w:rFonts w:ascii="Calibri" w:cs="Calibri" w:eastAsia="Calibri" w:hAnsi="Calibri"/>
                <w:sz w:val="12"/>
                <w:szCs w:val="12"/>
                <w:b w:val="1"/>
                <w:bCs w:val="1"/>
                <w:color w:val="auto"/>
              </w:rPr>
              <w:t>%</w:t>
            </w:r>
          </w:p>
        </w:tc>
        <w:tc>
          <w:tcPr>
            <w:tcW w:w="120" w:type="dxa"/>
            <w:vAlign w:val="bottom"/>
          </w:tcPr>
          <w:p>
            <w:pPr>
              <w:spacing w:after="0"/>
              <w:rPr>
                <w:sz w:val="11"/>
                <w:szCs w:val="11"/>
                <w:color w:val="auto"/>
              </w:rPr>
            </w:pPr>
          </w:p>
        </w:tc>
      </w:tr>
      <w:tr>
        <w:trPr>
          <w:trHeight w:val="27"/>
        </w:trPr>
        <w:tc>
          <w:tcPr>
            <w:tcW w:w="5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37"/>
        </w:trPr>
        <w:tc>
          <w:tcPr>
            <w:tcW w:w="5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80" w:type="dxa"/>
            <w:vAlign w:val="bottom"/>
            <w:gridSpan w:val="3"/>
          </w:tcPr>
          <w:p>
            <w:pPr>
              <w:jc w:val="right"/>
              <w:ind w:right="271"/>
              <w:spacing w:after="0" w:line="138" w:lineRule="exact"/>
              <w:rPr>
                <w:sz w:val="20"/>
                <w:szCs w:val="20"/>
                <w:color w:val="auto"/>
              </w:rPr>
            </w:pPr>
            <w:r>
              <w:rPr>
                <w:rFonts w:ascii="Calibri" w:cs="Calibri" w:eastAsia="Calibri" w:hAnsi="Calibri"/>
                <w:sz w:val="12"/>
                <w:szCs w:val="12"/>
                <w:b w:val="1"/>
                <w:bCs w:val="1"/>
                <w:color w:val="auto"/>
              </w:rPr>
              <w:t>(dollars in thousands)</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03"/>
        </w:trPr>
        <w:tc>
          <w:tcPr>
            <w:tcW w:w="5220" w:type="dxa"/>
            <w:vAlign w:val="bottom"/>
          </w:tcPr>
          <w:p>
            <w:pPr>
              <w:spacing w:after="0"/>
              <w:rPr>
                <w:sz w:val="20"/>
                <w:szCs w:val="20"/>
                <w:color w:val="auto"/>
              </w:rPr>
            </w:pPr>
            <w:r>
              <w:rPr>
                <w:rFonts w:ascii="Calibri" w:cs="Calibri" w:eastAsia="Calibri" w:hAnsi="Calibri"/>
                <w:sz w:val="15"/>
                <w:szCs w:val="15"/>
                <w:color w:val="auto"/>
              </w:rPr>
              <w:t>Depreciaton and amortzaton</w:t>
            </w:r>
          </w:p>
        </w:tc>
        <w:tc>
          <w:tcPr>
            <w:tcW w:w="240" w:type="dxa"/>
            <w:vAlign w:val="bottom"/>
          </w:tcPr>
          <w:p>
            <w:pPr>
              <w:jc w:val="right"/>
              <w:ind w:right="83"/>
              <w:spacing w:after="0"/>
              <w:rPr>
                <w:sz w:val="20"/>
                <w:szCs w:val="20"/>
                <w:color w:val="auto"/>
              </w:rPr>
            </w:pPr>
            <w:r>
              <w:rPr>
                <w:rFonts w:ascii="Calibri" w:cs="Calibri" w:eastAsia="Calibri" w:hAnsi="Calibri"/>
                <w:sz w:val="15"/>
                <w:szCs w:val="15"/>
                <w:color w:val="auto"/>
                <w:w w:val="78"/>
              </w:rPr>
              <w:t>$</w:t>
            </w:r>
          </w:p>
        </w:tc>
        <w:tc>
          <w:tcPr>
            <w:tcW w:w="800" w:type="dxa"/>
            <w:vAlign w:val="bottom"/>
          </w:tcPr>
          <w:p>
            <w:pPr>
              <w:jc w:val="right"/>
              <w:spacing w:after="0"/>
              <w:rPr>
                <w:sz w:val="20"/>
                <w:szCs w:val="20"/>
                <w:color w:val="auto"/>
              </w:rPr>
            </w:pPr>
            <w:r>
              <w:rPr>
                <w:rFonts w:ascii="Calibri" w:cs="Calibri" w:eastAsia="Calibri" w:hAnsi="Calibri"/>
                <w:sz w:val="15"/>
                <w:szCs w:val="15"/>
                <w:color w:val="auto"/>
              </w:rPr>
              <w:t>15,831</w:t>
            </w:r>
          </w:p>
        </w:tc>
        <w:tc>
          <w:tcPr>
            <w:tcW w:w="240" w:type="dxa"/>
            <w:vAlign w:val="bottom"/>
          </w:tcPr>
          <w:p>
            <w:pPr>
              <w:spacing w:after="0"/>
              <w:rPr>
                <w:sz w:val="17"/>
                <w:szCs w:val="17"/>
                <w:color w:val="auto"/>
              </w:rPr>
            </w:pPr>
          </w:p>
        </w:tc>
        <w:tc>
          <w:tcPr>
            <w:tcW w:w="240" w:type="dxa"/>
            <w:vAlign w:val="bottom"/>
          </w:tcPr>
          <w:p>
            <w:pPr>
              <w:jc w:val="right"/>
              <w:ind w:right="83"/>
              <w:spacing w:after="0"/>
              <w:rPr>
                <w:sz w:val="20"/>
                <w:szCs w:val="20"/>
                <w:color w:val="auto"/>
              </w:rPr>
            </w:pPr>
            <w:r>
              <w:rPr>
                <w:rFonts w:ascii="Calibri" w:cs="Calibri" w:eastAsia="Calibri" w:hAnsi="Calibri"/>
                <w:sz w:val="15"/>
                <w:szCs w:val="15"/>
                <w:color w:val="auto"/>
                <w:w w:val="78"/>
              </w:rPr>
              <w:t>$</w:t>
            </w:r>
          </w:p>
        </w:tc>
        <w:tc>
          <w:tcPr>
            <w:tcW w:w="800" w:type="dxa"/>
            <w:vAlign w:val="bottom"/>
          </w:tcPr>
          <w:p>
            <w:pPr>
              <w:jc w:val="right"/>
              <w:spacing w:after="0"/>
              <w:rPr>
                <w:sz w:val="20"/>
                <w:szCs w:val="20"/>
                <w:color w:val="auto"/>
              </w:rPr>
            </w:pPr>
            <w:r>
              <w:rPr>
                <w:rFonts w:ascii="Calibri" w:cs="Calibri" w:eastAsia="Calibri" w:hAnsi="Calibri"/>
                <w:sz w:val="15"/>
                <w:szCs w:val="15"/>
                <w:color w:val="auto"/>
              </w:rPr>
              <w:t>15,482</w:t>
            </w:r>
          </w:p>
        </w:tc>
        <w:tc>
          <w:tcPr>
            <w:tcW w:w="240" w:type="dxa"/>
            <w:vAlign w:val="bottom"/>
          </w:tcPr>
          <w:p>
            <w:pPr>
              <w:spacing w:after="0"/>
              <w:rPr>
                <w:sz w:val="17"/>
                <w:szCs w:val="17"/>
                <w:color w:val="auto"/>
              </w:rPr>
            </w:pPr>
          </w:p>
        </w:tc>
        <w:tc>
          <w:tcPr>
            <w:tcW w:w="740" w:type="dxa"/>
            <w:vAlign w:val="bottom"/>
          </w:tcPr>
          <w:p>
            <w:pPr>
              <w:jc w:val="right"/>
              <w:ind w:right="591"/>
              <w:spacing w:after="0"/>
              <w:rPr>
                <w:sz w:val="20"/>
                <w:szCs w:val="20"/>
                <w:color w:val="auto"/>
              </w:rPr>
            </w:pPr>
            <w:r>
              <w:rPr>
                <w:rFonts w:ascii="Calibri" w:cs="Calibri" w:eastAsia="Calibri" w:hAnsi="Calibri"/>
                <w:sz w:val="15"/>
                <w:szCs w:val="15"/>
                <w:color w:val="auto"/>
                <w:w w:val="78"/>
              </w:rPr>
              <w:t>$</w:t>
            </w:r>
          </w:p>
        </w:tc>
        <w:tc>
          <w:tcPr>
            <w:tcW w:w="280" w:type="dxa"/>
            <w:vAlign w:val="bottom"/>
          </w:tcPr>
          <w:p>
            <w:pPr>
              <w:jc w:val="right"/>
              <w:spacing w:after="0"/>
              <w:rPr>
                <w:sz w:val="20"/>
                <w:szCs w:val="20"/>
                <w:color w:val="auto"/>
              </w:rPr>
            </w:pPr>
            <w:r>
              <w:rPr>
                <w:rFonts w:ascii="Calibri" w:cs="Calibri" w:eastAsia="Calibri" w:hAnsi="Calibri"/>
                <w:sz w:val="15"/>
                <w:szCs w:val="15"/>
                <w:color w:val="auto"/>
              </w:rPr>
              <w:t>349</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Calibri" w:cs="Calibri" w:eastAsia="Calibri" w:hAnsi="Calibri"/>
                <w:sz w:val="15"/>
                <w:szCs w:val="15"/>
                <w:color w:val="auto"/>
              </w:rPr>
              <w:t>2 %</w:t>
            </w:r>
          </w:p>
        </w:tc>
      </w:tr>
      <w:tr>
        <w:trPr>
          <w:trHeight w:val="207"/>
        </w:trPr>
        <w:tc>
          <w:tcPr>
            <w:tcW w:w="5220" w:type="dxa"/>
            <w:vAlign w:val="bottom"/>
          </w:tcPr>
          <w:p>
            <w:pPr>
              <w:spacing w:after="0"/>
              <w:rPr>
                <w:sz w:val="20"/>
                <w:szCs w:val="20"/>
                <w:color w:val="auto"/>
              </w:rPr>
            </w:pPr>
            <w:r>
              <w:rPr>
                <w:rFonts w:ascii="Calibri" w:cs="Calibri" w:eastAsia="Calibri" w:hAnsi="Calibri"/>
                <w:sz w:val="15"/>
                <w:szCs w:val="15"/>
                <w:color w:val="auto"/>
              </w:rPr>
              <w:t>Percentage of total revenue</w:t>
            </w: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Calibri" w:cs="Calibri" w:eastAsia="Calibri" w:hAnsi="Calibri"/>
                <w:sz w:val="15"/>
                <w:szCs w:val="15"/>
                <w:color w:val="auto"/>
              </w:rPr>
              <w:t>2 %</w:t>
            </w: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Calibri" w:cs="Calibri" w:eastAsia="Calibri" w:hAnsi="Calibri"/>
                <w:sz w:val="15"/>
                <w:szCs w:val="15"/>
                <w:color w:val="auto"/>
              </w:rPr>
              <w:t>1 %</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-242570</wp:posOffset>
            </wp:positionV>
            <wp:extent cx="6436360" cy="1314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436360" cy="131445"/>
                    </a:xfrm>
                    <a:prstGeom prst="rect">
                      <a:avLst/>
                    </a:prstGeom>
                    <a:noFill/>
                  </pic:spPr>
                </pic:pic>
              </a:graphicData>
            </a:graphic>
          </wp:anchor>
        </w:drawing>
      </w:r>
    </w:p>
    <w:p>
      <w:pPr>
        <w:spacing w:after="0" w:line="177" w:lineRule="exact"/>
        <w:rPr>
          <w:sz w:val="20"/>
          <w:szCs w:val="20"/>
          <w:color w:val="auto"/>
        </w:rPr>
      </w:pPr>
    </w:p>
    <w:p>
      <w:pPr>
        <w:ind w:left="500"/>
        <w:spacing w:after="0"/>
        <w:rPr>
          <w:sz w:val="20"/>
          <w:szCs w:val="20"/>
          <w:color w:val="auto"/>
        </w:rPr>
      </w:pPr>
      <w:r>
        <w:rPr>
          <w:rFonts w:ascii="Calibri" w:cs="Calibri" w:eastAsia="Calibri" w:hAnsi="Calibri"/>
          <w:sz w:val="15"/>
          <w:szCs w:val="15"/>
          <w:color w:val="auto"/>
        </w:rPr>
        <w:t>Depreciaton and amortzaton expense remained relatvely consistent in the year ended December 31, 2023 compared to the year ended December 31, 2022.</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b w:val="1"/>
          <w:bCs w:val="1"/>
          <w:i w:val="1"/>
          <w:iCs w:val="1"/>
          <w:color w:val="auto"/>
        </w:rPr>
        <w:t>Other Income, net</w:t>
      </w:r>
    </w:p>
    <w:p>
      <w:pPr>
        <w:spacing w:after="0" w:line="202" w:lineRule="exact"/>
        <w:rPr>
          <w:sz w:val="20"/>
          <w:szCs w:val="20"/>
          <w:color w:val="auto"/>
        </w:rPr>
      </w:pPr>
    </w:p>
    <w:tbl>
      <w:tblPr>
        <w:tblLayout w:type="fixed"/>
        <w:tblInd w:w="560" w:type="dxa"/>
        <w:tblCellMar>
          <w:top w:w="0" w:type="dxa"/>
          <w:left w:w="0" w:type="dxa"/>
          <w:bottom w:w="0" w:type="dxa"/>
          <w:right w:w="0" w:type="dxa"/>
        </w:tblCellMar>
      </w:tblPr>
      <w:tr>
        <w:trPr>
          <w:trHeight w:val="146"/>
        </w:trPr>
        <w:tc>
          <w:tcPr>
            <w:tcW w:w="5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gridSpan w:val="3"/>
          </w:tcPr>
          <w:p>
            <w:pPr>
              <w:jc w:val="right"/>
              <w:ind w:right="71"/>
              <w:spacing w:after="0"/>
              <w:rPr>
                <w:sz w:val="20"/>
                <w:szCs w:val="20"/>
                <w:color w:val="auto"/>
              </w:rPr>
            </w:pPr>
            <w:r>
              <w:rPr>
                <w:rFonts w:ascii="Calibri" w:cs="Calibri" w:eastAsia="Calibri" w:hAnsi="Calibri"/>
                <w:sz w:val="12"/>
                <w:szCs w:val="12"/>
                <w:b w:val="1"/>
                <w:bCs w:val="1"/>
                <w:color w:val="auto"/>
              </w:rPr>
              <w:t>Year Ended December 31,</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3"/>
          </w:tcPr>
          <w:p>
            <w:pPr>
              <w:ind w:left="760"/>
              <w:spacing w:after="0"/>
              <w:rPr>
                <w:sz w:val="20"/>
                <w:szCs w:val="20"/>
                <w:color w:val="auto"/>
              </w:rPr>
            </w:pPr>
            <w:r>
              <w:rPr>
                <w:rFonts w:ascii="Calibri" w:cs="Calibri" w:eastAsia="Calibri" w:hAnsi="Calibri"/>
                <w:sz w:val="12"/>
                <w:szCs w:val="12"/>
                <w:b w:val="1"/>
                <w:bCs w:val="1"/>
                <w:color w:val="auto"/>
              </w:rPr>
              <w:t>Change</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8"/>
        </w:trPr>
        <w:tc>
          <w:tcPr>
            <w:tcW w:w="5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37"/>
        </w:trPr>
        <w:tc>
          <w:tcPr>
            <w:tcW w:w="5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jc w:val="right"/>
              <w:ind w:right="327"/>
              <w:spacing w:after="0" w:line="138" w:lineRule="exact"/>
              <w:rPr>
                <w:sz w:val="20"/>
                <w:szCs w:val="20"/>
                <w:color w:val="auto"/>
              </w:rPr>
            </w:pPr>
            <w:r>
              <w:rPr>
                <w:rFonts w:ascii="Calibri" w:cs="Calibri" w:eastAsia="Calibri" w:hAnsi="Calibri"/>
                <w:sz w:val="12"/>
                <w:szCs w:val="12"/>
                <w:b w:val="1"/>
                <w:bCs w:val="1"/>
                <w:color w:val="auto"/>
              </w:rPr>
              <w:t>2023</w:t>
            </w:r>
          </w:p>
        </w:tc>
        <w:tc>
          <w:tcPr>
            <w:tcW w:w="24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Calibri" w:cs="Calibri" w:eastAsia="Calibri" w:hAnsi="Calibri"/>
                <w:sz w:val="12"/>
                <w:szCs w:val="12"/>
                <w:b w:val="1"/>
                <w:bCs w:val="1"/>
                <w:color w:val="auto"/>
              </w:rPr>
              <w:t>2022</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3"/>
          </w:tcPr>
          <w:p>
            <w:pPr>
              <w:ind w:left="120"/>
              <w:spacing w:after="0" w:line="138" w:lineRule="exact"/>
              <w:rPr>
                <w:sz w:val="20"/>
                <w:szCs w:val="20"/>
                <w:color w:val="auto"/>
              </w:rPr>
            </w:pPr>
            <w:r>
              <w:rPr>
                <w:rFonts w:ascii="Calibri" w:cs="Calibri" w:eastAsia="Calibri" w:hAnsi="Calibri"/>
                <w:sz w:val="12"/>
                <w:szCs w:val="12"/>
                <w:b w:val="1"/>
                <w:bCs w:val="1"/>
                <w:color w:val="auto"/>
              </w:rPr>
              <w:t>Amount</w:t>
            </w:r>
          </w:p>
        </w:tc>
        <w:tc>
          <w:tcPr>
            <w:tcW w:w="760" w:type="dxa"/>
            <w:vAlign w:val="bottom"/>
          </w:tcPr>
          <w:p>
            <w:pPr>
              <w:jc w:val="right"/>
              <w:ind w:right="427"/>
              <w:spacing w:after="0" w:line="138" w:lineRule="exact"/>
              <w:rPr>
                <w:sz w:val="20"/>
                <w:szCs w:val="20"/>
                <w:color w:val="auto"/>
              </w:rPr>
            </w:pPr>
            <w:r>
              <w:rPr>
                <w:rFonts w:ascii="Calibri" w:cs="Calibri" w:eastAsia="Calibri" w:hAnsi="Calibri"/>
                <w:sz w:val="12"/>
                <w:szCs w:val="12"/>
                <w:b w:val="1"/>
                <w:bCs w:val="1"/>
                <w:color w:val="auto"/>
              </w:rPr>
              <w: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7"/>
        </w:trPr>
        <w:tc>
          <w:tcPr>
            <w:tcW w:w="5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37"/>
        </w:trPr>
        <w:tc>
          <w:tcPr>
            <w:tcW w:w="5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780" w:type="dxa"/>
            <w:vAlign w:val="bottom"/>
            <w:gridSpan w:val="7"/>
          </w:tcPr>
          <w:p>
            <w:pPr>
              <w:ind w:left="580"/>
              <w:spacing w:after="0" w:line="138" w:lineRule="exact"/>
              <w:rPr>
                <w:sz w:val="20"/>
                <w:szCs w:val="20"/>
                <w:color w:val="auto"/>
              </w:rPr>
            </w:pPr>
            <w:r>
              <w:rPr>
                <w:rFonts w:ascii="Calibri" w:cs="Calibri" w:eastAsia="Calibri" w:hAnsi="Calibri"/>
                <w:sz w:val="12"/>
                <w:szCs w:val="12"/>
                <w:b w:val="1"/>
                <w:bCs w:val="1"/>
                <w:color w:val="auto"/>
              </w:rPr>
              <w:t>(dollars in thousands)</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7"/>
        </w:trPr>
        <w:tc>
          <w:tcPr>
            <w:tcW w:w="5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7"/>
        </w:trPr>
        <w:tc>
          <w:tcPr>
            <w:tcW w:w="522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5"/>
                <w:szCs w:val="15"/>
                <w:b w:val="1"/>
                <w:bCs w:val="1"/>
                <w:color w:val="auto"/>
              </w:rPr>
              <w:t>Other income, net:</w:t>
            </w:r>
          </w:p>
        </w:tc>
        <w:tc>
          <w:tcPr>
            <w:tcW w:w="24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660" w:type="dxa"/>
            <w:vAlign w:val="bottom"/>
            <w:tcBorders>
              <w:bottom w:val="single" w:sz="8" w:color="CFF0FC"/>
            </w:tcBorders>
            <w:shd w:val="clear" w:color="auto" w:fill="CFF0FC"/>
          </w:tcPr>
          <w:p>
            <w:pPr>
              <w:spacing w:after="0"/>
              <w:rPr>
                <w:sz w:val="16"/>
                <w:szCs w:val="16"/>
                <w:color w:val="auto"/>
              </w:rPr>
            </w:pPr>
          </w:p>
        </w:tc>
        <w:tc>
          <w:tcPr>
            <w:tcW w:w="38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82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CFF0FC"/>
            </w:tcBorders>
            <w:shd w:val="clear" w:color="auto" w:fill="CFF0FC"/>
          </w:tcPr>
          <w:p>
            <w:pPr>
              <w:spacing w:after="0"/>
              <w:rPr>
                <w:sz w:val="16"/>
                <w:szCs w:val="16"/>
                <w:color w:val="auto"/>
              </w:rPr>
            </w:pPr>
          </w:p>
        </w:tc>
        <w:tc>
          <w:tcPr>
            <w:tcW w:w="7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20" w:type="dxa"/>
            <w:vAlign w:val="bottom"/>
          </w:tcPr>
          <w:p>
            <w:pPr>
              <w:spacing w:after="0"/>
              <w:rPr>
                <w:sz w:val="16"/>
                <w:szCs w:val="16"/>
                <w:color w:val="auto"/>
              </w:rPr>
            </w:pPr>
          </w:p>
        </w:tc>
      </w:tr>
      <w:tr>
        <w:trPr>
          <w:trHeight w:val="183"/>
        </w:trPr>
        <w:tc>
          <w:tcPr>
            <w:tcW w:w="5220" w:type="dxa"/>
            <w:vAlign w:val="bottom"/>
          </w:tcPr>
          <w:p>
            <w:pPr>
              <w:spacing w:after="0"/>
              <w:rPr>
                <w:sz w:val="20"/>
                <w:szCs w:val="20"/>
                <w:color w:val="auto"/>
              </w:rPr>
            </w:pPr>
            <w:r>
              <w:rPr>
                <w:rFonts w:ascii="Calibri" w:cs="Calibri" w:eastAsia="Calibri" w:hAnsi="Calibri"/>
                <w:sz w:val="15"/>
                <w:szCs w:val="15"/>
                <w:color w:val="auto"/>
              </w:rPr>
              <w:t>Interest income</w:t>
            </w:r>
          </w:p>
        </w:tc>
        <w:tc>
          <w:tcPr>
            <w:tcW w:w="240" w:type="dxa"/>
            <w:vAlign w:val="bottom"/>
          </w:tcPr>
          <w:p>
            <w:pPr>
              <w:jc w:val="right"/>
              <w:ind w:right="83"/>
              <w:spacing w:after="0"/>
              <w:rPr>
                <w:sz w:val="20"/>
                <w:szCs w:val="20"/>
                <w:color w:val="auto"/>
              </w:rPr>
            </w:pPr>
            <w:r>
              <w:rPr>
                <w:rFonts w:ascii="Calibri" w:cs="Calibri" w:eastAsia="Calibri" w:hAnsi="Calibri"/>
                <w:sz w:val="15"/>
                <w:szCs w:val="15"/>
                <w:color w:val="auto"/>
                <w:w w:val="78"/>
              </w:rPr>
              <w:t>$</w:t>
            </w:r>
          </w:p>
        </w:tc>
        <w:tc>
          <w:tcPr>
            <w:tcW w:w="800" w:type="dxa"/>
            <w:vAlign w:val="bottom"/>
          </w:tcPr>
          <w:p>
            <w:pPr>
              <w:jc w:val="right"/>
              <w:spacing w:after="0"/>
              <w:rPr>
                <w:sz w:val="20"/>
                <w:szCs w:val="20"/>
                <w:color w:val="auto"/>
              </w:rPr>
            </w:pPr>
            <w:r>
              <w:rPr>
                <w:rFonts w:ascii="Calibri" w:cs="Calibri" w:eastAsia="Calibri" w:hAnsi="Calibri"/>
                <w:sz w:val="15"/>
                <w:szCs w:val="15"/>
                <w:color w:val="auto"/>
              </w:rPr>
              <w:t>18,430</w:t>
            </w:r>
          </w:p>
        </w:tc>
        <w:tc>
          <w:tcPr>
            <w:tcW w:w="240" w:type="dxa"/>
            <w:vAlign w:val="bottom"/>
          </w:tcPr>
          <w:p>
            <w:pPr>
              <w:spacing w:after="0"/>
              <w:rPr>
                <w:sz w:val="15"/>
                <w:szCs w:val="15"/>
                <w:color w:val="auto"/>
              </w:rPr>
            </w:pPr>
          </w:p>
        </w:tc>
        <w:tc>
          <w:tcPr>
            <w:tcW w:w="660" w:type="dxa"/>
            <w:vAlign w:val="bottom"/>
          </w:tcPr>
          <w:p>
            <w:pPr>
              <w:jc w:val="right"/>
              <w:ind w:right="511"/>
              <w:spacing w:after="0"/>
              <w:rPr>
                <w:sz w:val="20"/>
                <w:szCs w:val="20"/>
                <w:color w:val="auto"/>
              </w:rPr>
            </w:pPr>
            <w:r>
              <w:rPr>
                <w:rFonts w:ascii="Calibri" w:cs="Calibri" w:eastAsia="Calibri" w:hAnsi="Calibri"/>
                <w:sz w:val="15"/>
                <w:szCs w:val="15"/>
                <w:color w:val="auto"/>
                <w:w w:val="78"/>
              </w:rPr>
              <w:t>$</w:t>
            </w:r>
          </w:p>
        </w:tc>
        <w:tc>
          <w:tcPr>
            <w:tcW w:w="380" w:type="dxa"/>
            <w:vAlign w:val="bottom"/>
          </w:tcPr>
          <w:p>
            <w:pPr>
              <w:jc w:val="right"/>
              <w:spacing w:after="0"/>
              <w:rPr>
                <w:sz w:val="20"/>
                <w:szCs w:val="20"/>
                <w:color w:val="auto"/>
              </w:rPr>
            </w:pPr>
            <w:r>
              <w:rPr>
                <w:rFonts w:ascii="Calibri" w:cs="Calibri" w:eastAsia="Calibri" w:hAnsi="Calibri"/>
                <w:sz w:val="15"/>
                <w:szCs w:val="15"/>
                <w:color w:val="auto"/>
                <w:w w:val="99"/>
              </w:rPr>
              <w:t>3,845</w:t>
            </w:r>
          </w:p>
        </w:tc>
        <w:tc>
          <w:tcPr>
            <w:tcW w:w="240" w:type="dxa"/>
            <w:vAlign w:val="bottom"/>
          </w:tcPr>
          <w:p>
            <w:pPr>
              <w:spacing w:after="0"/>
              <w:rPr>
                <w:sz w:val="15"/>
                <w:szCs w:val="15"/>
                <w:color w:val="auto"/>
              </w:rPr>
            </w:pPr>
          </w:p>
        </w:tc>
        <w:tc>
          <w:tcPr>
            <w:tcW w:w="180" w:type="dxa"/>
            <w:vAlign w:val="bottom"/>
          </w:tcPr>
          <w:p>
            <w:pPr>
              <w:jc w:val="right"/>
              <w:ind w:right="23"/>
              <w:spacing w:after="0"/>
              <w:rPr>
                <w:sz w:val="20"/>
                <w:szCs w:val="20"/>
                <w:color w:val="auto"/>
              </w:rPr>
            </w:pPr>
            <w:r>
              <w:rPr>
                <w:rFonts w:ascii="Calibri" w:cs="Calibri" w:eastAsia="Calibri" w:hAnsi="Calibri"/>
                <w:sz w:val="15"/>
                <w:szCs w:val="15"/>
                <w:color w:val="auto"/>
                <w:w w:val="78"/>
              </w:rPr>
              <w:t>$</w:t>
            </w:r>
          </w:p>
        </w:tc>
        <w:tc>
          <w:tcPr>
            <w:tcW w:w="820" w:type="dxa"/>
            <w:vAlign w:val="bottom"/>
          </w:tcPr>
          <w:p>
            <w:pPr>
              <w:jc w:val="right"/>
              <w:spacing w:after="0"/>
              <w:rPr>
                <w:sz w:val="20"/>
                <w:szCs w:val="20"/>
                <w:color w:val="auto"/>
              </w:rPr>
            </w:pPr>
            <w:r>
              <w:rPr>
                <w:rFonts w:ascii="Calibri" w:cs="Calibri" w:eastAsia="Calibri" w:hAnsi="Calibri"/>
                <w:sz w:val="15"/>
                <w:szCs w:val="15"/>
                <w:color w:val="auto"/>
              </w:rPr>
              <w:t>14,585</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gridSpan w:val="3"/>
          </w:tcPr>
          <w:p>
            <w:pPr>
              <w:ind w:left="520"/>
              <w:spacing w:after="0"/>
              <w:rPr>
                <w:sz w:val="20"/>
                <w:szCs w:val="20"/>
                <w:color w:val="auto"/>
              </w:rPr>
            </w:pPr>
            <w:r>
              <w:rPr>
                <w:rFonts w:ascii="Calibri" w:cs="Calibri" w:eastAsia="Calibri" w:hAnsi="Calibri"/>
                <w:sz w:val="15"/>
                <w:szCs w:val="15"/>
                <w:color w:val="auto"/>
                <w:w w:val="91"/>
              </w:rPr>
              <w:t>379 %</w:t>
            </w:r>
          </w:p>
        </w:tc>
      </w:tr>
      <w:tr>
        <w:trPr>
          <w:trHeight w:val="24"/>
        </w:trPr>
        <w:tc>
          <w:tcPr>
            <w:tcW w:w="5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7"/>
        </w:trPr>
        <w:tc>
          <w:tcPr>
            <w:tcW w:w="522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5"/>
                <w:szCs w:val="15"/>
                <w:color w:val="auto"/>
              </w:rPr>
              <w:t>Other income (expense), net</w:t>
            </w:r>
          </w:p>
        </w:tc>
        <w:tc>
          <w:tcPr>
            <w:tcW w:w="24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630</w:t>
            </w:r>
          </w:p>
        </w:tc>
        <w:tc>
          <w:tcPr>
            <w:tcW w:w="240" w:type="dxa"/>
            <w:vAlign w:val="bottom"/>
            <w:tcBorders>
              <w:bottom w:val="single" w:sz="8" w:color="CFF0FC"/>
            </w:tcBorders>
            <w:shd w:val="clear" w:color="auto" w:fill="CFF0FC"/>
          </w:tcPr>
          <w:p>
            <w:pPr>
              <w:spacing w:after="0"/>
              <w:rPr>
                <w:sz w:val="16"/>
                <w:szCs w:val="16"/>
                <w:color w:val="auto"/>
              </w:rPr>
            </w:pPr>
          </w:p>
        </w:tc>
        <w:tc>
          <w:tcPr>
            <w:tcW w:w="660" w:type="dxa"/>
            <w:vAlign w:val="bottom"/>
            <w:tcBorders>
              <w:bottom w:val="single" w:sz="8" w:color="CFF0FC"/>
            </w:tcBorders>
            <w:shd w:val="clear" w:color="auto" w:fill="CFF0FC"/>
          </w:tcPr>
          <w:p>
            <w:pPr>
              <w:spacing w:after="0"/>
              <w:rPr>
                <w:sz w:val="16"/>
                <w:szCs w:val="16"/>
                <w:color w:val="auto"/>
              </w:rPr>
            </w:pPr>
          </w:p>
        </w:tc>
        <w:tc>
          <w:tcPr>
            <w:tcW w:w="62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Calibri" w:cs="Calibri" w:eastAsia="Calibri" w:hAnsi="Calibri"/>
                <w:sz w:val="15"/>
                <w:szCs w:val="15"/>
                <w:color w:val="auto"/>
              </w:rPr>
              <w:t>(961 )</w:t>
            </w:r>
          </w:p>
        </w:tc>
        <w:tc>
          <w:tcPr>
            <w:tcW w:w="180" w:type="dxa"/>
            <w:vAlign w:val="bottom"/>
            <w:tcBorders>
              <w:bottom w:val="single" w:sz="8" w:color="CFF0FC"/>
            </w:tcBorders>
            <w:shd w:val="clear" w:color="auto" w:fill="CFF0FC"/>
          </w:tcPr>
          <w:p>
            <w:pPr>
              <w:spacing w:after="0"/>
              <w:rPr>
                <w:sz w:val="16"/>
                <w:szCs w:val="16"/>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1,591</w:t>
            </w:r>
          </w:p>
        </w:tc>
        <w:tc>
          <w:tcPr>
            <w:tcW w:w="20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CFF0FC"/>
            </w:tcBorders>
            <w:shd w:val="clear" w:color="auto" w:fill="CFF0FC"/>
          </w:tcPr>
          <w:p>
            <w:pPr>
              <w:spacing w:after="0"/>
              <w:rPr>
                <w:sz w:val="16"/>
                <w:szCs w:val="16"/>
                <w:color w:val="auto"/>
              </w:rPr>
            </w:pPr>
          </w:p>
        </w:tc>
        <w:tc>
          <w:tcPr>
            <w:tcW w:w="760" w:type="dxa"/>
            <w:vAlign w:val="bottom"/>
            <w:tcBorders>
              <w:bottom w:val="single" w:sz="8" w:color="CFF0FC"/>
            </w:tcBorders>
            <w:shd w:val="clear" w:color="auto" w:fill="CFF0FC"/>
          </w:tcPr>
          <w:p>
            <w:pPr>
              <w:ind w:left="520"/>
              <w:spacing w:after="0"/>
              <w:rPr>
                <w:sz w:val="20"/>
                <w:szCs w:val="20"/>
                <w:color w:val="auto"/>
              </w:rPr>
            </w:pPr>
            <w:r>
              <w:rPr>
                <w:rFonts w:ascii="Calibri" w:cs="Calibri" w:eastAsia="Calibri" w:hAnsi="Calibri"/>
                <w:sz w:val="15"/>
                <w:szCs w:val="15"/>
                <w:color w:val="auto"/>
                <w:w w:val="96"/>
              </w:rPr>
              <w:t>166</w:t>
            </w:r>
          </w:p>
        </w:tc>
        <w:tc>
          <w:tcPr>
            <w:tcW w:w="100" w:type="dxa"/>
            <w:vAlign w:val="bottom"/>
            <w:tcBorders>
              <w:bottom w:val="single" w:sz="8" w:color="CFF0FC"/>
            </w:tcBorders>
            <w:shd w:val="clear" w:color="auto" w:fill="CFF0FC"/>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5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5220" w:type="dxa"/>
            <w:vAlign w:val="bottom"/>
          </w:tcPr>
          <w:p>
            <w:pPr>
              <w:ind w:left="160"/>
              <w:spacing w:after="0" w:line="174" w:lineRule="exact"/>
              <w:rPr>
                <w:sz w:val="20"/>
                <w:szCs w:val="20"/>
                <w:color w:val="auto"/>
              </w:rPr>
            </w:pPr>
            <w:r>
              <w:rPr>
                <w:rFonts w:ascii="Calibri" w:cs="Calibri" w:eastAsia="Calibri" w:hAnsi="Calibri"/>
                <w:sz w:val="15"/>
                <w:szCs w:val="15"/>
                <w:color w:val="auto"/>
              </w:rPr>
              <w:t>Total other income, net</w:t>
            </w:r>
          </w:p>
        </w:tc>
        <w:tc>
          <w:tcPr>
            <w:tcW w:w="240" w:type="dxa"/>
            <w:vAlign w:val="bottom"/>
          </w:tcPr>
          <w:p>
            <w:pPr>
              <w:jc w:val="right"/>
              <w:ind w:right="83"/>
              <w:spacing w:after="0" w:line="174" w:lineRule="exact"/>
              <w:rPr>
                <w:sz w:val="20"/>
                <w:szCs w:val="20"/>
                <w:color w:val="auto"/>
              </w:rPr>
            </w:pPr>
            <w:r>
              <w:rPr>
                <w:rFonts w:ascii="Calibri" w:cs="Calibri" w:eastAsia="Calibri" w:hAnsi="Calibri"/>
                <w:sz w:val="15"/>
                <w:szCs w:val="15"/>
                <w:color w:val="auto"/>
                <w:w w:val="78"/>
              </w:rPr>
              <w:t>$</w:t>
            </w:r>
          </w:p>
        </w:tc>
        <w:tc>
          <w:tcPr>
            <w:tcW w:w="800" w:type="dxa"/>
            <w:vAlign w:val="bottom"/>
          </w:tcPr>
          <w:p>
            <w:pPr>
              <w:jc w:val="right"/>
              <w:spacing w:after="0" w:line="174" w:lineRule="exact"/>
              <w:rPr>
                <w:sz w:val="20"/>
                <w:szCs w:val="20"/>
                <w:color w:val="auto"/>
              </w:rPr>
            </w:pPr>
            <w:r>
              <w:rPr>
                <w:rFonts w:ascii="Calibri" w:cs="Calibri" w:eastAsia="Calibri" w:hAnsi="Calibri"/>
                <w:sz w:val="15"/>
                <w:szCs w:val="15"/>
                <w:color w:val="auto"/>
              </w:rPr>
              <w:t>19,060</w:t>
            </w:r>
          </w:p>
        </w:tc>
        <w:tc>
          <w:tcPr>
            <w:tcW w:w="240" w:type="dxa"/>
            <w:vAlign w:val="bottom"/>
          </w:tcPr>
          <w:p>
            <w:pPr>
              <w:spacing w:after="0"/>
              <w:rPr>
                <w:sz w:val="15"/>
                <w:szCs w:val="15"/>
                <w:color w:val="auto"/>
              </w:rPr>
            </w:pPr>
          </w:p>
        </w:tc>
        <w:tc>
          <w:tcPr>
            <w:tcW w:w="660" w:type="dxa"/>
            <w:vAlign w:val="bottom"/>
          </w:tcPr>
          <w:p>
            <w:pPr>
              <w:jc w:val="right"/>
              <w:ind w:right="511"/>
              <w:spacing w:after="0" w:line="174" w:lineRule="exact"/>
              <w:rPr>
                <w:sz w:val="20"/>
                <w:szCs w:val="20"/>
                <w:color w:val="auto"/>
              </w:rPr>
            </w:pPr>
            <w:r>
              <w:rPr>
                <w:rFonts w:ascii="Calibri" w:cs="Calibri" w:eastAsia="Calibri" w:hAnsi="Calibri"/>
                <w:sz w:val="15"/>
                <w:szCs w:val="15"/>
                <w:color w:val="auto"/>
                <w:w w:val="78"/>
              </w:rPr>
              <w:t>$</w:t>
            </w:r>
          </w:p>
        </w:tc>
        <w:tc>
          <w:tcPr>
            <w:tcW w:w="380" w:type="dxa"/>
            <w:vAlign w:val="bottom"/>
          </w:tcPr>
          <w:p>
            <w:pPr>
              <w:jc w:val="right"/>
              <w:spacing w:after="0" w:line="174" w:lineRule="exact"/>
              <w:rPr>
                <w:sz w:val="20"/>
                <w:szCs w:val="20"/>
                <w:color w:val="auto"/>
              </w:rPr>
            </w:pPr>
            <w:r>
              <w:rPr>
                <w:rFonts w:ascii="Calibri" w:cs="Calibri" w:eastAsia="Calibri" w:hAnsi="Calibri"/>
                <w:sz w:val="15"/>
                <w:szCs w:val="15"/>
                <w:color w:val="auto"/>
                <w:w w:val="99"/>
              </w:rPr>
              <w:t>2,884</w:t>
            </w:r>
          </w:p>
        </w:tc>
        <w:tc>
          <w:tcPr>
            <w:tcW w:w="240" w:type="dxa"/>
            <w:vAlign w:val="bottom"/>
          </w:tcPr>
          <w:p>
            <w:pPr>
              <w:spacing w:after="0"/>
              <w:rPr>
                <w:sz w:val="15"/>
                <w:szCs w:val="15"/>
                <w:color w:val="auto"/>
              </w:rPr>
            </w:pPr>
          </w:p>
        </w:tc>
        <w:tc>
          <w:tcPr>
            <w:tcW w:w="180" w:type="dxa"/>
            <w:vAlign w:val="bottom"/>
          </w:tcPr>
          <w:p>
            <w:pPr>
              <w:jc w:val="right"/>
              <w:ind w:right="23"/>
              <w:spacing w:after="0" w:line="174" w:lineRule="exact"/>
              <w:rPr>
                <w:sz w:val="20"/>
                <w:szCs w:val="20"/>
                <w:color w:val="auto"/>
              </w:rPr>
            </w:pPr>
            <w:r>
              <w:rPr>
                <w:rFonts w:ascii="Calibri" w:cs="Calibri" w:eastAsia="Calibri" w:hAnsi="Calibri"/>
                <w:sz w:val="15"/>
                <w:szCs w:val="15"/>
                <w:color w:val="auto"/>
                <w:w w:val="78"/>
              </w:rPr>
              <w:t>$</w:t>
            </w:r>
          </w:p>
        </w:tc>
        <w:tc>
          <w:tcPr>
            <w:tcW w:w="820" w:type="dxa"/>
            <w:vAlign w:val="bottom"/>
          </w:tcPr>
          <w:p>
            <w:pPr>
              <w:jc w:val="right"/>
              <w:spacing w:after="0" w:line="174" w:lineRule="exact"/>
              <w:rPr>
                <w:sz w:val="20"/>
                <w:szCs w:val="20"/>
                <w:color w:val="auto"/>
              </w:rPr>
            </w:pPr>
            <w:r>
              <w:rPr>
                <w:rFonts w:ascii="Calibri" w:cs="Calibri" w:eastAsia="Calibri" w:hAnsi="Calibri"/>
                <w:sz w:val="15"/>
                <w:szCs w:val="15"/>
                <w:color w:val="auto"/>
              </w:rPr>
              <w:t>16,176</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gridSpan w:val="3"/>
          </w:tcPr>
          <w:p>
            <w:pPr>
              <w:ind w:left="520"/>
              <w:spacing w:after="0" w:line="174" w:lineRule="exact"/>
              <w:rPr>
                <w:sz w:val="20"/>
                <w:szCs w:val="20"/>
                <w:color w:val="auto"/>
              </w:rPr>
            </w:pPr>
            <w:r>
              <w:rPr>
                <w:rFonts w:ascii="Calibri" w:cs="Calibri" w:eastAsia="Calibri" w:hAnsi="Calibri"/>
                <w:sz w:val="15"/>
                <w:szCs w:val="15"/>
                <w:color w:val="auto"/>
                <w:w w:val="91"/>
              </w:rPr>
              <w:t>561 %</w:t>
            </w:r>
          </w:p>
        </w:tc>
      </w:tr>
      <w:tr>
        <w:trPr>
          <w:trHeight w:val="24"/>
        </w:trPr>
        <w:tc>
          <w:tcPr>
            <w:tcW w:w="5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
        </w:trPr>
        <w:tc>
          <w:tcPr>
            <w:tcW w:w="5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2"/>
        </w:trPr>
        <w:tc>
          <w:tcPr>
            <w:tcW w:w="5220" w:type="dxa"/>
            <w:vAlign w:val="bottom"/>
            <w:tcBorders>
              <w:bottom w:val="single" w:sz="8" w:color="CFF0FC"/>
            </w:tcBorders>
            <w:shd w:val="clear" w:color="auto" w:fill="CFF0FC"/>
          </w:tcPr>
          <w:p>
            <w:pPr>
              <w:spacing w:after="0" w:line="158" w:lineRule="exact"/>
              <w:rPr>
                <w:sz w:val="20"/>
                <w:szCs w:val="20"/>
                <w:color w:val="auto"/>
              </w:rPr>
            </w:pPr>
            <w:r>
              <w:rPr>
                <w:rFonts w:ascii="Calibri" w:cs="Calibri" w:eastAsia="Calibri" w:hAnsi="Calibri"/>
                <w:sz w:val="15"/>
                <w:szCs w:val="15"/>
                <w:b w:val="1"/>
                <w:bCs w:val="1"/>
                <w:color w:val="auto"/>
              </w:rPr>
              <w:t>Percentage of total revenue:</w:t>
            </w:r>
          </w:p>
        </w:tc>
        <w:tc>
          <w:tcPr>
            <w:tcW w:w="240" w:type="dxa"/>
            <w:vAlign w:val="bottom"/>
            <w:tcBorders>
              <w:bottom w:val="single" w:sz="8" w:color="CFF0FC"/>
            </w:tcBorders>
            <w:shd w:val="clear" w:color="auto" w:fill="CFF0FC"/>
          </w:tcPr>
          <w:p>
            <w:pPr>
              <w:spacing w:after="0"/>
              <w:rPr>
                <w:sz w:val="14"/>
                <w:szCs w:val="14"/>
                <w:color w:val="auto"/>
              </w:rPr>
            </w:pPr>
          </w:p>
        </w:tc>
        <w:tc>
          <w:tcPr>
            <w:tcW w:w="80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660" w:type="dxa"/>
            <w:vAlign w:val="bottom"/>
            <w:tcBorders>
              <w:bottom w:val="single" w:sz="8" w:color="CFF0FC"/>
            </w:tcBorders>
            <w:shd w:val="clear" w:color="auto" w:fill="CFF0FC"/>
          </w:tcPr>
          <w:p>
            <w:pPr>
              <w:spacing w:after="0"/>
              <w:rPr>
                <w:sz w:val="14"/>
                <w:szCs w:val="14"/>
                <w:color w:val="auto"/>
              </w:rPr>
            </w:pPr>
          </w:p>
        </w:tc>
        <w:tc>
          <w:tcPr>
            <w:tcW w:w="38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83"/>
        </w:trPr>
        <w:tc>
          <w:tcPr>
            <w:tcW w:w="5220" w:type="dxa"/>
            <w:vAlign w:val="bottom"/>
          </w:tcPr>
          <w:p>
            <w:pPr>
              <w:spacing w:after="0"/>
              <w:rPr>
                <w:sz w:val="20"/>
                <w:szCs w:val="20"/>
                <w:color w:val="auto"/>
              </w:rPr>
            </w:pPr>
            <w:r>
              <w:rPr>
                <w:rFonts w:ascii="Calibri" w:cs="Calibri" w:eastAsia="Calibri" w:hAnsi="Calibri"/>
                <w:sz w:val="15"/>
                <w:szCs w:val="15"/>
                <w:color w:val="auto"/>
              </w:rPr>
              <w:t>Interest income</w:t>
            </w:r>
          </w:p>
        </w:tc>
        <w:tc>
          <w:tcPr>
            <w:tcW w:w="24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Calibri" w:cs="Calibri" w:eastAsia="Calibri" w:hAnsi="Calibri"/>
                <w:sz w:val="15"/>
                <w:szCs w:val="15"/>
                <w:color w:val="auto"/>
              </w:rPr>
              <w:t>2 %</w:t>
            </w:r>
          </w:p>
        </w:tc>
        <w:tc>
          <w:tcPr>
            <w:tcW w:w="66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Calibri" w:cs="Calibri" w:eastAsia="Calibri" w:hAnsi="Calibri"/>
                <w:sz w:val="15"/>
                <w:szCs w:val="15"/>
                <w:color w:val="auto"/>
              </w:rPr>
              <w:t>0 %</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4"/>
        </w:trPr>
        <w:tc>
          <w:tcPr>
            <w:tcW w:w="5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7"/>
        </w:trPr>
        <w:tc>
          <w:tcPr>
            <w:tcW w:w="522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5"/>
                <w:szCs w:val="15"/>
                <w:color w:val="auto"/>
              </w:rPr>
              <w:t>Other expense, net</w:t>
            </w:r>
          </w:p>
        </w:tc>
        <w:tc>
          <w:tcPr>
            <w:tcW w:w="24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0</w:t>
            </w:r>
          </w:p>
        </w:tc>
        <w:tc>
          <w:tcPr>
            <w:tcW w:w="240" w:type="dxa"/>
            <w:vAlign w:val="bottom"/>
            <w:tcBorders>
              <w:bottom w:val="single" w:sz="8" w:color="CFF0FC"/>
            </w:tcBorders>
            <w:shd w:val="clear" w:color="auto" w:fill="CFF0FC"/>
          </w:tcPr>
          <w:p>
            <w:pPr>
              <w:spacing w:after="0"/>
              <w:rPr>
                <w:sz w:val="16"/>
                <w:szCs w:val="16"/>
                <w:color w:val="auto"/>
              </w:rPr>
            </w:pPr>
          </w:p>
        </w:tc>
        <w:tc>
          <w:tcPr>
            <w:tcW w:w="660" w:type="dxa"/>
            <w:vAlign w:val="bottom"/>
            <w:tcBorders>
              <w:bottom w:val="single" w:sz="8" w:color="CFF0FC"/>
            </w:tcBorders>
            <w:shd w:val="clear" w:color="auto" w:fill="CFF0FC"/>
          </w:tcPr>
          <w:p>
            <w:pPr>
              <w:spacing w:after="0"/>
              <w:rPr>
                <w:sz w:val="16"/>
                <w:szCs w:val="16"/>
                <w:color w:val="auto"/>
              </w:rPr>
            </w:pPr>
          </w:p>
        </w:tc>
        <w:tc>
          <w:tcPr>
            <w:tcW w:w="62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Calibri" w:cs="Calibri" w:eastAsia="Calibri" w:hAnsi="Calibri"/>
                <w:sz w:val="15"/>
                <w:szCs w:val="15"/>
                <w:color w:val="auto"/>
              </w:rPr>
              <w:t>(0 )</w:t>
            </w:r>
          </w:p>
        </w:tc>
        <w:tc>
          <w:tcPr>
            <w:tcW w:w="180" w:type="dxa"/>
            <w:vAlign w:val="bottom"/>
            <w:tcBorders>
              <w:bottom w:val="single" w:sz="8" w:color="CFF0FC"/>
            </w:tcBorders>
            <w:shd w:val="clear" w:color="auto" w:fill="CFF0FC"/>
          </w:tcPr>
          <w:p>
            <w:pPr>
              <w:spacing w:after="0"/>
              <w:rPr>
                <w:sz w:val="16"/>
                <w:szCs w:val="16"/>
                <w:color w:val="auto"/>
              </w:rPr>
            </w:pPr>
          </w:p>
        </w:tc>
        <w:tc>
          <w:tcPr>
            <w:tcW w:w="82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CFF0FC"/>
            </w:tcBorders>
            <w:shd w:val="clear" w:color="auto" w:fill="CFF0FC"/>
          </w:tcPr>
          <w:p>
            <w:pPr>
              <w:spacing w:after="0"/>
              <w:rPr>
                <w:sz w:val="16"/>
                <w:szCs w:val="16"/>
                <w:color w:val="auto"/>
              </w:rPr>
            </w:pPr>
          </w:p>
        </w:tc>
        <w:tc>
          <w:tcPr>
            <w:tcW w:w="7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5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5220" w:type="dxa"/>
            <w:vAlign w:val="bottom"/>
          </w:tcPr>
          <w:p>
            <w:pPr>
              <w:ind w:left="160"/>
              <w:spacing w:after="0" w:line="174" w:lineRule="exact"/>
              <w:rPr>
                <w:sz w:val="20"/>
                <w:szCs w:val="20"/>
                <w:color w:val="auto"/>
              </w:rPr>
            </w:pPr>
            <w:r>
              <w:rPr>
                <w:rFonts w:ascii="Calibri" w:cs="Calibri" w:eastAsia="Calibri" w:hAnsi="Calibri"/>
                <w:sz w:val="15"/>
                <w:szCs w:val="15"/>
                <w:color w:val="auto"/>
              </w:rPr>
              <w:t>Total other income, net</w:t>
            </w:r>
          </w:p>
        </w:tc>
        <w:tc>
          <w:tcPr>
            <w:tcW w:w="240" w:type="dxa"/>
            <w:vAlign w:val="bottom"/>
          </w:tcPr>
          <w:p>
            <w:pPr>
              <w:spacing w:after="0"/>
              <w:rPr>
                <w:sz w:val="15"/>
                <w:szCs w:val="15"/>
                <w:color w:val="auto"/>
              </w:rPr>
            </w:pPr>
          </w:p>
        </w:tc>
        <w:tc>
          <w:tcPr>
            <w:tcW w:w="1040" w:type="dxa"/>
            <w:vAlign w:val="bottom"/>
            <w:gridSpan w:val="2"/>
          </w:tcPr>
          <w:p>
            <w:pPr>
              <w:jc w:val="right"/>
              <w:ind w:right="120"/>
              <w:spacing w:after="0" w:line="174" w:lineRule="exact"/>
              <w:rPr>
                <w:sz w:val="20"/>
                <w:szCs w:val="20"/>
                <w:color w:val="auto"/>
              </w:rPr>
            </w:pPr>
            <w:r>
              <w:rPr>
                <w:rFonts w:ascii="Calibri" w:cs="Calibri" w:eastAsia="Calibri" w:hAnsi="Calibri"/>
                <w:sz w:val="15"/>
                <w:szCs w:val="15"/>
                <w:color w:val="auto"/>
              </w:rPr>
              <w:t>2 %</w:t>
            </w:r>
          </w:p>
        </w:tc>
        <w:tc>
          <w:tcPr>
            <w:tcW w:w="660" w:type="dxa"/>
            <w:vAlign w:val="bottom"/>
          </w:tcPr>
          <w:p>
            <w:pPr>
              <w:spacing w:after="0"/>
              <w:rPr>
                <w:sz w:val="15"/>
                <w:szCs w:val="15"/>
                <w:color w:val="auto"/>
              </w:rPr>
            </w:pPr>
          </w:p>
        </w:tc>
        <w:tc>
          <w:tcPr>
            <w:tcW w:w="620" w:type="dxa"/>
            <w:vAlign w:val="bottom"/>
            <w:gridSpan w:val="2"/>
          </w:tcPr>
          <w:p>
            <w:pPr>
              <w:jc w:val="right"/>
              <w:ind w:right="120"/>
              <w:spacing w:after="0" w:line="174" w:lineRule="exact"/>
              <w:rPr>
                <w:sz w:val="20"/>
                <w:szCs w:val="20"/>
                <w:color w:val="auto"/>
              </w:rPr>
            </w:pPr>
            <w:r>
              <w:rPr>
                <w:rFonts w:ascii="Calibri" w:cs="Calibri" w:eastAsia="Calibri" w:hAnsi="Calibri"/>
                <w:sz w:val="15"/>
                <w:szCs w:val="15"/>
                <w:color w:val="auto"/>
              </w:rPr>
              <w:t>0 %</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4"/>
        </w:trPr>
        <w:tc>
          <w:tcPr>
            <w:tcW w:w="5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
        </w:trPr>
        <w:tc>
          <w:tcPr>
            <w:tcW w:w="5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4327525</wp:posOffset>
            </wp:positionH>
            <wp:positionV relativeFrom="paragraph">
              <wp:posOffset>-715645</wp:posOffset>
            </wp:positionV>
            <wp:extent cx="66040"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5138420</wp:posOffset>
            </wp:positionH>
            <wp:positionV relativeFrom="paragraph">
              <wp:posOffset>-715645</wp:posOffset>
            </wp:positionV>
            <wp:extent cx="66040"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5934710</wp:posOffset>
            </wp:positionH>
            <wp:positionV relativeFrom="paragraph">
              <wp:posOffset>-715645</wp:posOffset>
            </wp:positionV>
            <wp:extent cx="58420"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8420" cy="7620"/>
                    </a:xfrm>
                    <a:prstGeom prst="rect">
                      <a:avLst/>
                    </a:prstGeom>
                    <a:noFill/>
                  </pic:spPr>
                </pic:pic>
              </a:graphicData>
            </a:graphic>
          </wp:anchor>
        </w:drawing>
        <w:drawing>
          <wp:anchor simplePos="0" relativeHeight="251657728" behindDoc="1" locked="0" layoutInCell="0" allowOverlap="1">
            <wp:simplePos x="0" y="0"/>
            <wp:positionH relativeFrom="column">
              <wp:posOffset>6731000</wp:posOffset>
            </wp:positionH>
            <wp:positionV relativeFrom="paragraph">
              <wp:posOffset>-715645</wp:posOffset>
            </wp:positionV>
            <wp:extent cx="58420" cy="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8420" cy="7620"/>
                    </a:xfrm>
                    <a:prstGeom prst="rect">
                      <a:avLst/>
                    </a:prstGeom>
                    <a:noFill/>
                  </pic:spPr>
                </pic:pic>
              </a:graphicData>
            </a:graphic>
          </wp:anchor>
        </w:drawing>
        <w:drawing>
          <wp:anchor simplePos="0" relativeHeight="251657728" behindDoc="1" locked="0" layoutInCell="0" allowOverlap="1">
            <wp:simplePos x="0" y="0"/>
            <wp:positionH relativeFrom="column">
              <wp:posOffset>4327525</wp:posOffset>
            </wp:positionH>
            <wp:positionV relativeFrom="paragraph">
              <wp:posOffset>-160020</wp:posOffset>
            </wp:positionV>
            <wp:extent cx="66040"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5138420</wp:posOffset>
            </wp:positionH>
            <wp:positionV relativeFrom="paragraph">
              <wp:posOffset>-160020</wp:posOffset>
            </wp:positionV>
            <wp:extent cx="66040" cy="76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6040" cy="7620"/>
                    </a:xfrm>
                    <a:prstGeom prst="rect">
                      <a:avLst/>
                    </a:prstGeom>
                    <a:noFill/>
                  </pic:spPr>
                </pic:pic>
              </a:graphicData>
            </a:graphic>
          </wp:anchor>
        </w:drawing>
      </w:r>
    </w:p>
    <w:p>
      <w:pPr>
        <w:spacing w:after="0" w:line="146"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Other income, net increased $16.2 million, or 561%, in the year ended December 31, 2023 compared to the year ended December 31, 2022. The $14.6 million increase in interest income was due primarily to interest rate increases since December 31, 2022, as well as an increase related to new interest-bearing accounts. The $1.6 million increase in other income (expense), net was due primarily to a $2.2 million decrease in realized and unrealized loss associated with the fuctuaton of certain foreign currencies ofset in part by an increase in interest expense.</w:t>
      </w:r>
    </w:p>
    <w:p>
      <w:pPr>
        <w:spacing w:after="0" w:line="185" w:lineRule="exact"/>
        <w:rPr>
          <w:sz w:val="20"/>
          <w:szCs w:val="20"/>
          <w:color w:val="auto"/>
        </w:rPr>
      </w:pPr>
    </w:p>
    <w:p>
      <w:pPr>
        <w:jc w:val="center"/>
        <w:spacing w:after="0"/>
        <w:rPr>
          <w:sz w:val="20"/>
          <w:szCs w:val="20"/>
          <w:color w:val="auto"/>
        </w:rPr>
      </w:pPr>
      <w:r>
        <w:rPr>
          <w:rFonts w:ascii="Calibri" w:cs="Calibri" w:eastAsia="Calibri" w:hAnsi="Calibri"/>
          <w:sz w:val="15"/>
          <w:szCs w:val="15"/>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408940</wp:posOffset>
            </wp:positionV>
            <wp:extent cx="7178040" cy="400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4" w:right="319" w:bottom="1440" w:gutter="0" w:footer="0" w:header="0"/>
        </w:sectPr>
      </w:pPr>
    </w:p>
    <w:bookmarkStart w:id="65" w:name="page66"/>
    <w:bookmarkEnd w:id="65"/>
    <w:p>
      <w:pPr>
        <w:spacing w:after="0"/>
        <w:rPr>
          <w:sz w:val="20"/>
          <w:szCs w:val="20"/>
          <w:color w:val="auto"/>
        </w:rPr>
      </w:pPr>
      <w:r>
        <w:rPr>
          <w:rFonts w:ascii="Calibri" w:cs="Calibri" w:eastAsia="Calibri" w:hAnsi="Calibri"/>
          <w:sz w:val="15"/>
          <w:szCs w:val="15"/>
          <w:b w:val="1"/>
          <w:bCs w:val="1"/>
          <w:i w:val="1"/>
          <w:iCs w:val="1"/>
          <w:color w:val="auto"/>
        </w:rPr>
        <w:t>Provision for Income Taxes</w:t>
      </w:r>
    </w:p>
    <w:p>
      <w:pPr>
        <w:spacing w:after="0" w:line="202" w:lineRule="exact"/>
        <w:rPr>
          <w:sz w:val="20"/>
          <w:szCs w:val="20"/>
          <w:color w:val="auto"/>
        </w:rPr>
      </w:pPr>
    </w:p>
    <w:tbl>
      <w:tblPr>
        <w:tblLayout w:type="fixed"/>
        <w:tblInd w:w="560" w:type="dxa"/>
        <w:tblCellMar>
          <w:top w:w="0" w:type="dxa"/>
          <w:left w:w="0" w:type="dxa"/>
          <w:bottom w:w="0" w:type="dxa"/>
          <w:right w:w="0" w:type="dxa"/>
        </w:tblCellMar>
      </w:tblPr>
      <w:tr>
        <w:trPr>
          <w:trHeight w:val="146"/>
        </w:trPr>
        <w:tc>
          <w:tcPr>
            <w:tcW w:w="5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20" w:type="dxa"/>
            <w:vAlign w:val="bottom"/>
            <w:gridSpan w:val="5"/>
          </w:tcPr>
          <w:p>
            <w:pPr>
              <w:jc w:val="right"/>
              <w:ind w:right="760"/>
              <w:spacing w:after="0"/>
              <w:rPr>
                <w:sz w:val="20"/>
                <w:szCs w:val="20"/>
                <w:color w:val="auto"/>
              </w:rPr>
            </w:pPr>
            <w:r>
              <w:rPr>
                <w:rFonts w:ascii="Calibri" w:cs="Calibri" w:eastAsia="Calibri" w:hAnsi="Calibri"/>
                <w:sz w:val="12"/>
                <w:szCs w:val="12"/>
                <w:b w:val="1"/>
                <w:bCs w:val="1"/>
                <w:color w:val="auto"/>
              </w:rPr>
              <w:t>Year Ended December 31,</w:t>
            </w:r>
          </w:p>
        </w:tc>
        <w:tc>
          <w:tcPr>
            <w:tcW w:w="200" w:type="dxa"/>
            <w:vAlign w:val="bottom"/>
          </w:tcPr>
          <w:p>
            <w:pPr>
              <w:spacing w:after="0"/>
              <w:rPr>
                <w:sz w:val="12"/>
                <w:szCs w:val="12"/>
                <w:color w:val="auto"/>
              </w:rPr>
            </w:pPr>
          </w:p>
        </w:tc>
        <w:tc>
          <w:tcPr>
            <w:tcW w:w="1300" w:type="dxa"/>
            <w:vAlign w:val="bottom"/>
            <w:gridSpan w:val="3"/>
          </w:tcPr>
          <w:p>
            <w:pPr>
              <w:ind w:left="740"/>
              <w:spacing w:after="0"/>
              <w:rPr>
                <w:sz w:val="20"/>
                <w:szCs w:val="20"/>
                <w:color w:val="auto"/>
              </w:rPr>
            </w:pPr>
            <w:r>
              <w:rPr>
                <w:rFonts w:ascii="Calibri" w:cs="Calibri" w:eastAsia="Calibri" w:hAnsi="Calibri"/>
                <w:sz w:val="12"/>
                <w:szCs w:val="12"/>
                <w:b w:val="1"/>
                <w:bCs w:val="1"/>
                <w:color w:val="auto"/>
              </w:rPr>
              <w:t>Change</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8"/>
        </w:trPr>
        <w:tc>
          <w:tcPr>
            <w:tcW w:w="5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37"/>
        </w:trPr>
        <w:tc>
          <w:tcPr>
            <w:tcW w:w="5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jc w:val="right"/>
              <w:ind w:right="331"/>
              <w:spacing w:after="0" w:line="138" w:lineRule="exact"/>
              <w:rPr>
                <w:sz w:val="20"/>
                <w:szCs w:val="20"/>
                <w:color w:val="auto"/>
              </w:rPr>
            </w:pPr>
            <w:r>
              <w:rPr>
                <w:rFonts w:ascii="Calibri" w:cs="Calibri" w:eastAsia="Calibri" w:hAnsi="Calibri"/>
                <w:sz w:val="12"/>
                <w:szCs w:val="12"/>
                <w:b w:val="1"/>
                <w:bCs w:val="1"/>
                <w:color w:val="auto"/>
              </w:rPr>
              <w:t>2023</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jc w:val="right"/>
              <w:ind w:right="331"/>
              <w:spacing w:after="0" w:line="138" w:lineRule="exact"/>
              <w:rPr>
                <w:sz w:val="20"/>
                <w:szCs w:val="20"/>
                <w:color w:val="auto"/>
              </w:rPr>
            </w:pPr>
            <w:r>
              <w:rPr>
                <w:rFonts w:ascii="Calibri" w:cs="Calibri" w:eastAsia="Calibri" w:hAnsi="Calibri"/>
                <w:sz w:val="12"/>
                <w:szCs w:val="12"/>
                <w:b w:val="1"/>
                <w:bCs w:val="1"/>
                <w:color w:val="auto"/>
              </w:rPr>
              <w:t>2022</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gridSpan w:val="3"/>
          </w:tcPr>
          <w:p>
            <w:pPr>
              <w:ind w:left="100"/>
              <w:spacing w:after="0" w:line="138" w:lineRule="exact"/>
              <w:rPr>
                <w:sz w:val="20"/>
                <w:szCs w:val="20"/>
                <w:color w:val="auto"/>
              </w:rPr>
            </w:pPr>
            <w:r>
              <w:rPr>
                <w:rFonts w:ascii="Calibri" w:cs="Calibri" w:eastAsia="Calibri" w:hAnsi="Calibri"/>
                <w:sz w:val="12"/>
                <w:szCs w:val="12"/>
                <w:b w:val="1"/>
                <w:bCs w:val="1"/>
                <w:color w:val="auto"/>
              </w:rPr>
              <w:t>Amount</w:t>
            </w:r>
          </w:p>
        </w:tc>
        <w:tc>
          <w:tcPr>
            <w:tcW w:w="760" w:type="dxa"/>
            <w:vAlign w:val="bottom"/>
          </w:tcPr>
          <w:p>
            <w:pPr>
              <w:jc w:val="right"/>
              <w:ind w:right="411"/>
              <w:spacing w:after="0" w:line="138" w:lineRule="exact"/>
              <w:rPr>
                <w:sz w:val="20"/>
                <w:szCs w:val="20"/>
                <w:color w:val="auto"/>
              </w:rPr>
            </w:pPr>
            <w:r>
              <w:rPr>
                <w:rFonts w:ascii="Calibri" w:cs="Calibri" w:eastAsia="Calibri" w:hAnsi="Calibri"/>
                <w:sz w:val="12"/>
                <w:szCs w:val="12"/>
                <w:b w:val="1"/>
                <w:bCs w:val="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7"/>
        </w:trPr>
        <w:tc>
          <w:tcPr>
            <w:tcW w:w="5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37"/>
        </w:trPr>
        <w:tc>
          <w:tcPr>
            <w:tcW w:w="5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40" w:type="dxa"/>
            <w:vAlign w:val="bottom"/>
            <w:gridSpan w:val="6"/>
          </w:tcPr>
          <w:p>
            <w:pPr>
              <w:ind w:left="340"/>
              <w:spacing w:after="0" w:line="138" w:lineRule="exact"/>
              <w:rPr>
                <w:sz w:val="20"/>
                <w:szCs w:val="20"/>
                <w:color w:val="auto"/>
              </w:rPr>
            </w:pPr>
            <w:r>
              <w:rPr>
                <w:rFonts w:ascii="Calibri" w:cs="Calibri" w:eastAsia="Calibri" w:hAnsi="Calibri"/>
                <w:sz w:val="12"/>
                <w:szCs w:val="12"/>
                <w:b w:val="1"/>
                <w:bCs w:val="1"/>
                <w:color w:val="auto"/>
              </w:rPr>
              <w:t>(dollars in thousands)</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03"/>
        </w:trPr>
        <w:tc>
          <w:tcPr>
            <w:tcW w:w="5220" w:type="dxa"/>
            <w:vAlign w:val="bottom"/>
          </w:tcPr>
          <w:p>
            <w:pPr>
              <w:spacing w:after="0"/>
              <w:rPr>
                <w:sz w:val="20"/>
                <w:szCs w:val="20"/>
                <w:color w:val="auto"/>
              </w:rPr>
            </w:pPr>
            <w:r>
              <w:rPr>
                <w:rFonts w:ascii="Calibri" w:cs="Calibri" w:eastAsia="Calibri" w:hAnsi="Calibri"/>
                <w:sz w:val="15"/>
                <w:szCs w:val="15"/>
                <w:color w:val="auto"/>
              </w:rPr>
              <w:t>Provision for income taxes</w:t>
            </w:r>
          </w:p>
        </w:tc>
        <w:tc>
          <w:tcPr>
            <w:tcW w:w="240" w:type="dxa"/>
            <w:vAlign w:val="bottom"/>
          </w:tcPr>
          <w:p>
            <w:pPr>
              <w:jc w:val="right"/>
              <w:ind w:right="83"/>
              <w:spacing w:after="0"/>
              <w:rPr>
                <w:sz w:val="20"/>
                <w:szCs w:val="20"/>
                <w:color w:val="auto"/>
              </w:rPr>
            </w:pPr>
            <w:r>
              <w:rPr>
                <w:rFonts w:ascii="Calibri" w:cs="Calibri" w:eastAsia="Calibri" w:hAnsi="Calibri"/>
                <w:sz w:val="15"/>
                <w:szCs w:val="15"/>
                <w:color w:val="auto"/>
                <w:w w:val="78"/>
              </w:rPr>
              <w:t>$</w:t>
            </w:r>
          </w:p>
        </w:tc>
        <w:tc>
          <w:tcPr>
            <w:tcW w:w="800" w:type="dxa"/>
            <w:vAlign w:val="bottom"/>
          </w:tcPr>
          <w:p>
            <w:pPr>
              <w:jc w:val="right"/>
              <w:spacing w:after="0"/>
              <w:rPr>
                <w:sz w:val="20"/>
                <w:szCs w:val="20"/>
                <w:color w:val="auto"/>
              </w:rPr>
            </w:pPr>
            <w:r>
              <w:rPr>
                <w:rFonts w:ascii="Calibri" w:cs="Calibri" w:eastAsia="Calibri" w:hAnsi="Calibri"/>
                <w:sz w:val="15"/>
                <w:szCs w:val="15"/>
                <w:color w:val="auto"/>
              </w:rPr>
              <w:t>29,634</w:t>
            </w:r>
          </w:p>
        </w:tc>
        <w:tc>
          <w:tcPr>
            <w:tcW w:w="240" w:type="dxa"/>
            <w:vAlign w:val="bottom"/>
          </w:tcPr>
          <w:p>
            <w:pPr>
              <w:spacing w:after="0"/>
              <w:rPr>
                <w:sz w:val="17"/>
                <w:szCs w:val="17"/>
                <w:color w:val="auto"/>
              </w:rPr>
            </w:pPr>
          </w:p>
        </w:tc>
        <w:tc>
          <w:tcPr>
            <w:tcW w:w="240" w:type="dxa"/>
            <w:vAlign w:val="bottom"/>
          </w:tcPr>
          <w:p>
            <w:pPr>
              <w:jc w:val="right"/>
              <w:ind w:right="83"/>
              <w:spacing w:after="0"/>
              <w:rPr>
                <w:sz w:val="20"/>
                <w:szCs w:val="20"/>
                <w:color w:val="auto"/>
              </w:rPr>
            </w:pPr>
            <w:r>
              <w:rPr>
                <w:rFonts w:ascii="Calibri" w:cs="Calibri" w:eastAsia="Calibri" w:hAnsi="Calibri"/>
                <w:sz w:val="15"/>
                <w:szCs w:val="15"/>
                <w:color w:val="auto"/>
                <w:w w:val="78"/>
              </w:rPr>
              <w:t>$</w:t>
            </w:r>
          </w:p>
        </w:tc>
        <w:tc>
          <w:tcPr>
            <w:tcW w:w="800" w:type="dxa"/>
            <w:vAlign w:val="bottom"/>
          </w:tcPr>
          <w:p>
            <w:pPr>
              <w:jc w:val="right"/>
              <w:spacing w:after="0"/>
              <w:rPr>
                <w:sz w:val="20"/>
                <w:szCs w:val="20"/>
                <w:color w:val="auto"/>
              </w:rPr>
            </w:pPr>
            <w:r>
              <w:rPr>
                <w:rFonts w:ascii="Calibri" w:cs="Calibri" w:eastAsia="Calibri" w:hAnsi="Calibri"/>
                <w:sz w:val="15"/>
                <w:szCs w:val="15"/>
                <w:color w:val="auto"/>
              </w:rPr>
              <w:t>32,408</w:t>
            </w:r>
          </w:p>
        </w:tc>
        <w:tc>
          <w:tcPr>
            <w:tcW w:w="240" w:type="dxa"/>
            <w:vAlign w:val="bottom"/>
          </w:tcPr>
          <w:p>
            <w:pPr>
              <w:spacing w:after="0"/>
              <w:rPr>
                <w:sz w:val="17"/>
                <w:szCs w:val="17"/>
                <w:color w:val="auto"/>
              </w:rPr>
            </w:pPr>
          </w:p>
        </w:tc>
        <w:tc>
          <w:tcPr>
            <w:tcW w:w="200" w:type="dxa"/>
            <w:vAlign w:val="bottom"/>
          </w:tcPr>
          <w:p>
            <w:pPr>
              <w:jc w:val="right"/>
              <w:ind w:right="43"/>
              <w:spacing w:after="0"/>
              <w:rPr>
                <w:sz w:val="20"/>
                <w:szCs w:val="20"/>
                <w:color w:val="auto"/>
              </w:rPr>
            </w:pPr>
            <w:r>
              <w:rPr>
                <w:rFonts w:ascii="Calibri" w:cs="Calibri" w:eastAsia="Calibri" w:hAnsi="Calibri"/>
                <w:sz w:val="15"/>
                <w:szCs w:val="15"/>
                <w:color w:val="auto"/>
                <w:w w:val="78"/>
              </w:rPr>
              <w:t>$</w:t>
            </w:r>
          </w:p>
        </w:tc>
        <w:tc>
          <w:tcPr>
            <w:tcW w:w="1000" w:type="dxa"/>
            <w:vAlign w:val="bottom"/>
            <w:gridSpan w:val="2"/>
          </w:tcPr>
          <w:p>
            <w:pPr>
              <w:jc w:val="right"/>
              <w:ind w:right="120"/>
              <w:spacing w:after="0"/>
              <w:rPr>
                <w:sz w:val="20"/>
                <w:szCs w:val="20"/>
                <w:color w:val="auto"/>
              </w:rPr>
            </w:pPr>
            <w:r>
              <w:rPr>
                <w:rFonts w:ascii="Calibri" w:cs="Calibri" w:eastAsia="Calibri" w:hAnsi="Calibri"/>
                <w:sz w:val="15"/>
                <w:szCs w:val="15"/>
                <w:color w:val="auto"/>
              </w:rPr>
              <w:t>(2,774 )</w:t>
            </w:r>
          </w:p>
        </w:tc>
        <w:tc>
          <w:tcPr>
            <w:tcW w:w="300" w:type="dxa"/>
            <w:vAlign w:val="bottom"/>
          </w:tcPr>
          <w:p>
            <w:pPr>
              <w:spacing w:after="0"/>
              <w:rPr>
                <w:sz w:val="17"/>
                <w:szCs w:val="17"/>
                <w:color w:val="auto"/>
              </w:rPr>
            </w:pPr>
          </w:p>
        </w:tc>
        <w:tc>
          <w:tcPr>
            <w:tcW w:w="920" w:type="dxa"/>
            <w:vAlign w:val="bottom"/>
            <w:gridSpan w:val="3"/>
          </w:tcPr>
          <w:p>
            <w:pPr>
              <w:jc w:val="right"/>
              <w:spacing w:after="0"/>
              <w:rPr>
                <w:sz w:val="20"/>
                <w:szCs w:val="20"/>
                <w:color w:val="auto"/>
              </w:rPr>
            </w:pPr>
            <w:r>
              <w:rPr>
                <w:rFonts w:ascii="Calibri" w:cs="Calibri" w:eastAsia="Calibri" w:hAnsi="Calibri"/>
                <w:sz w:val="15"/>
                <w:szCs w:val="15"/>
                <w:color w:val="auto"/>
              </w:rPr>
              <w:t>(9 )%</w:t>
            </w:r>
          </w:p>
        </w:tc>
      </w:tr>
      <w:tr>
        <w:trPr>
          <w:trHeight w:val="207"/>
        </w:trPr>
        <w:tc>
          <w:tcPr>
            <w:tcW w:w="5220" w:type="dxa"/>
            <w:vAlign w:val="bottom"/>
          </w:tcPr>
          <w:p>
            <w:pPr>
              <w:spacing w:after="0"/>
              <w:rPr>
                <w:sz w:val="20"/>
                <w:szCs w:val="20"/>
                <w:color w:val="auto"/>
              </w:rPr>
            </w:pPr>
            <w:r>
              <w:rPr>
                <w:rFonts w:ascii="Calibri" w:cs="Calibri" w:eastAsia="Calibri" w:hAnsi="Calibri"/>
                <w:sz w:val="15"/>
                <w:szCs w:val="15"/>
                <w:color w:val="auto"/>
              </w:rPr>
              <w:t>Percentage of total revenue</w:t>
            </w: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Calibri" w:cs="Calibri" w:eastAsia="Calibri" w:hAnsi="Calibri"/>
                <w:sz w:val="15"/>
                <w:szCs w:val="15"/>
                <w:color w:val="auto"/>
              </w:rPr>
              <w:t>3 %</w:t>
            </w: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Calibri" w:cs="Calibri" w:eastAsia="Calibri" w:hAnsi="Calibri"/>
                <w:sz w:val="15"/>
                <w:szCs w:val="15"/>
                <w:color w:val="auto"/>
              </w:rPr>
              <w:t>2 %</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-242570</wp:posOffset>
            </wp:positionV>
            <wp:extent cx="6436360" cy="1314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436360" cy="131445"/>
                    </a:xfrm>
                    <a:prstGeom prst="rect">
                      <a:avLst/>
                    </a:prstGeom>
                    <a:noFill/>
                  </pic:spPr>
                </pic:pic>
              </a:graphicData>
            </a:graphic>
          </wp:anchor>
        </w:drawing>
      </w:r>
    </w:p>
    <w:p>
      <w:pPr>
        <w:spacing w:after="0" w:line="177"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Provision for income taxes decreased $2.8 million, or 9%, in the year ended December 31, 2023 compared to the year ended December 31, 2022. The decrease in provision for income taxes recognized during the year ended December 31, 2023 was due primarily to decreased proftability and increased federal and state research and development tax credits. This was ofset by a $4.7 million tax expense related to excess stock-based compensaton deductons recognized during 2023, compared to $1.5 million tax expense recognized during 2022. In additon, a $6.9 million deferred state tax expense was recorded during 2023 in associaton with the recently passed Massachusets apportonment tax rule. Furthermore, a $2.5 million tax expense was recognized during 2023 in connecton with the 2023 CarOfer Transacton.</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b w:val="1"/>
          <w:bCs w:val="1"/>
          <w:i w:val="1"/>
          <w:iCs w:val="1"/>
          <w:color w:val="auto"/>
        </w:rPr>
        <w:t>Segment Income (Loss) from Operatons</w:t>
      </w:r>
    </w:p>
    <w:p>
      <w:pPr>
        <w:spacing w:after="0" w:line="202" w:lineRule="exact"/>
        <w:rPr>
          <w:sz w:val="20"/>
          <w:szCs w:val="20"/>
          <w:color w:val="auto"/>
        </w:rPr>
      </w:pPr>
    </w:p>
    <w:tbl>
      <w:tblPr>
        <w:tblLayout w:type="fixed"/>
        <w:tblInd w:w="560" w:type="dxa"/>
        <w:tblCellMar>
          <w:top w:w="0" w:type="dxa"/>
          <w:left w:w="0" w:type="dxa"/>
          <w:bottom w:w="0" w:type="dxa"/>
          <w:right w:w="0" w:type="dxa"/>
        </w:tblCellMar>
      </w:tblPr>
      <w:tr>
        <w:trPr>
          <w:trHeight w:val="146"/>
        </w:trPr>
        <w:tc>
          <w:tcPr>
            <w:tcW w:w="5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60" w:type="dxa"/>
            <w:vAlign w:val="bottom"/>
            <w:gridSpan w:val="5"/>
          </w:tcPr>
          <w:p>
            <w:pPr>
              <w:jc w:val="right"/>
              <w:ind w:right="719"/>
              <w:spacing w:after="0"/>
              <w:rPr>
                <w:sz w:val="20"/>
                <w:szCs w:val="20"/>
                <w:color w:val="auto"/>
              </w:rPr>
            </w:pPr>
            <w:r>
              <w:rPr>
                <w:rFonts w:ascii="Calibri" w:cs="Calibri" w:eastAsia="Calibri" w:hAnsi="Calibri"/>
                <w:sz w:val="12"/>
                <w:szCs w:val="12"/>
                <w:b w:val="1"/>
                <w:bCs w:val="1"/>
                <w:color w:val="auto"/>
              </w:rPr>
              <w:t>Year Ended December 31,</w:t>
            </w:r>
          </w:p>
        </w:tc>
        <w:tc>
          <w:tcPr>
            <w:tcW w:w="180" w:type="dxa"/>
            <w:vAlign w:val="bottom"/>
          </w:tcPr>
          <w:p>
            <w:pPr>
              <w:spacing w:after="0"/>
              <w:rPr>
                <w:sz w:val="12"/>
                <w:szCs w:val="12"/>
                <w:color w:val="auto"/>
              </w:rPr>
            </w:pPr>
          </w:p>
        </w:tc>
        <w:tc>
          <w:tcPr>
            <w:tcW w:w="1300" w:type="dxa"/>
            <w:vAlign w:val="bottom"/>
            <w:gridSpan w:val="3"/>
          </w:tcPr>
          <w:p>
            <w:pPr>
              <w:ind w:left="760"/>
              <w:spacing w:after="0"/>
              <w:rPr>
                <w:sz w:val="20"/>
                <w:szCs w:val="20"/>
                <w:color w:val="auto"/>
              </w:rPr>
            </w:pPr>
            <w:r>
              <w:rPr>
                <w:rFonts w:ascii="Calibri" w:cs="Calibri" w:eastAsia="Calibri" w:hAnsi="Calibri"/>
                <w:sz w:val="12"/>
                <w:szCs w:val="12"/>
                <w:b w:val="1"/>
                <w:bCs w:val="1"/>
                <w:color w:val="auto"/>
              </w:rPr>
              <w:t>Change</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5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5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jc w:val="right"/>
              <w:ind w:right="346"/>
              <w:spacing w:after="0" w:line="138" w:lineRule="exact"/>
              <w:rPr>
                <w:sz w:val="20"/>
                <w:szCs w:val="20"/>
                <w:color w:val="auto"/>
              </w:rPr>
            </w:pPr>
            <w:r>
              <w:rPr>
                <w:rFonts w:ascii="Calibri" w:cs="Calibri" w:eastAsia="Calibri" w:hAnsi="Calibri"/>
                <w:sz w:val="12"/>
                <w:szCs w:val="12"/>
                <w:b w:val="1"/>
                <w:bCs w:val="1"/>
                <w:color w:val="auto"/>
              </w:rPr>
              <w:t>2023</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jc w:val="right"/>
              <w:ind w:right="326"/>
              <w:spacing w:after="0" w:line="138" w:lineRule="exact"/>
              <w:rPr>
                <w:sz w:val="20"/>
                <w:szCs w:val="20"/>
                <w:color w:val="auto"/>
              </w:rPr>
            </w:pPr>
            <w:r>
              <w:rPr>
                <w:rFonts w:ascii="Calibri" w:cs="Calibri" w:eastAsia="Calibri" w:hAnsi="Calibri"/>
                <w:sz w:val="12"/>
                <w:szCs w:val="12"/>
                <w:b w:val="1"/>
                <w:bCs w:val="1"/>
                <w:color w:val="auto"/>
              </w:rPr>
              <w:t>2022</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gridSpan w:val="3"/>
          </w:tcPr>
          <w:p>
            <w:pPr>
              <w:ind w:left="120"/>
              <w:spacing w:after="0" w:line="138" w:lineRule="exact"/>
              <w:rPr>
                <w:sz w:val="20"/>
                <w:szCs w:val="20"/>
                <w:color w:val="auto"/>
              </w:rPr>
            </w:pPr>
            <w:r>
              <w:rPr>
                <w:rFonts w:ascii="Calibri" w:cs="Calibri" w:eastAsia="Calibri" w:hAnsi="Calibri"/>
                <w:sz w:val="12"/>
                <w:szCs w:val="12"/>
                <w:b w:val="1"/>
                <w:bCs w:val="1"/>
                <w:color w:val="auto"/>
              </w:rPr>
              <w:t>Amount</w:t>
            </w:r>
          </w:p>
        </w:tc>
        <w:tc>
          <w:tcPr>
            <w:tcW w:w="760" w:type="dxa"/>
            <w:vAlign w:val="bottom"/>
          </w:tcPr>
          <w:p>
            <w:pPr>
              <w:jc w:val="right"/>
              <w:ind w:right="406"/>
              <w:spacing w:after="0" w:line="138" w:lineRule="exact"/>
              <w:rPr>
                <w:sz w:val="20"/>
                <w:szCs w:val="20"/>
                <w:color w:val="auto"/>
              </w:rPr>
            </w:pPr>
            <w:r>
              <w:rPr>
                <w:rFonts w:ascii="Calibri" w:cs="Calibri" w:eastAsia="Calibri" w:hAnsi="Calibri"/>
                <w:sz w:val="12"/>
                <w:szCs w:val="12"/>
                <w:b w:val="1"/>
                <w:bCs w:val="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5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jc w:val="right"/>
              <w:spacing w:after="0" w:line="138" w:lineRule="exact"/>
              <w:rPr>
                <w:sz w:val="20"/>
                <w:szCs w:val="20"/>
                <w:color w:val="auto"/>
              </w:rPr>
            </w:pPr>
            <w:r>
              <w:rPr>
                <w:rFonts w:ascii="Calibri" w:cs="Calibri" w:eastAsia="Calibri" w:hAnsi="Calibri"/>
                <w:sz w:val="12"/>
                <w:szCs w:val="12"/>
                <w:b w:val="1"/>
                <w:bCs w:val="1"/>
                <w:color w:val="auto"/>
              </w:rPr>
              <w:t>(dollars in</w:t>
            </w:r>
          </w:p>
        </w:tc>
        <w:tc>
          <w:tcPr>
            <w:tcW w:w="1240" w:type="dxa"/>
            <w:vAlign w:val="bottom"/>
            <w:gridSpan w:val="3"/>
          </w:tcPr>
          <w:p>
            <w:pPr>
              <w:jc w:val="right"/>
              <w:ind w:right="568"/>
              <w:spacing w:after="0" w:line="138" w:lineRule="exact"/>
              <w:rPr>
                <w:sz w:val="20"/>
                <w:szCs w:val="20"/>
                <w:color w:val="auto"/>
              </w:rPr>
            </w:pPr>
            <w:r>
              <w:rPr>
                <w:rFonts w:ascii="Calibri" w:cs="Calibri" w:eastAsia="Calibri" w:hAnsi="Calibri"/>
                <w:sz w:val="12"/>
                <w:szCs w:val="12"/>
                <w:b w:val="1"/>
                <w:bCs w:val="1"/>
                <w:color w:val="auto"/>
              </w:rPr>
              <w:t>thousands)</w:t>
            </w: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520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5"/>
                <w:szCs w:val="15"/>
                <w:b w:val="1"/>
                <w:bCs w:val="1"/>
                <w:color w:val="auto"/>
              </w:rPr>
              <w:t>Segment Income (Loss) from Operatons:</w:t>
            </w:r>
          </w:p>
        </w:tc>
        <w:tc>
          <w:tcPr>
            <w:tcW w:w="240" w:type="dxa"/>
            <w:vAlign w:val="bottom"/>
            <w:tcBorders>
              <w:bottom w:val="single" w:sz="8" w:color="CFF0FC"/>
            </w:tcBorders>
            <w:shd w:val="clear" w:color="auto" w:fill="CFF0FC"/>
          </w:tcPr>
          <w:p>
            <w:pPr>
              <w:spacing w:after="0"/>
              <w:rPr>
                <w:sz w:val="16"/>
                <w:szCs w:val="16"/>
                <w:color w:val="auto"/>
              </w:rPr>
            </w:pPr>
          </w:p>
        </w:tc>
        <w:tc>
          <w:tcPr>
            <w:tcW w:w="84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82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CFF0FC"/>
            </w:tcBorders>
            <w:shd w:val="clear" w:color="auto" w:fill="CFF0FC"/>
          </w:tcPr>
          <w:p>
            <w:pPr>
              <w:spacing w:after="0"/>
              <w:rPr>
                <w:sz w:val="16"/>
                <w:szCs w:val="16"/>
                <w:color w:val="auto"/>
              </w:rPr>
            </w:pPr>
          </w:p>
        </w:tc>
        <w:tc>
          <w:tcPr>
            <w:tcW w:w="7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200" w:type="dxa"/>
            <w:vAlign w:val="bottom"/>
          </w:tcPr>
          <w:p>
            <w:pPr>
              <w:spacing w:after="0"/>
              <w:rPr>
                <w:sz w:val="20"/>
                <w:szCs w:val="20"/>
                <w:color w:val="auto"/>
              </w:rPr>
            </w:pPr>
            <w:r>
              <w:rPr>
                <w:rFonts w:ascii="Calibri" w:cs="Calibri" w:eastAsia="Calibri" w:hAnsi="Calibri"/>
                <w:sz w:val="15"/>
                <w:szCs w:val="15"/>
                <w:color w:val="auto"/>
              </w:rPr>
              <w:t>U.S. Marketplace</w:t>
            </w:r>
          </w:p>
        </w:tc>
        <w:tc>
          <w:tcPr>
            <w:tcW w:w="240" w:type="dxa"/>
            <w:vAlign w:val="bottom"/>
          </w:tcPr>
          <w:p>
            <w:pPr>
              <w:jc w:val="right"/>
              <w:ind w:right="83"/>
              <w:spacing w:after="0"/>
              <w:rPr>
                <w:sz w:val="20"/>
                <w:szCs w:val="20"/>
                <w:color w:val="auto"/>
              </w:rPr>
            </w:pPr>
            <w:r>
              <w:rPr>
                <w:rFonts w:ascii="Calibri" w:cs="Calibri" w:eastAsia="Calibri" w:hAnsi="Calibri"/>
                <w:sz w:val="15"/>
                <w:szCs w:val="15"/>
                <w:color w:val="auto"/>
                <w:w w:val="78"/>
              </w:rPr>
              <w:t>$</w:t>
            </w:r>
          </w:p>
        </w:tc>
        <w:tc>
          <w:tcPr>
            <w:tcW w:w="840" w:type="dxa"/>
            <w:vAlign w:val="bottom"/>
          </w:tcPr>
          <w:p>
            <w:pPr>
              <w:jc w:val="right"/>
              <w:spacing w:after="0"/>
              <w:rPr>
                <w:sz w:val="20"/>
                <w:szCs w:val="20"/>
                <w:color w:val="auto"/>
              </w:rPr>
            </w:pPr>
            <w:r>
              <w:rPr>
                <w:rFonts w:ascii="Calibri" w:cs="Calibri" w:eastAsia="Calibri" w:hAnsi="Calibri"/>
                <w:sz w:val="15"/>
                <w:szCs w:val="15"/>
                <w:color w:val="auto"/>
              </w:rPr>
              <w:t>127,724</w:t>
            </w:r>
          </w:p>
        </w:tc>
        <w:tc>
          <w:tcPr>
            <w:tcW w:w="240" w:type="dxa"/>
            <w:vAlign w:val="bottom"/>
          </w:tcPr>
          <w:p>
            <w:pPr>
              <w:spacing w:after="0"/>
              <w:rPr>
                <w:sz w:val="15"/>
                <w:szCs w:val="15"/>
                <w:color w:val="auto"/>
              </w:rPr>
            </w:pPr>
          </w:p>
        </w:tc>
        <w:tc>
          <w:tcPr>
            <w:tcW w:w="240" w:type="dxa"/>
            <w:vAlign w:val="bottom"/>
          </w:tcPr>
          <w:p>
            <w:pPr>
              <w:jc w:val="right"/>
              <w:ind w:right="83"/>
              <w:spacing w:after="0"/>
              <w:rPr>
                <w:sz w:val="20"/>
                <w:szCs w:val="20"/>
                <w:color w:val="auto"/>
              </w:rPr>
            </w:pPr>
            <w:r>
              <w:rPr>
                <w:rFonts w:ascii="Calibri" w:cs="Calibri" w:eastAsia="Calibri" w:hAnsi="Calibri"/>
                <w:sz w:val="15"/>
                <w:szCs w:val="15"/>
                <w:color w:val="auto"/>
                <w:w w:val="78"/>
              </w:rPr>
              <w:t>$</w:t>
            </w:r>
          </w:p>
        </w:tc>
        <w:tc>
          <w:tcPr>
            <w:tcW w:w="800" w:type="dxa"/>
            <w:vAlign w:val="bottom"/>
          </w:tcPr>
          <w:p>
            <w:pPr>
              <w:jc w:val="right"/>
              <w:spacing w:after="0"/>
              <w:rPr>
                <w:sz w:val="20"/>
                <w:szCs w:val="20"/>
                <w:color w:val="auto"/>
              </w:rPr>
            </w:pPr>
            <w:r>
              <w:rPr>
                <w:rFonts w:ascii="Calibri" w:cs="Calibri" w:eastAsia="Calibri" w:hAnsi="Calibri"/>
                <w:sz w:val="15"/>
                <w:szCs w:val="15"/>
                <w:color w:val="auto"/>
              </w:rPr>
              <w:t>128,455</w:t>
            </w:r>
          </w:p>
        </w:tc>
        <w:tc>
          <w:tcPr>
            <w:tcW w:w="240" w:type="dxa"/>
            <w:vAlign w:val="bottom"/>
          </w:tcPr>
          <w:p>
            <w:pPr>
              <w:spacing w:after="0"/>
              <w:rPr>
                <w:sz w:val="15"/>
                <w:szCs w:val="15"/>
                <w:color w:val="auto"/>
              </w:rPr>
            </w:pPr>
          </w:p>
        </w:tc>
        <w:tc>
          <w:tcPr>
            <w:tcW w:w="180" w:type="dxa"/>
            <w:vAlign w:val="bottom"/>
          </w:tcPr>
          <w:p>
            <w:pPr>
              <w:jc w:val="right"/>
              <w:ind w:right="23"/>
              <w:spacing w:after="0"/>
              <w:rPr>
                <w:sz w:val="20"/>
                <w:szCs w:val="20"/>
                <w:color w:val="auto"/>
              </w:rPr>
            </w:pPr>
            <w:r>
              <w:rPr>
                <w:rFonts w:ascii="Calibri" w:cs="Calibri" w:eastAsia="Calibri" w:hAnsi="Calibri"/>
                <w:sz w:val="15"/>
                <w:szCs w:val="15"/>
                <w:color w:val="auto"/>
                <w:w w:val="78"/>
              </w:rPr>
              <w:t>$</w:t>
            </w:r>
          </w:p>
        </w:tc>
        <w:tc>
          <w:tcPr>
            <w:tcW w:w="1000" w:type="dxa"/>
            <w:vAlign w:val="bottom"/>
            <w:gridSpan w:val="2"/>
          </w:tcPr>
          <w:p>
            <w:pPr>
              <w:jc w:val="right"/>
              <w:ind w:right="120"/>
              <w:spacing w:after="0"/>
              <w:rPr>
                <w:sz w:val="20"/>
                <w:szCs w:val="20"/>
                <w:color w:val="auto"/>
              </w:rPr>
            </w:pPr>
            <w:r>
              <w:rPr>
                <w:rFonts w:ascii="Calibri" w:cs="Calibri" w:eastAsia="Calibri" w:hAnsi="Calibri"/>
                <w:sz w:val="15"/>
                <w:szCs w:val="15"/>
                <w:color w:val="auto"/>
              </w:rPr>
              <w:t>(731 )</w:t>
            </w:r>
          </w:p>
        </w:tc>
        <w:tc>
          <w:tcPr>
            <w:tcW w:w="300" w:type="dxa"/>
            <w:vAlign w:val="bottom"/>
          </w:tcPr>
          <w:p>
            <w:pPr>
              <w:spacing w:after="0"/>
              <w:rPr>
                <w:sz w:val="15"/>
                <w:szCs w:val="15"/>
                <w:color w:val="auto"/>
              </w:rPr>
            </w:pPr>
          </w:p>
        </w:tc>
        <w:tc>
          <w:tcPr>
            <w:tcW w:w="920" w:type="dxa"/>
            <w:vAlign w:val="bottom"/>
            <w:gridSpan w:val="3"/>
          </w:tcPr>
          <w:p>
            <w:pPr>
              <w:jc w:val="right"/>
              <w:spacing w:after="0"/>
              <w:rPr>
                <w:sz w:val="20"/>
                <w:szCs w:val="20"/>
                <w:color w:val="auto"/>
              </w:rPr>
            </w:pPr>
            <w:r>
              <w:rPr>
                <w:rFonts w:ascii="Calibri" w:cs="Calibri" w:eastAsia="Calibri" w:hAnsi="Calibri"/>
                <w:sz w:val="15"/>
                <w:szCs w:val="15"/>
                <w:color w:val="auto"/>
              </w:rPr>
              <w:t>(1 )%</w:t>
            </w:r>
          </w:p>
        </w:tc>
        <w:tc>
          <w:tcPr>
            <w:tcW w:w="0" w:type="dxa"/>
            <w:vAlign w:val="bottom"/>
          </w:tcPr>
          <w:p>
            <w:pPr>
              <w:spacing w:after="0"/>
              <w:rPr>
                <w:sz w:val="1"/>
                <w:szCs w:val="1"/>
                <w:color w:val="auto"/>
              </w:rPr>
            </w:pPr>
          </w:p>
        </w:tc>
      </w:tr>
      <w:tr>
        <w:trPr>
          <w:trHeight w:val="24"/>
        </w:trPr>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520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5"/>
                <w:szCs w:val="15"/>
                <w:color w:val="auto"/>
              </w:rPr>
              <w:t>Digital Wholesale</w:t>
            </w:r>
          </w:p>
        </w:tc>
        <w:tc>
          <w:tcPr>
            <w:tcW w:w="240" w:type="dxa"/>
            <w:vAlign w:val="bottom"/>
            <w:tcBorders>
              <w:bottom w:val="single" w:sz="8" w:color="CFF0FC"/>
            </w:tcBorders>
            <w:shd w:val="clear" w:color="auto" w:fill="CFF0FC"/>
          </w:tcPr>
          <w:p>
            <w:pPr>
              <w:spacing w:after="0"/>
              <w:rPr>
                <w:sz w:val="16"/>
                <w:szCs w:val="16"/>
                <w:color w:val="auto"/>
              </w:rPr>
            </w:pPr>
          </w:p>
        </w:tc>
        <w:tc>
          <w:tcPr>
            <w:tcW w:w="108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Calibri" w:cs="Calibri" w:eastAsia="Calibri" w:hAnsi="Calibri"/>
                <w:sz w:val="15"/>
                <w:szCs w:val="15"/>
                <w:color w:val="auto"/>
              </w:rPr>
              <w:t>(96,383 )</w:t>
            </w:r>
          </w:p>
        </w:tc>
        <w:tc>
          <w:tcPr>
            <w:tcW w:w="240" w:type="dxa"/>
            <w:vAlign w:val="bottom"/>
            <w:tcBorders>
              <w:bottom w:val="single" w:sz="8" w:color="CFF0FC"/>
            </w:tcBorders>
            <w:shd w:val="clear" w:color="auto" w:fill="CFF0FC"/>
          </w:tcPr>
          <w:p>
            <w:pPr>
              <w:spacing w:after="0"/>
              <w:rPr>
                <w:sz w:val="16"/>
                <w:szCs w:val="16"/>
                <w:color w:val="auto"/>
              </w:rPr>
            </w:pPr>
          </w:p>
        </w:tc>
        <w:tc>
          <w:tcPr>
            <w:tcW w:w="1040" w:type="dxa"/>
            <w:vAlign w:val="bottom"/>
            <w:tcBorders>
              <w:bottom w:val="single" w:sz="8" w:color="CFF0FC"/>
            </w:tcBorders>
            <w:gridSpan w:val="2"/>
            <w:shd w:val="clear" w:color="auto" w:fill="CFF0FC"/>
          </w:tcPr>
          <w:p>
            <w:pPr>
              <w:jc w:val="right"/>
              <w:ind w:right="119"/>
              <w:spacing w:after="0"/>
              <w:rPr>
                <w:sz w:val="20"/>
                <w:szCs w:val="20"/>
                <w:color w:val="auto"/>
              </w:rPr>
            </w:pPr>
            <w:r>
              <w:rPr>
                <w:rFonts w:ascii="Calibri" w:cs="Calibri" w:eastAsia="Calibri" w:hAnsi="Calibri"/>
                <w:sz w:val="15"/>
                <w:szCs w:val="15"/>
                <w:color w:val="auto"/>
              </w:rPr>
              <w:t>(11,834 )</w:t>
            </w:r>
          </w:p>
        </w:tc>
        <w:tc>
          <w:tcPr>
            <w:tcW w:w="180" w:type="dxa"/>
            <w:vAlign w:val="bottom"/>
            <w:tcBorders>
              <w:bottom w:val="single" w:sz="8" w:color="CFF0FC"/>
            </w:tcBorders>
            <w:shd w:val="clear" w:color="auto" w:fill="CFF0FC"/>
          </w:tcPr>
          <w:p>
            <w:pPr>
              <w:spacing w:after="0"/>
              <w:rPr>
                <w:sz w:val="16"/>
                <w:szCs w:val="16"/>
                <w:color w:val="auto"/>
              </w:rPr>
            </w:pPr>
          </w:p>
        </w:tc>
        <w:tc>
          <w:tcPr>
            <w:tcW w:w="100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Calibri" w:cs="Calibri" w:eastAsia="Calibri" w:hAnsi="Calibri"/>
                <w:sz w:val="15"/>
                <w:szCs w:val="15"/>
                <w:color w:val="auto"/>
              </w:rPr>
              <w:t>(84,549 )</w:t>
            </w:r>
          </w:p>
        </w:tc>
        <w:tc>
          <w:tcPr>
            <w:tcW w:w="300" w:type="dxa"/>
            <w:vAlign w:val="bottom"/>
            <w:tcBorders>
              <w:bottom w:val="single" w:sz="8" w:color="CFF0FC"/>
            </w:tcBorders>
            <w:shd w:val="clear" w:color="auto" w:fill="CFF0FC"/>
          </w:tcPr>
          <w:p>
            <w:pPr>
              <w:spacing w:after="0"/>
              <w:rPr>
                <w:sz w:val="16"/>
                <w:szCs w:val="16"/>
                <w:color w:val="auto"/>
              </w:rPr>
            </w:pPr>
          </w:p>
        </w:tc>
        <w:tc>
          <w:tcPr>
            <w:tcW w:w="860" w:type="dxa"/>
            <w:vAlign w:val="bottom"/>
            <w:tcBorders>
              <w:bottom w:val="single" w:sz="8" w:color="CFF0FC"/>
            </w:tcBorders>
            <w:gridSpan w:val="2"/>
            <w:shd w:val="clear" w:color="auto" w:fill="CFF0FC"/>
          </w:tcPr>
          <w:p>
            <w:pPr>
              <w:jc w:val="right"/>
              <w:ind w:right="40"/>
              <w:spacing w:after="0"/>
              <w:rPr>
                <w:sz w:val="20"/>
                <w:szCs w:val="20"/>
                <w:color w:val="auto"/>
              </w:rPr>
            </w:pPr>
            <w:r>
              <w:rPr>
                <w:rFonts w:ascii="Calibri" w:cs="Calibri" w:eastAsia="Calibri" w:hAnsi="Calibri"/>
                <w:sz w:val="15"/>
                <w:szCs w:val="15"/>
                <w:color w:val="auto"/>
              </w:rPr>
              <w:t>(714 )</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200" w:type="dxa"/>
            <w:vAlign w:val="bottom"/>
          </w:tcPr>
          <w:p>
            <w:pPr>
              <w:spacing w:after="0"/>
              <w:rPr>
                <w:sz w:val="20"/>
                <w:szCs w:val="20"/>
                <w:color w:val="auto"/>
              </w:rPr>
            </w:pPr>
            <w:r>
              <w:rPr>
                <w:rFonts w:ascii="Calibri" w:cs="Calibri" w:eastAsia="Calibri" w:hAnsi="Calibri"/>
                <w:sz w:val="15"/>
                <w:szCs w:val="15"/>
                <w:color w:val="auto"/>
              </w:rPr>
              <w:t>Other</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alibri" w:cs="Calibri" w:eastAsia="Calibri" w:hAnsi="Calibri"/>
                <w:sz w:val="15"/>
                <w:szCs w:val="15"/>
                <w:color w:val="auto"/>
              </w:rPr>
              <w:t>1,286</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right"/>
              <w:ind w:right="119"/>
              <w:spacing w:after="0"/>
              <w:rPr>
                <w:sz w:val="20"/>
                <w:szCs w:val="20"/>
                <w:color w:val="auto"/>
              </w:rPr>
            </w:pPr>
            <w:r>
              <w:rPr>
                <w:rFonts w:ascii="Calibri" w:cs="Calibri" w:eastAsia="Calibri" w:hAnsi="Calibri"/>
                <w:sz w:val="15"/>
                <w:szCs w:val="15"/>
                <w:color w:val="auto"/>
              </w:rPr>
              <w:t>(8,143 )</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alibri" w:cs="Calibri" w:eastAsia="Calibri" w:hAnsi="Calibri"/>
                <w:sz w:val="15"/>
                <w:szCs w:val="15"/>
                <w:color w:val="auto"/>
              </w:rPr>
              <w:t>9,429</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alibri" w:cs="Calibri" w:eastAsia="Calibri" w:hAnsi="Calibri"/>
                <w:sz w:val="15"/>
                <w:szCs w:val="15"/>
                <w:color w:val="auto"/>
              </w:rPr>
              <w:t>116</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200" w:type="dxa"/>
            <w:vAlign w:val="bottom"/>
            <w:vMerge w:val="restart"/>
          </w:tcPr>
          <w:p>
            <w:pPr>
              <w:ind w:left="160"/>
              <w:spacing w:after="0"/>
              <w:rPr>
                <w:sz w:val="20"/>
                <w:szCs w:val="20"/>
                <w:color w:val="auto"/>
              </w:rPr>
            </w:pPr>
            <w:r>
              <w:rPr>
                <w:rFonts w:ascii="Calibri" w:cs="Calibri" w:eastAsia="Calibri" w:hAnsi="Calibri"/>
                <w:sz w:val="15"/>
                <w:szCs w:val="15"/>
                <w:color w:val="auto"/>
              </w:rPr>
              <w:t>Total</w:t>
            </w: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5200" w:type="dxa"/>
            <w:vAlign w:val="bottom"/>
            <w:vMerge w:val="continue"/>
          </w:tcPr>
          <w:p>
            <w:pPr>
              <w:spacing w:after="0"/>
              <w:rPr>
                <w:sz w:val="15"/>
                <w:szCs w:val="15"/>
                <w:color w:val="auto"/>
              </w:rPr>
            </w:pPr>
          </w:p>
        </w:tc>
        <w:tc>
          <w:tcPr>
            <w:tcW w:w="240" w:type="dxa"/>
            <w:vAlign w:val="bottom"/>
          </w:tcPr>
          <w:p>
            <w:pPr>
              <w:jc w:val="right"/>
              <w:ind w:right="83"/>
              <w:spacing w:after="0" w:line="174" w:lineRule="exact"/>
              <w:rPr>
                <w:sz w:val="20"/>
                <w:szCs w:val="20"/>
                <w:color w:val="auto"/>
              </w:rPr>
            </w:pPr>
            <w:r>
              <w:rPr>
                <w:rFonts w:ascii="Calibri" w:cs="Calibri" w:eastAsia="Calibri" w:hAnsi="Calibri"/>
                <w:sz w:val="15"/>
                <w:szCs w:val="15"/>
                <w:color w:val="auto"/>
                <w:w w:val="78"/>
              </w:rPr>
              <w:t>$</w:t>
            </w:r>
          </w:p>
        </w:tc>
        <w:tc>
          <w:tcPr>
            <w:tcW w:w="840" w:type="dxa"/>
            <w:vAlign w:val="bottom"/>
          </w:tcPr>
          <w:p>
            <w:pPr>
              <w:jc w:val="right"/>
              <w:spacing w:after="0" w:line="174" w:lineRule="exact"/>
              <w:rPr>
                <w:sz w:val="20"/>
                <w:szCs w:val="20"/>
                <w:color w:val="auto"/>
              </w:rPr>
            </w:pPr>
            <w:r>
              <w:rPr>
                <w:rFonts w:ascii="Calibri" w:cs="Calibri" w:eastAsia="Calibri" w:hAnsi="Calibri"/>
                <w:sz w:val="15"/>
                <w:szCs w:val="15"/>
                <w:color w:val="auto"/>
              </w:rPr>
              <w:t>32,627</w:t>
            </w:r>
          </w:p>
        </w:tc>
        <w:tc>
          <w:tcPr>
            <w:tcW w:w="240" w:type="dxa"/>
            <w:vAlign w:val="bottom"/>
          </w:tcPr>
          <w:p>
            <w:pPr>
              <w:spacing w:after="0"/>
              <w:rPr>
                <w:sz w:val="15"/>
                <w:szCs w:val="15"/>
                <w:color w:val="auto"/>
              </w:rPr>
            </w:pPr>
          </w:p>
        </w:tc>
        <w:tc>
          <w:tcPr>
            <w:tcW w:w="240" w:type="dxa"/>
            <w:vAlign w:val="bottom"/>
          </w:tcPr>
          <w:p>
            <w:pPr>
              <w:jc w:val="right"/>
              <w:ind w:right="83"/>
              <w:spacing w:after="0" w:line="174" w:lineRule="exact"/>
              <w:rPr>
                <w:sz w:val="20"/>
                <w:szCs w:val="20"/>
                <w:color w:val="auto"/>
              </w:rPr>
            </w:pPr>
            <w:r>
              <w:rPr>
                <w:rFonts w:ascii="Calibri" w:cs="Calibri" w:eastAsia="Calibri" w:hAnsi="Calibri"/>
                <w:sz w:val="15"/>
                <w:szCs w:val="15"/>
                <w:color w:val="auto"/>
                <w:w w:val="78"/>
              </w:rPr>
              <w:t>$</w:t>
            </w:r>
          </w:p>
        </w:tc>
        <w:tc>
          <w:tcPr>
            <w:tcW w:w="800" w:type="dxa"/>
            <w:vAlign w:val="bottom"/>
          </w:tcPr>
          <w:p>
            <w:pPr>
              <w:jc w:val="right"/>
              <w:spacing w:after="0" w:line="174" w:lineRule="exact"/>
              <w:rPr>
                <w:sz w:val="20"/>
                <w:szCs w:val="20"/>
                <w:color w:val="auto"/>
              </w:rPr>
            </w:pPr>
            <w:r>
              <w:rPr>
                <w:rFonts w:ascii="Calibri" w:cs="Calibri" w:eastAsia="Calibri" w:hAnsi="Calibri"/>
                <w:sz w:val="15"/>
                <w:szCs w:val="15"/>
                <w:color w:val="auto"/>
              </w:rPr>
              <w:t>108,478</w:t>
            </w:r>
          </w:p>
        </w:tc>
        <w:tc>
          <w:tcPr>
            <w:tcW w:w="240" w:type="dxa"/>
            <w:vAlign w:val="bottom"/>
          </w:tcPr>
          <w:p>
            <w:pPr>
              <w:spacing w:after="0"/>
              <w:rPr>
                <w:sz w:val="15"/>
                <w:szCs w:val="15"/>
                <w:color w:val="auto"/>
              </w:rPr>
            </w:pPr>
          </w:p>
        </w:tc>
        <w:tc>
          <w:tcPr>
            <w:tcW w:w="180" w:type="dxa"/>
            <w:vAlign w:val="bottom"/>
          </w:tcPr>
          <w:p>
            <w:pPr>
              <w:jc w:val="right"/>
              <w:ind w:right="23"/>
              <w:spacing w:after="0" w:line="174" w:lineRule="exact"/>
              <w:rPr>
                <w:sz w:val="20"/>
                <w:szCs w:val="20"/>
                <w:color w:val="auto"/>
              </w:rPr>
            </w:pPr>
            <w:r>
              <w:rPr>
                <w:rFonts w:ascii="Calibri" w:cs="Calibri" w:eastAsia="Calibri" w:hAnsi="Calibri"/>
                <w:sz w:val="15"/>
                <w:szCs w:val="15"/>
                <w:color w:val="auto"/>
                <w:w w:val="78"/>
              </w:rPr>
              <w:t>$</w:t>
            </w:r>
          </w:p>
        </w:tc>
        <w:tc>
          <w:tcPr>
            <w:tcW w:w="1000" w:type="dxa"/>
            <w:vAlign w:val="bottom"/>
            <w:gridSpan w:val="2"/>
          </w:tcPr>
          <w:p>
            <w:pPr>
              <w:jc w:val="right"/>
              <w:ind w:right="120"/>
              <w:spacing w:after="0" w:line="174" w:lineRule="exact"/>
              <w:rPr>
                <w:sz w:val="20"/>
                <w:szCs w:val="20"/>
                <w:color w:val="auto"/>
              </w:rPr>
            </w:pPr>
            <w:r>
              <w:rPr>
                <w:rFonts w:ascii="Calibri" w:cs="Calibri" w:eastAsia="Calibri" w:hAnsi="Calibri"/>
                <w:sz w:val="15"/>
                <w:szCs w:val="15"/>
                <w:color w:val="auto"/>
              </w:rPr>
              <w:t>(75,851 )</w:t>
            </w:r>
          </w:p>
        </w:tc>
        <w:tc>
          <w:tcPr>
            <w:tcW w:w="300" w:type="dxa"/>
            <w:vAlign w:val="bottom"/>
          </w:tcPr>
          <w:p>
            <w:pPr>
              <w:spacing w:after="0"/>
              <w:rPr>
                <w:sz w:val="15"/>
                <w:szCs w:val="15"/>
                <w:color w:val="auto"/>
              </w:rPr>
            </w:pPr>
          </w:p>
        </w:tc>
        <w:tc>
          <w:tcPr>
            <w:tcW w:w="920" w:type="dxa"/>
            <w:vAlign w:val="bottom"/>
            <w:gridSpan w:val="3"/>
          </w:tcPr>
          <w:p>
            <w:pPr>
              <w:jc w:val="right"/>
              <w:spacing w:after="0" w:line="174" w:lineRule="exact"/>
              <w:rPr>
                <w:sz w:val="20"/>
                <w:szCs w:val="20"/>
                <w:color w:val="auto"/>
              </w:rPr>
            </w:pPr>
            <w:r>
              <w:rPr>
                <w:rFonts w:ascii="Calibri" w:cs="Calibri" w:eastAsia="Calibri" w:hAnsi="Calibri"/>
                <w:sz w:val="15"/>
                <w:szCs w:val="15"/>
                <w:color w:val="auto"/>
              </w:rPr>
              <w:t>(70 )%</w:t>
            </w:r>
          </w:p>
        </w:tc>
        <w:tc>
          <w:tcPr>
            <w:tcW w:w="0" w:type="dxa"/>
            <w:vAlign w:val="bottom"/>
          </w:tcPr>
          <w:p>
            <w:pPr>
              <w:spacing w:after="0"/>
              <w:rPr>
                <w:sz w:val="1"/>
                <w:szCs w:val="1"/>
                <w:color w:val="auto"/>
              </w:rPr>
            </w:pPr>
          </w:p>
        </w:tc>
      </w:tr>
      <w:tr>
        <w:trPr>
          <w:trHeight w:val="24"/>
        </w:trPr>
        <w:tc>
          <w:tcPr>
            <w:tcW w:w="5200" w:type="dxa"/>
            <w:vAlign w:val="bottom"/>
            <w:vMerge w:val="restart"/>
          </w:tcPr>
          <w:p>
            <w:pPr>
              <w:spacing w:after="0"/>
              <w:rPr>
                <w:sz w:val="20"/>
                <w:szCs w:val="20"/>
                <w:color w:val="auto"/>
              </w:rPr>
            </w:pPr>
            <w:r>
              <w:rPr>
                <w:rFonts w:ascii="Calibri" w:cs="Calibri" w:eastAsia="Calibri" w:hAnsi="Calibri"/>
                <w:sz w:val="15"/>
                <w:szCs w:val="15"/>
                <w:b w:val="1"/>
                <w:bCs w:val="1"/>
                <w:color w:val="auto"/>
              </w:rPr>
              <w:t>Percentage of segment revenue:</w:t>
            </w: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0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2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
        </w:trPr>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520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5"/>
                <w:szCs w:val="15"/>
                <w:color w:val="auto"/>
              </w:rPr>
              <w:t>U.S. Marketplace</w:t>
            </w:r>
          </w:p>
        </w:tc>
        <w:tc>
          <w:tcPr>
            <w:tcW w:w="240" w:type="dxa"/>
            <w:vAlign w:val="bottom"/>
            <w:tcBorders>
              <w:bottom w:val="single" w:sz="8" w:color="CFF0FC"/>
            </w:tcBorders>
            <w:shd w:val="clear" w:color="auto" w:fill="CFF0FC"/>
          </w:tcPr>
          <w:p>
            <w:pPr>
              <w:spacing w:after="0"/>
              <w:rPr>
                <w:sz w:val="16"/>
                <w:szCs w:val="16"/>
                <w:color w:val="auto"/>
              </w:rPr>
            </w:pPr>
          </w:p>
        </w:tc>
        <w:tc>
          <w:tcPr>
            <w:tcW w:w="108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Calibri" w:cs="Calibri" w:eastAsia="Calibri" w:hAnsi="Calibri"/>
                <w:sz w:val="15"/>
                <w:szCs w:val="15"/>
                <w:color w:val="auto"/>
              </w:rPr>
              <w:t>20 %</w:t>
            </w:r>
          </w:p>
        </w:tc>
        <w:tc>
          <w:tcPr>
            <w:tcW w:w="240" w:type="dxa"/>
            <w:vAlign w:val="bottom"/>
            <w:tcBorders>
              <w:bottom w:val="single" w:sz="8" w:color="CFF0FC"/>
            </w:tcBorders>
            <w:shd w:val="clear" w:color="auto" w:fill="CFF0FC"/>
          </w:tcPr>
          <w:p>
            <w:pPr>
              <w:spacing w:after="0"/>
              <w:rPr>
                <w:sz w:val="16"/>
                <w:szCs w:val="16"/>
                <w:color w:val="auto"/>
              </w:rPr>
            </w:pPr>
          </w:p>
        </w:tc>
        <w:tc>
          <w:tcPr>
            <w:tcW w:w="1040" w:type="dxa"/>
            <w:vAlign w:val="bottom"/>
            <w:tcBorders>
              <w:bottom w:val="single" w:sz="8" w:color="CFF0FC"/>
            </w:tcBorders>
            <w:gridSpan w:val="2"/>
            <w:shd w:val="clear" w:color="auto" w:fill="CFF0FC"/>
          </w:tcPr>
          <w:p>
            <w:pPr>
              <w:jc w:val="right"/>
              <w:ind w:right="59"/>
              <w:spacing w:after="0"/>
              <w:rPr>
                <w:sz w:val="20"/>
                <w:szCs w:val="20"/>
                <w:color w:val="auto"/>
              </w:rPr>
            </w:pPr>
            <w:r>
              <w:rPr>
                <w:rFonts w:ascii="Calibri" w:cs="Calibri" w:eastAsia="Calibri" w:hAnsi="Calibri"/>
                <w:sz w:val="15"/>
                <w:szCs w:val="15"/>
                <w:color w:val="auto"/>
              </w:rPr>
              <w:t>21 %</w:t>
            </w:r>
          </w:p>
        </w:tc>
        <w:tc>
          <w:tcPr>
            <w:tcW w:w="180" w:type="dxa"/>
            <w:vAlign w:val="bottom"/>
            <w:tcBorders>
              <w:bottom w:val="single" w:sz="8" w:color="CFF0FC"/>
            </w:tcBorders>
            <w:shd w:val="clear" w:color="auto" w:fill="CFF0FC"/>
          </w:tcPr>
          <w:p>
            <w:pPr>
              <w:spacing w:after="0"/>
              <w:rPr>
                <w:sz w:val="16"/>
                <w:szCs w:val="16"/>
                <w:color w:val="auto"/>
              </w:rPr>
            </w:pPr>
          </w:p>
        </w:tc>
        <w:tc>
          <w:tcPr>
            <w:tcW w:w="82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CFF0FC"/>
            </w:tcBorders>
            <w:shd w:val="clear" w:color="auto" w:fill="CFF0FC"/>
          </w:tcPr>
          <w:p>
            <w:pPr>
              <w:spacing w:after="0"/>
              <w:rPr>
                <w:sz w:val="16"/>
                <w:szCs w:val="16"/>
                <w:color w:val="auto"/>
              </w:rPr>
            </w:pPr>
          </w:p>
        </w:tc>
        <w:tc>
          <w:tcPr>
            <w:tcW w:w="7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200" w:type="dxa"/>
            <w:vAlign w:val="bottom"/>
          </w:tcPr>
          <w:p>
            <w:pPr>
              <w:spacing w:after="0"/>
              <w:rPr>
                <w:sz w:val="20"/>
                <w:szCs w:val="20"/>
                <w:color w:val="auto"/>
              </w:rPr>
            </w:pPr>
            <w:r>
              <w:rPr>
                <w:rFonts w:ascii="Calibri" w:cs="Calibri" w:eastAsia="Calibri" w:hAnsi="Calibri"/>
                <w:sz w:val="15"/>
                <w:szCs w:val="15"/>
                <w:color w:val="auto"/>
              </w:rPr>
              <w:t>Digital Wholesale</w:t>
            </w:r>
          </w:p>
        </w:tc>
        <w:tc>
          <w:tcPr>
            <w:tcW w:w="24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Calibri" w:cs="Calibri" w:eastAsia="Calibri" w:hAnsi="Calibri"/>
                <w:sz w:val="15"/>
                <w:szCs w:val="15"/>
                <w:color w:val="auto"/>
              </w:rPr>
              <w:t>(45 )</w:t>
            </w:r>
          </w:p>
        </w:tc>
        <w:tc>
          <w:tcPr>
            <w:tcW w:w="240" w:type="dxa"/>
            <w:vAlign w:val="bottom"/>
          </w:tcPr>
          <w:p>
            <w:pPr>
              <w:spacing w:after="0"/>
              <w:rPr>
                <w:sz w:val="15"/>
                <w:szCs w:val="15"/>
                <w:color w:val="auto"/>
              </w:rPr>
            </w:pPr>
          </w:p>
        </w:tc>
        <w:tc>
          <w:tcPr>
            <w:tcW w:w="1040" w:type="dxa"/>
            <w:vAlign w:val="bottom"/>
            <w:gridSpan w:val="2"/>
          </w:tcPr>
          <w:p>
            <w:pPr>
              <w:jc w:val="right"/>
              <w:ind w:right="119"/>
              <w:spacing w:after="0"/>
              <w:rPr>
                <w:sz w:val="20"/>
                <w:szCs w:val="20"/>
                <w:color w:val="auto"/>
              </w:rPr>
            </w:pPr>
            <w:r>
              <w:rPr>
                <w:rFonts w:ascii="Calibri" w:cs="Calibri" w:eastAsia="Calibri" w:hAnsi="Calibri"/>
                <w:sz w:val="15"/>
                <w:szCs w:val="15"/>
                <w:color w:val="auto"/>
              </w:rPr>
              <w:t>(1 )</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520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5"/>
                <w:szCs w:val="15"/>
                <w:color w:val="auto"/>
              </w:rPr>
              <w:t>Other</w:t>
            </w:r>
          </w:p>
        </w:tc>
        <w:tc>
          <w:tcPr>
            <w:tcW w:w="240" w:type="dxa"/>
            <w:vAlign w:val="bottom"/>
            <w:tcBorders>
              <w:bottom w:val="single" w:sz="8" w:color="CFF0FC"/>
            </w:tcBorders>
            <w:shd w:val="clear" w:color="auto" w:fill="CFF0FC"/>
          </w:tcPr>
          <w:p>
            <w:pPr>
              <w:spacing w:after="0"/>
              <w:rPr>
                <w:sz w:val="16"/>
                <w:szCs w:val="16"/>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3</w:t>
            </w:r>
          </w:p>
        </w:tc>
        <w:tc>
          <w:tcPr>
            <w:tcW w:w="24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1040" w:type="dxa"/>
            <w:vAlign w:val="bottom"/>
            <w:tcBorders>
              <w:bottom w:val="single" w:sz="8" w:color="CFF0FC"/>
            </w:tcBorders>
            <w:gridSpan w:val="2"/>
            <w:shd w:val="clear" w:color="auto" w:fill="CFF0FC"/>
          </w:tcPr>
          <w:p>
            <w:pPr>
              <w:jc w:val="right"/>
              <w:ind w:right="119"/>
              <w:spacing w:after="0"/>
              <w:rPr>
                <w:sz w:val="20"/>
                <w:szCs w:val="20"/>
                <w:color w:val="auto"/>
              </w:rPr>
            </w:pPr>
            <w:r>
              <w:rPr>
                <w:rFonts w:ascii="Calibri" w:cs="Calibri" w:eastAsia="Calibri" w:hAnsi="Calibri"/>
                <w:sz w:val="15"/>
                <w:szCs w:val="15"/>
                <w:color w:val="auto"/>
              </w:rPr>
              <w:t>(18 )</w:t>
            </w:r>
          </w:p>
        </w:tc>
        <w:tc>
          <w:tcPr>
            <w:tcW w:w="180" w:type="dxa"/>
            <w:vAlign w:val="bottom"/>
            <w:tcBorders>
              <w:bottom w:val="single" w:sz="8" w:color="CFF0FC"/>
            </w:tcBorders>
            <w:shd w:val="clear" w:color="auto" w:fill="CFF0FC"/>
          </w:tcPr>
          <w:p>
            <w:pPr>
              <w:spacing w:after="0"/>
              <w:rPr>
                <w:sz w:val="16"/>
                <w:szCs w:val="16"/>
                <w:color w:val="auto"/>
              </w:rPr>
            </w:pPr>
          </w:p>
        </w:tc>
        <w:tc>
          <w:tcPr>
            <w:tcW w:w="82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CFF0FC"/>
            </w:tcBorders>
            <w:shd w:val="clear" w:color="auto" w:fill="CFF0FC"/>
          </w:tcPr>
          <w:p>
            <w:pPr>
              <w:spacing w:after="0"/>
              <w:rPr>
                <w:sz w:val="16"/>
                <w:szCs w:val="16"/>
                <w:color w:val="auto"/>
              </w:rPr>
            </w:pPr>
          </w:p>
        </w:tc>
        <w:tc>
          <w:tcPr>
            <w:tcW w:w="7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200" w:type="dxa"/>
            <w:vAlign w:val="bottom"/>
          </w:tcPr>
          <w:p>
            <w:pPr>
              <w:ind w:left="160"/>
              <w:spacing w:after="0" w:line="174" w:lineRule="exact"/>
              <w:rPr>
                <w:sz w:val="20"/>
                <w:szCs w:val="20"/>
                <w:color w:val="auto"/>
              </w:rPr>
            </w:pPr>
            <w:r>
              <w:rPr>
                <w:rFonts w:ascii="Calibri" w:cs="Calibri" w:eastAsia="Calibri" w:hAnsi="Calibri"/>
                <w:sz w:val="15"/>
                <w:szCs w:val="15"/>
                <w:color w:val="auto"/>
              </w:rPr>
              <w:t>Total</w:t>
            </w:r>
          </w:p>
        </w:tc>
        <w:tc>
          <w:tcPr>
            <w:tcW w:w="240" w:type="dxa"/>
            <w:vAlign w:val="bottom"/>
          </w:tcPr>
          <w:p>
            <w:pPr>
              <w:spacing w:after="0"/>
              <w:rPr>
                <w:sz w:val="15"/>
                <w:szCs w:val="15"/>
                <w:color w:val="auto"/>
              </w:rPr>
            </w:pPr>
          </w:p>
        </w:tc>
        <w:tc>
          <w:tcPr>
            <w:tcW w:w="1080" w:type="dxa"/>
            <w:vAlign w:val="bottom"/>
            <w:gridSpan w:val="2"/>
          </w:tcPr>
          <w:p>
            <w:pPr>
              <w:jc w:val="right"/>
              <w:ind w:right="120"/>
              <w:spacing w:after="0" w:line="174" w:lineRule="exact"/>
              <w:rPr>
                <w:sz w:val="20"/>
                <w:szCs w:val="20"/>
                <w:color w:val="auto"/>
              </w:rPr>
            </w:pPr>
            <w:r>
              <w:rPr>
                <w:rFonts w:ascii="Calibri" w:cs="Calibri" w:eastAsia="Calibri" w:hAnsi="Calibri"/>
                <w:sz w:val="15"/>
                <w:szCs w:val="15"/>
                <w:color w:val="auto"/>
              </w:rPr>
              <w:t>4 %</w:t>
            </w:r>
          </w:p>
        </w:tc>
        <w:tc>
          <w:tcPr>
            <w:tcW w:w="240" w:type="dxa"/>
            <w:vAlign w:val="bottom"/>
          </w:tcPr>
          <w:p>
            <w:pPr>
              <w:spacing w:after="0"/>
              <w:rPr>
                <w:sz w:val="15"/>
                <w:szCs w:val="15"/>
                <w:color w:val="auto"/>
              </w:rPr>
            </w:pPr>
          </w:p>
        </w:tc>
        <w:tc>
          <w:tcPr>
            <w:tcW w:w="1040" w:type="dxa"/>
            <w:vAlign w:val="bottom"/>
            <w:gridSpan w:val="2"/>
          </w:tcPr>
          <w:p>
            <w:pPr>
              <w:jc w:val="right"/>
              <w:ind w:right="59"/>
              <w:spacing w:after="0" w:line="174" w:lineRule="exact"/>
              <w:rPr>
                <w:sz w:val="20"/>
                <w:szCs w:val="20"/>
                <w:color w:val="auto"/>
              </w:rPr>
            </w:pPr>
            <w:r>
              <w:rPr>
                <w:rFonts w:ascii="Calibri" w:cs="Calibri" w:eastAsia="Calibri" w:hAnsi="Calibri"/>
                <w:sz w:val="15"/>
                <w:szCs w:val="15"/>
                <w:color w:val="auto"/>
              </w:rPr>
              <w:t>7 %</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-839470</wp:posOffset>
            </wp:positionV>
            <wp:extent cx="6436360" cy="15367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436360" cy="15367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-160020</wp:posOffset>
            </wp:positionV>
            <wp:extent cx="66040" cy="7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5153025</wp:posOffset>
            </wp:positionH>
            <wp:positionV relativeFrom="paragraph">
              <wp:posOffset>-160020</wp:posOffset>
            </wp:positionV>
            <wp:extent cx="66040" cy="76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6040" cy="7620"/>
                    </a:xfrm>
                    <a:prstGeom prst="rect">
                      <a:avLst/>
                    </a:prstGeom>
                    <a:noFill/>
                  </pic:spPr>
                </pic:pic>
              </a:graphicData>
            </a:graphic>
          </wp:anchor>
        </w:drawing>
      </w:r>
    </w:p>
    <w:p>
      <w:pPr>
        <w:spacing w:after="0" w:line="146" w:lineRule="exact"/>
        <w:rPr>
          <w:sz w:val="20"/>
          <w:szCs w:val="20"/>
          <w:color w:val="auto"/>
        </w:rPr>
      </w:pPr>
    </w:p>
    <w:p>
      <w:pPr>
        <w:jc w:val="both"/>
        <w:ind w:right="20" w:firstLine="511"/>
        <w:spacing w:after="0" w:line="241" w:lineRule="auto"/>
        <w:rPr>
          <w:sz w:val="20"/>
          <w:szCs w:val="20"/>
          <w:color w:val="auto"/>
        </w:rPr>
      </w:pPr>
      <w:r>
        <w:rPr>
          <w:rFonts w:ascii="Calibri" w:cs="Calibri" w:eastAsia="Calibri" w:hAnsi="Calibri"/>
          <w:sz w:val="15"/>
          <w:szCs w:val="15"/>
          <w:color w:val="auto"/>
        </w:rPr>
        <w:t>U.S. Marketplace segment income from operatons decreased $0.7 million, or 1%, in the year ended December 31, 2023 compared to the year ended December 31, 2022 and represented 20% of U.S. Marketplace segment revenue for the year ended December 31, 2023 and 21% of U.S. Marketplace segment revenue for the year ended December 31, 2022. The decrease was due to increases in revenue of $33.1 million, ofset by increases in cost of revenue of $3.2 million and increases in operatng expenses of $30.6 million.</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Digital Wholesale segment loss from operatons increased $84.5 million, or 714%, in the year ended December 31, 2023 compared to the year ended December 31, 2022 and represented (45)% of Digital Wholesale segment revenue for the year ended December 31, 2023 and (1)% of Digital Wholesale segment revenue for the year ended December 31, 2022. The decrease was due to decreases in revenue of $780.3 million, ofset by decreases in cost of revenue of $738.7 million and increases in operatng expenses of $42.9 million. The increase in operatng expenses was primarily driven by the impact of the approximately $50.0 million stock-based compensaton charge that resulted from the 2023 CarOfer Transacton.</w:t>
      </w:r>
    </w:p>
    <w:p>
      <w:pPr>
        <w:spacing w:after="0" w:line="185" w:lineRule="exact"/>
        <w:rPr>
          <w:sz w:val="20"/>
          <w:szCs w:val="20"/>
          <w:color w:val="auto"/>
        </w:rPr>
      </w:pPr>
    </w:p>
    <w:p>
      <w:pPr>
        <w:jc w:val="center"/>
        <w:spacing w:after="0"/>
        <w:rPr>
          <w:sz w:val="20"/>
          <w:szCs w:val="20"/>
          <w:color w:val="auto"/>
        </w:rPr>
      </w:pPr>
      <w:r>
        <w:rPr>
          <w:rFonts w:ascii="Calibri" w:cs="Calibri" w:eastAsia="Calibri" w:hAnsi="Calibri"/>
          <w:sz w:val="15"/>
          <w:szCs w:val="15"/>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408940</wp:posOffset>
            </wp:positionV>
            <wp:extent cx="7178040" cy="400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4" w:right="319" w:bottom="1440" w:gutter="0" w:footer="0" w:header="0"/>
        </w:sectPr>
      </w:pPr>
    </w:p>
    <w:bookmarkStart w:id="66" w:name="page67"/>
    <w:bookmarkEnd w:id="66"/>
    <w:p>
      <w:pPr>
        <w:spacing w:after="0"/>
        <w:rPr>
          <w:sz w:val="20"/>
          <w:szCs w:val="20"/>
          <w:color w:val="auto"/>
        </w:rPr>
      </w:pPr>
      <w:r>
        <w:rPr>
          <w:rFonts w:ascii="Calibri" w:cs="Calibri" w:eastAsia="Calibri" w:hAnsi="Calibri"/>
          <w:sz w:val="15"/>
          <w:szCs w:val="15"/>
          <w:b w:val="1"/>
          <w:bCs w:val="1"/>
          <w:color w:val="auto"/>
        </w:rPr>
        <w:t>Year Ended December 31, 2022 Compared to Year Ended December 31, 2021</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b w:val="1"/>
          <w:bCs w:val="1"/>
          <w:i w:val="1"/>
          <w:iCs w:val="1"/>
          <w:color w:val="auto"/>
        </w:rPr>
        <w:t>Revenue</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i w:val="1"/>
          <w:iCs w:val="1"/>
          <w:color w:val="auto"/>
        </w:rPr>
        <w:t>Segment Revenue</w:t>
      </w:r>
    </w:p>
    <w:p>
      <w:pPr>
        <w:spacing w:after="0" w:line="202" w:lineRule="exact"/>
        <w:rPr>
          <w:sz w:val="20"/>
          <w:szCs w:val="20"/>
          <w:color w:val="auto"/>
        </w:rPr>
      </w:pPr>
    </w:p>
    <w:tbl>
      <w:tblPr>
        <w:tblLayout w:type="fixed"/>
        <w:tblInd w:w="560" w:type="dxa"/>
        <w:tblCellMar>
          <w:top w:w="0" w:type="dxa"/>
          <w:left w:w="0" w:type="dxa"/>
          <w:bottom w:w="0" w:type="dxa"/>
          <w:right w:w="0" w:type="dxa"/>
        </w:tblCellMar>
      </w:tblPr>
      <w:tr>
        <w:trPr>
          <w:trHeight w:val="146"/>
        </w:trPr>
        <w:tc>
          <w:tcPr>
            <w:tcW w:w="5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20" w:type="dxa"/>
            <w:vAlign w:val="bottom"/>
            <w:gridSpan w:val="5"/>
          </w:tcPr>
          <w:p>
            <w:pPr>
              <w:jc w:val="right"/>
              <w:ind w:right="760"/>
              <w:spacing w:after="0"/>
              <w:rPr>
                <w:sz w:val="20"/>
                <w:szCs w:val="20"/>
                <w:color w:val="auto"/>
              </w:rPr>
            </w:pPr>
            <w:r>
              <w:rPr>
                <w:rFonts w:ascii="Calibri" w:cs="Calibri" w:eastAsia="Calibri" w:hAnsi="Calibri"/>
                <w:sz w:val="12"/>
                <w:szCs w:val="12"/>
                <w:b w:val="1"/>
                <w:bCs w:val="1"/>
                <w:color w:val="auto"/>
              </w:rPr>
              <w:t>Year Ended December 31,</w:t>
            </w:r>
          </w:p>
        </w:tc>
        <w:tc>
          <w:tcPr>
            <w:tcW w:w="200" w:type="dxa"/>
            <w:vAlign w:val="bottom"/>
          </w:tcPr>
          <w:p>
            <w:pPr>
              <w:spacing w:after="0"/>
              <w:rPr>
                <w:sz w:val="12"/>
                <w:szCs w:val="12"/>
                <w:color w:val="auto"/>
              </w:rPr>
            </w:pPr>
          </w:p>
        </w:tc>
        <w:tc>
          <w:tcPr>
            <w:tcW w:w="1300" w:type="dxa"/>
            <w:vAlign w:val="bottom"/>
            <w:gridSpan w:val="3"/>
          </w:tcPr>
          <w:p>
            <w:pPr>
              <w:ind w:left="740"/>
              <w:spacing w:after="0"/>
              <w:rPr>
                <w:sz w:val="20"/>
                <w:szCs w:val="20"/>
                <w:color w:val="auto"/>
              </w:rPr>
            </w:pPr>
            <w:r>
              <w:rPr>
                <w:rFonts w:ascii="Calibri" w:cs="Calibri" w:eastAsia="Calibri" w:hAnsi="Calibri"/>
                <w:sz w:val="12"/>
                <w:szCs w:val="12"/>
                <w:b w:val="1"/>
                <w:bCs w:val="1"/>
                <w:color w:val="auto"/>
              </w:rPr>
              <w:t>Change</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5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5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jc w:val="right"/>
              <w:ind w:right="326"/>
              <w:spacing w:after="0" w:line="138" w:lineRule="exact"/>
              <w:rPr>
                <w:sz w:val="20"/>
                <w:szCs w:val="20"/>
                <w:color w:val="auto"/>
              </w:rPr>
            </w:pPr>
            <w:r>
              <w:rPr>
                <w:rFonts w:ascii="Calibri" w:cs="Calibri" w:eastAsia="Calibri" w:hAnsi="Calibri"/>
                <w:sz w:val="12"/>
                <w:szCs w:val="12"/>
                <w:b w:val="1"/>
                <w:bCs w:val="1"/>
                <w:color w:val="auto"/>
              </w:rPr>
              <w:t>2022</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jc w:val="right"/>
              <w:ind w:right="326"/>
              <w:spacing w:after="0" w:line="138" w:lineRule="exact"/>
              <w:rPr>
                <w:sz w:val="20"/>
                <w:szCs w:val="20"/>
                <w:color w:val="auto"/>
              </w:rPr>
            </w:pPr>
            <w:r>
              <w:rPr>
                <w:rFonts w:ascii="Calibri" w:cs="Calibri" w:eastAsia="Calibri" w:hAnsi="Calibri"/>
                <w:sz w:val="12"/>
                <w:szCs w:val="12"/>
                <w:b w:val="1"/>
                <w:bCs w:val="1"/>
                <w:color w:val="auto"/>
              </w:rPr>
              <w:t>2021</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gridSpan w:val="3"/>
          </w:tcPr>
          <w:p>
            <w:pPr>
              <w:ind w:left="100"/>
              <w:spacing w:after="0" w:line="138" w:lineRule="exact"/>
              <w:rPr>
                <w:sz w:val="20"/>
                <w:szCs w:val="20"/>
                <w:color w:val="auto"/>
              </w:rPr>
            </w:pPr>
            <w:r>
              <w:rPr>
                <w:rFonts w:ascii="Calibri" w:cs="Calibri" w:eastAsia="Calibri" w:hAnsi="Calibri"/>
                <w:sz w:val="12"/>
                <w:szCs w:val="12"/>
                <w:b w:val="1"/>
                <w:bCs w:val="1"/>
                <w:color w:val="auto"/>
              </w:rPr>
              <w:t>Amount</w:t>
            </w:r>
          </w:p>
        </w:tc>
        <w:tc>
          <w:tcPr>
            <w:tcW w:w="760" w:type="dxa"/>
            <w:vAlign w:val="bottom"/>
          </w:tcPr>
          <w:p>
            <w:pPr>
              <w:jc w:val="right"/>
              <w:ind w:right="406"/>
              <w:spacing w:after="0" w:line="138" w:lineRule="exact"/>
              <w:rPr>
                <w:sz w:val="20"/>
                <w:szCs w:val="20"/>
                <w:color w:val="auto"/>
              </w:rPr>
            </w:pPr>
            <w:r>
              <w:rPr>
                <w:rFonts w:ascii="Calibri" w:cs="Calibri" w:eastAsia="Calibri" w:hAnsi="Calibri"/>
                <w:sz w:val="12"/>
                <w:szCs w:val="12"/>
                <w:b w:val="1"/>
                <w:bCs w:val="1"/>
                <w:color w:val="auto"/>
              </w:rPr>
              <w: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5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40" w:type="dxa"/>
            <w:vAlign w:val="bottom"/>
            <w:gridSpan w:val="6"/>
          </w:tcPr>
          <w:p>
            <w:pPr>
              <w:ind w:left="340"/>
              <w:spacing w:after="0" w:line="138" w:lineRule="exact"/>
              <w:rPr>
                <w:sz w:val="20"/>
                <w:szCs w:val="20"/>
                <w:color w:val="auto"/>
              </w:rPr>
            </w:pPr>
            <w:r>
              <w:rPr>
                <w:rFonts w:ascii="Calibri" w:cs="Calibri" w:eastAsia="Calibri" w:hAnsi="Calibri"/>
                <w:sz w:val="12"/>
                <w:szCs w:val="12"/>
                <w:b w:val="1"/>
                <w:bCs w:val="1"/>
                <w:color w:val="auto"/>
              </w:rPr>
              <w:t>(dollars in thousands)</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522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5"/>
                <w:szCs w:val="15"/>
                <w:b w:val="1"/>
                <w:bCs w:val="1"/>
                <w:color w:val="auto"/>
              </w:rPr>
              <w:t>Segment Revenue:</w:t>
            </w:r>
          </w:p>
        </w:tc>
        <w:tc>
          <w:tcPr>
            <w:tcW w:w="24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82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CFF0FC"/>
            </w:tcBorders>
            <w:shd w:val="clear" w:color="auto" w:fill="CFF0FC"/>
          </w:tcPr>
          <w:p>
            <w:pPr>
              <w:spacing w:after="0"/>
              <w:rPr>
                <w:sz w:val="16"/>
                <w:szCs w:val="16"/>
                <w:color w:val="auto"/>
              </w:rPr>
            </w:pPr>
          </w:p>
        </w:tc>
        <w:tc>
          <w:tcPr>
            <w:tcW w:w="7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220" w:type="dxa"/>
            <w:vAlign w:val="bottom"/>
          </w:tcPr>
          <w:p>
            <w:pPr>
              <w:spacing w:after="0"/>
              <w:rPr>
                <w:sz w:val="20"/>
                <w:szCs w:val="20"/>
                <w:color w:val="auto"/>
              </w:rPr>
            </w:pPr>
            <w:r>
              <w:rPr>
                <w:rFonts w:ascii="Calibri" w:cs="Calibri" w:eastAsia="Calibri" w:hAnsi="Calibri"/>
                <w:sz w:val="15"/>
                <w:szCs w:val="15"/>
                <w:color w:val="auto"/>
              </w:rPr>
              <w:t>U.S. Marketplace</w:t>
            </w:r>
          </w:p>
        </w:tc>
        <w:tc>
          <w:tcPr>
            <w:tcW w:w="240" w:type="dxa"/>
            <w:vAlign w:val="bottom"/>
          </w:tcPr>
          <w:p>
            <w:pPr>
              <w:jc w:val="right"/>
              <w:ind w:right="83"/>
              <w:spacing w:after="0"/>
              <w:rPr>
                <w:sz w:val="20"/>
                <w:szCs w:val="20"/>
                <w:color w:val="auto"/>
              </w:rPr>
            </w:pPr>
            <w:r>
              <w:rPr>
                <w:rFonts w:ascii="Calibri" w:cs="Calibri" w:eastAsia="Calibri" w:hAnsi="Calibri"/>
                <w:sz w:val="15"/>
                <w:szCs w:val="15"/>
                <w:color w:val="auto"/>
                <w:w w:val="78"/>
              </w:rPr>
              <w:t>$</w:t>
            </w:r>
          </w:p>
        </w:tc>
        <w:tc>
          <w:tcPr>
            <w:tcW w:w="800" w:type="dxa"/>
            <w:vAlign w:val="bottom"/>
          </w:tcPr>
          <w:p>
            <w:pPr>
              <w:jc w:val="right"/>
              <w:spacing w:after="0"/>
              <w:rPr>
                <w:sz w:val="20"/>
                <w:szCs w:val="20"/>
                <w:color w:val="auto"/>
              </w:rPr>
            </w:pPr>
            <w:r>
              <w:rPr>
                <w:rFonts w:ascii="Calibri" w:cs="Calibri" w:eastAsia="Calibri" w:hAnsi="Calibri"/>
                <w:sz w:val="15"/>
                <w:szCs w:val="15"/>
                <w:color w:val="auto"/>
              </w:rPr>
              <w:t>614,136</w:t>
            </w:r>
          </w:p>
        </w:tc>
        <w:tc>
          <w:tcPr>
            <w:tcW w:w="240" w:type="dxa"/>
            <w:vAlign w:val="bottom"/>
          </w:tcPr>
          <w:p>
            <w:pPr>
              <w:spacing w:after="0"/>
              <w:rPr>
                <w:sz w:val="15"/>
                <w:szCs w:val="15"/>
                <w:color w:val="auto"/>
              </w:rPr>
            </w:pPr>
          </w:p>
        </w:tc>
        <w:tc>
          <w:tcPr>
            <w:tcW w:w="240" w:type="dxa"/>
            <w:vAlign w:val="bottom"/>
          </w:tcPr>
          <w:p>
            <w:pPr>
              <w:jc w:val="right"/>
              <w:ind w:right="83"/>
              <w:spacing w:after="0"/>
              <w:rPr>
                <w:sz w:val="20"/>
                <w:szCs w:val="20"/>
                <w:color w:val="auto"/>
              </w:rPr>
            </w:pPr>
            <w:r>
              <w:rPr>
                <w:rFonts w:ascii="Calibri" w:cs="Calibri" w:eastAsia="Calibri" w:hAnsi="Calibri"/>
                <w:sz w:val="15"/>
                <w:szCs w:val="15"/>
                <w:color w:val="auto"/>
                <w:w w:val="78"/>
              </w:rPr>
              <w:t>$</w:t>
            </w:r>
          </w:p>
        </w:tc>
        <w:tc>
          <w:tcPr>
            <w:tcW w:w="800" w:type="dxa"/>
            <w:vAlign w:val="bottom"/>
          </w:tcPr>
          <w:p>
            <w:pPr>
              <w:jc w:val="right"/>
              <w:spacing w:after="0"/>
              <w:rPr>
                <w:sz w:val="20"/>
                <w:szCs w:val="20"/>
                <w:color w:val="auto"/>
              </w:rPr>
            </w:pPr>
            <w:r>
              <w:rPr>
                <w:rFonts w:ascii="Calibri" w:cs="Calibri" w:eastAsia="Calibri" w:hAnsi="Calibri"/>
                <w:sz w:val="15"/>
                <w:szCs w:val="15"/>
                <w:color w:val="auto"/>
              </w:rPr>
              <w:t>594,602</w:t>
            </w:r>
          </w:p>
        </w:tc>
        <w:tc>
          <w:tcPr>
            <w:tcW w:w="240" w:type="dxa"/>
            <w:vAlign w:val="bottom"/>
          </w:tcPr>
          <w:p>
            <w:pPr>
              <w:spacing w:after="0"/>
              <w:rPr>
                <w:sz w:val="15"/>
                <w:szCs w:val="15"/>
                <w:color w:val="auto"/>
              </w:rPr>
            </w:pPr>
          </w:p>
        </w:tc>
        <w:tc>
          <w:tcPr>
            <w:tcW w:w="200" w:type="dxa"/>
            <w:vAlign w:val="bottom"/>
          </w:tcPr>
          <w:p>
            <w:pPr>
              <w:jc w:val="right"/>
              <w:ind w:right="43"/>
              <w:spacing w:after="0"/>
              <w:rPr>
                <w:sz w:val="20"/>
                <w:szCs w:val="20"/>
                <w:color w:val="auto"/>
              </w:rPr>
            </w:pPr>
            <w:r>
              <w:rPr>
                <w:rFonts w:ascii="Calibri" w:cs="Calibri" w:eastAsia="Calibri" w:hAnsi="Calibri"/>
                <w:sz w:val="15"/>
                <w:szCs w:val="15"/>
                <w:color w:val="auto"/>
                <w:w w:val="78"/>
              </w:rPr>
              <w:t>$</w:t>
            </w:r>
          </w:p>
        </w:tc>
        <w:tc>
          <w:tcPr>
            <w:tcW w:w="820" w:type="dxa"/>
            <w:vAlign w:val="bottom"/>
          </w:tcPr>
          <w:p>
            <w:pPr>
              <w:jc w:val="right"/>
              <w:spacing w:after="0"/>
              <w:rPr>
                <w:sz w:val="20"/>
                <w:szCs w:val="20"/>
                <w:color w:val="auto"/>
              </w:rPr>
            </w:pPr>
            <w:r>
              <w:rPr>
                <w:rFonts w:ascii="Calibri" w:cs="Calibri" w:eastAsia="Calibri" w:hAnsi="Calibri"/>
                <w:sz w:val="15"/>
                <w:szCs w:val="15"/>
                <w:color w:val="auto"/>
              </w:rPr>
              <w:t>19,534</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gridSpan w:val="3"/>
          </w:tcPr>
          <w:p>
            <w:pPr>
              <w:jc w:val="right"/>
              <w:spacing w:after="0"/>
              <w:rPr>
                <w:sz w:val="20"/>
                <w:szCs w:val="20"/>
                <w:color w:val="auto"/>
              </w:rPr>
            </w:pPr>
            <w:r>
              <w:rPr>
                <w:rFonts w:ascii="Calibri" w:cs="Calibri" w:eastAsia="Calibri" w:hAnsi="Calibri"/>
                <w:sz w:val="15"/>
                <w:szCs w:val="15"/>
                <w:color w:val="auto"/>
              </w:rPr>
              <w:t>3 %</w:t>
            </w:r>
          </w:p>
        </w:tc>
        <w:tc>
          <w:tcPr>
            <w:tcW w:w="0" w:type="dxa"/>
            <w:vAlign w:val="bottom"/>
          </w:tcPr>
          <w:p>
            <w:pPr>
              <w:spacing w:after="0"/>
              <w:rPr>
                <w:sz w:val="1"/>
                <w:szCs w:val="1"/>
                <w:color w:val="auto"/>
              </w:rPr>
            </w:pPr>
          </w:p>
        </w:tc>
      </w:tr>
      <w:tr>
        <w:trPr>
          <w:trHeight w:val="24"/>
        </w:trPr>
        <w:tc>
          <w:tcPr>
            <w:tcW w:w="5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522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5"/>
                <w:szCs w:val="15"/>
                <w:color w:val="auto"/>
              </w:rPr>
              <w:t>Digital Wholesale</w:t>
            </w:r>
          </w:p>
        </w:tc>
        <w:tc>
          <w:tcPr>
            <w:tcW w:w="24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996,264</w:t>
            </w:r>
          </w:p>
        </w:tc>
        <w:tc>
          <w:tcPr>
            <w:tcW w:w="24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314,431</w:t>
            </w:r>
          </w:p>
        </w:tc>
        <w:tc>
          <w:tcPr>
            <w:tcW w:w="24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681,833</w:t>
            </w:r>
          </w:p>
        </w:tc>
        <w:tc>
          <w:tcPr>
            <w:tcW w:w="18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CFF0FC"/>
            </w:tcBorders>
            <w:shd w:val="clear" w:color="auto" w:fill="CFF0FC"/>
          </w:tcPr>
          <w:p>
            <w:pPr>
              <w:spacing w:after="0"/>
              <w:rPr>
                <w:sz w:val="16"/>
                <w:szCs w:val="16"/>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217</w:t>
            </w:r>
          </w:p>
        </w:tc>
        <w:tc>
          <w:tcPr>
            <w:tcW w:w="100" w:type="dxa"/>
            <w:vAlign w:val="bottom"/>
            <w:tcBorders>
              <w:bottom w:val="single" w:sz="8" w:color="CFF0FC"/>
            </w:tcBorders>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220" w:type="dxa"/>
            <w:vAlign w:val="bottom"/>
          </w:tcPr>
          <w:p>
            <w:pPr>
              <w:spacing w:after="0"/>
              <w:rPr>
                <w:sz w:val="20"/>
                <w:szCs w:val="20"/>
                <w:color w:val="auto"/>
              </w:rPr>
            </w:pPr>
            <w:r>
              <w:rPr>
                <w:rFonts w:ascii="Calibri" w:cs="Calibri" w:eastAsia="Calibri" w:hAnsi="Calibri"/>
                <w:sz w:val="15"/>
                <w:szCs w:val="15"/>
                <w:color w:val="auto"/>
              </w:rPr>
              <w:t>Other</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alibri" w:cs="Calibri" w:eastAsia="Calibri" w:hAnsi="Calibri"/>
                <w:sz w:val="15"/>
                <w:szCs w:val="15"/>
                <w:color w:val="auto"/>
              </w:rPr>
              <w:t>44,635</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alibri" w:cs="Calibri" w:eastAsia="Calibri" w:hAnsi="Calibri"/>
                <w:sz w:val="15"/>
                <w:szCs w:val="15"/>
                <w:color w:val="auto"/>
              </w:rPr>
              <w:t>42,340</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alibri" w:cs="Calibri" w:eastAsia="Calibri" w:hAnsi="Calibri"/>
                <w:sz w:val="15"/>
                <w:szCs w:val="15"/>
                <w:color w:val="auto"/>
              </w:rPr>
              <w:t>2,295</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alibri" w:cs="Calibri" w:eastAsia="Calibri" w:hAnsi="Calibri"/>
                <w:sz w:val="15"/>
                <w:szCs w:val="15"/>
                <w:color w:val="auto"/>
              </w:rPr>
              <w:t>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220" w:type="dxa"/>
            <w:vAlign w:val="bottom"/>
            <w:vMerge w:val="restart"/>
          </w:tcPr>
          <w:p>
            <w:pPr>
              <w:ind w:left="160"/>
              <w:spacing w:after="0"/>
              <w:rPr>
                <w:sz w:val="20"/>
                <w:szCs w:val="20"/>
                <w:color w:val="auto"/>
              </w:rPr>
            </w:pPr>
            <w:r>
              <w:rPr>
                <w:rFonts w:ascii="Calibri" w:cs="Calibri" w:eastAsia="Calibri" w:hAnsi="Calibri"/>
                <w:sz w:val="15"/>
                <w:szCs w:val="15"/>
                <w:color w:val="auto"/>
              </w:rPr>
              <w:t>Total</w:t>
            </w: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5220" w:type="dxa"/>
            <w:vAlign w:val="bottom"/>
            <w:vMerge w:val="continue"/>
          </w:tcPr>
          <w:p>
            <w:pPr>
              <w:spacing w:after="0"/>
              <w:rPr>
                <w:sz w:val="15"/>
                <w:szCs w:val="15"/>
                <w:color w:val="auto"/>
              </w:rPr>
            </w:pPr>
          </w:p>
        </w:tc>
        <w:tc>
          <w:tcPr>
            <w:tcW w:w="240" w:type="dxa"/>
            <w:vAlign w:val="bottom"/>
          </w:tcPr>
          <w:p>
            <w:pPr>
              <w:jc w:val="right"/>
              <w:ind w:right="83"/>
              <w:spacing w:after="0" w:line="174" w:lineRule="exact"/>
              <w:rPr>
                <w:sz w:val="20"/>
                <w:szCs w:val="20"/>
                <w:color w:val="auto"/>
              </w:rPr>
            </w:pPr>
            <w:r>
              <w:rPr>
                <w:rFonts w:ascii="Calibri" w:cs="Calibri" w:eastAsia="Calibri" w:hAnsi="Calibri"/>
                <w:sz w:val="15"/>
                <w:szCs w:val="15"/>
                <w:color w:val="auto"/>
                <w:w w:val="78"/>
              </w:rPr>
              <w:t>$</w:t>
            </w:r>
          </w:p>
        </w:tc>
        <w:tc>
          <w:tcPr>
            <w:tcW w:w="800" w:type="dxa"/>
            <w:vAlign w:val="bottom"/>
          </w:tcPr>
          <w:p>
            <w:pPr>
              <w:jc w:val="right"/>
              <w:spacing w:after="0" w:line="174" w:lineRule="exact"/>
              <w:rPr>
                <w:sz w:val="20"/>
                <w:szCs w:val="20"/>
                <w:color w:val="auto"/>
              </w:rPr>
            </w:pPr>
            <w:r>
              <w:rPr>
                <w:rFonts w:ascii="Calibri" w:cs="Calibri" w:eastAsia="Calibri" w:hAnsi="Calibri"/>
                <w:sz w:val="15"/>
                <w:szCs w:val="15"/>
                <w:color w:val="auto"/>
              </w:rPr>
              <w:t>1,655,035</w:t>
            </w:r>
          </w:p>
        </w:tc>
        <w:tc>
          <w:tcPr>
            <w:tcW w:w="240" w:type="dxa"/>
            <w:vAlign w:val="bottom"/>
          </w:tcPr>
          <w:p>
            <w:pPr>
              <w:spacing w:after="0"/>
              <w:rPr>
                <w:sz w:val="15"/>
                <w:szCs w:val="15"/>
                <w:color w:val="auto"/>
              </w:rPr>
            </w:pPr>
          </w:p>
        </w:tc>
        <w:tc>
          <w:tcPr>
            <w:tcW w:w="240" w:type="dxa"/>
            <w:vAlign w:val="bottom"/>
          </w:tcPr>
          <w:p>
            <w:pPr>
              <w:jc w:val="right"/>
              <w:ind w:right="83"/>
              <w:spacing w:after="0" w:line="174" w:lineRule="exact"/>
              <w:rPr>
                <w:sz w:val="20"/>
                <w:szCs w:val="20"/>
                <w:color w:val="auto"/>
              </w:rPr>
            </w:pPr>
            <w:r>
              <w:rPr>
                <w:rFonts w:ascii="Calibri" w:cs="Calibri" w:eastAsia="Calibri" w:hAnsi="Calibri"/>
                <w:sz w:val="15"/>
                <w:szCs w:val="15"/>
                <w:color w:val="auto"/>
                <w:w w:val="78"/>
              </w:rPr>
              <w:t>$</w:t>
            </w:r>
          </w:p>
        </w:tc>
        <w:tc>
          <w:tcPr>
            <w:tcW w:w="800" w:type="dxa"/>
            <w:vAlign w:val="bottom"/>
          </w:tcPr>
          <w:p>
            <w:pPr>
              <w:jc w:val="right"/>
              <w:spacing w:after="0" w:line="174" w:lineRule="exact"/>
              <w:rPr>
                <w:sz w:val="20"/>
                <w:szCs w:val="20"/>
                <w:color w:val="auto"/>
              </w:rPr>
            </w:pPr>
            <w:r>
              <w:rPr>
                <w:rFonts w:ascii="Calibri" w:cs="Calibri" w:eastAsia="Calibri" w:hAnsi="Calibri"/>
                <w:sz w:val="15"/>
                <w:szCs w:val="15"/>
                <w:color w:val="auto"/>
              </w:rPr>
              <w:t>951,373</w:t>
            </w:r>
          </w:p>
        </w:tc>
        <w:tc>
          <w:tcPr>
            <w:tcW w:w="240" w:type="dxa"/>
            <w:vAlign w:val="bottom"/>
          </w:tcPr>
          <w:p>
            <w:pPr>
              <w:spacing w:after="0"/>
              <w:rPr>
                <w:sz w:val="15"/>
                <w:szCs w:val="15"/>
                <w:color w:val="auto"/>
              </w:rPr>
            </w:pPr>
          </w:p>
        </w:tc>
        <w:tc>
          <w:tcPr>
            <w:tcW w:w="200" w:type="dxa"/>
            <w:vAlign w:val="bottom"/>
          </w:tcPr>
          <w:p>
            <w:pPr>
              <w:jc w:val="right"/>
              <w:ind w:right="43"/>
              <w:spacing w:after="0" w:line="174" w:lineRule="exact"/>
              <w:rPr>
                <w:sz w:val="20"/>
                <w:szCs w:val="20"/>
                <w:color w:val="auto"/>
              </w:rPr>
            </w:pPr>
            <w:r>
              <w:rPr>
                <w:rFonts w:ascii="Calibri" w:cs="Calibri" w:eastAsia="Calibri" w:hAnsi="Calibri"/>
                <w:sz w:val="15"/>
                <w:szCs w:val="15"/>
                <w:color w:val="auto"/>
                <w:w w:val="78"/>
              </w:rPr>
              <w:t>$</w:t>
            </w:r>
          </w:p>
        </w:tc>
        <w:tc>
          <w:tcPr>
            <w:tcW w:w="820" w:type="dxa"/>
            <w:vAlign w:val="bottom"/>
          </w:tcPr>
          <w:p>
            <w:pPr>
              <w:jc w:val="right"/>
              <w:spacing w:after="0" w:line="174" w:lineRule="exact"/>
              <w:rPr>
                <w:sz w:val="20"/>
                <w:szCs w:val="20"/>
                <w:color w:val="auto"/>
              </w:rPr>
            </w:pPr>
            <w:r>
              <w:rPr>
                <w:rFonts w:ascii="Calibri" w:cs="Calibri" w:eastAsia="Calibri" w:hAnsi="Calibri"/>
                <w:sz w:val="15"/>
                <w:szCs w:val="15"/>
                <w:color w:val="auto"/>
              </w:rPr>
              <w:t>703,662</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gridSpan w:val="3"/>
          </w:tcPr>
          <w:p>
            <w:pPr>
              <w:jc w:val="right"/>
              <w:spacing w:after="0" w:line="174" w:lineRule="exact"/>
              <w:rPr>
                <w:sz w:val="20"/>
                <w:szCs w:val="20"/>
                <w:color w:val="auto"/>
              </w:rPr>
            </w:pPr>
            <w:r>
              <w:rPr>
                <w:rFonts w:ascii="Calibri" w:cs="Calibri" w:eastAsia="Calibri" w:hAnsi="Calibri"/>
                <w:sz w:val="15"/>
                <w:szCs w:val="15"/>
                <w:color w:val="auto"/>
              </w:rPr>
              <w:t>74 %</w:t>
            </w:r>
          </w:p>
        </w:tc>
        <w:tc>
          <w:tcPr>
            <w:tcW w:w="0" w:type="dxa"/>
            <w:vAlign w:val="bottom"/>
          </w:tcPr>
          <w:p>
            <w:pPr>
              <w:spacing w:after="0"/>
              <w:rPr>
                <w:sz w:val="1"/>
                <w:szCs w:val="1"/>
                <w:color w:val="auto"/>
              </w:rPr>
            </w:pPr>
          </w:p>
        </w:tc>
      </w:tr>
      <w:tr>
        <w:trPr>
          <w:trHeight w:val="24"/>
        </w:trPr>
        <w:tc>
          <w:tcPr>
            <w:tcW w:w="5220" w:type="dxa"/>
            <w:vAlign w:val="bottom"/>
            <w:vMerge w:val="restart"/>
          </w:tcPr>
          <w:p>
            <w:pPr>
              <w:spacing w:after="0"/>
              <w:rPr>
                <w:sz w:val="20"/>
                <w:szCs w:val="20"/>
                <w:color w:val="auto"/>
              </w:rPr>
            </w:pPr>
            <w:r>
              <w:rPr>
                <w:rFonts w:ascii="Calibri" w:cs="Calibri" w:eastAsia="Calibri" w:hAnsi="Calibri"/>
                <w:sz w:val="15"/>
                <w:szCs w:val="15"/>
                <w:b w:val="1"/>
                <w:bCs w:val="1"/>
                <w:color w:val="auto"/>
              </w:rPr>
              <w:t>Percentage of segment revenue:</w:t>
            </w: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2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2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
        </w:trPr>
        <w:tc>
          <w:tcPr>
            <w:tcW w:w="5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522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5"/>
                <w:szCs w:val="15"/>
                <w:color w:val="auto"/>
              </w:rPr>
              <w:t>U.S. Marketplace</w:t>
            </w:r>
          </w:p>
        </w:tc>
        <w:tc>
          <w:tcPr>
            <w:tcW w:w="240" w:type="dxa"/>
            <w:vAlign w:val="bottom"/>
            <w:tcBorders>
              <w:bottom w:val="single" w:sz="8" w:color="CFF0FC"/>
            </w:tcBorders>
            <w:shd w:val="clear" w:color="auto" w:fill="CFF0FC"/>
          </w:tcPr>
          <w:p>
            <w:pPr>
              <w:spacing w:after="0"/>
              <w:rPr>
                <w:sz w:val="16"/>
                <w:szCs w:val="16"/>
                <w:color w:val="auto"/>
              </w:rPr>
            </w:pPr>
          </w:p>
        </w:tc>
        <w:tc>
          <w:tcPr>
            <w:tcW w:w="104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Calibri" w:cs="Calibri" w:eastAsia="Calibri" w:hAnsi="Calibri"/>
                <w:sz w:val="15"/>
                <w:szCs w:val="15"/>
                <w:color w:val="auto"/>
              </w:rPr>
              <w:t>37 %</w:t>
            </w:r>
          </w:p>
        </w:tc>
        <w:tc>
          <w:tcPr>
            <w:tcW w:w="240" w:type="dxa"/>
            <w:vAlign w:val="bottom"/>
            <w:tcBorders>
              <w:bottom w:val="single" w:sz="8" w:color="CFF0FC"/>
            </w:tcBorders>
            <w:shd w:val="clear" w:color="auto" w:fill="CFF0FC"/>
          </w:tcPr>
          <w:p>
            <w:pPr>
              <w:spacing w:after="0"/>
              <w:rPr>
                <w:sz w:val="16"/>
                <w:szCs w:val="16"/>
                <w:color w:val="auto"/>
              </w:rPr>
            </w:pPr>
          </w:p>
        </w:tc>
        <w:tc>
          <w:tcPr>
            <w:tcW w:w="104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Calibri" w:cs="Calibri" w:eastAsia="Calibri" w:hAnsi="Calibri"/>
                <w:sz w:val="15"/>
                <w:szCs w:val="15"/>
                <w:color w:val="auto"/>
              </w:rPr>
              <w:t>62 %</w:t>
            </w:r>
          </w:p>
        </w:tc>
        <w:tc>
          <w:tcPr>
            <w:tcW w:w="200" w:type="dxa"/>
            <w:vAlign w:val="bottom"/>
            <w:tcBorders>
              <w:bottom w:val="single" w:sz="8" w:color="CFF0FC"/>
            </w:tcBorders>
            <w:shd w:val="clear" w:color="auto" w:fill="CFF0FC"/>
          </w:tcPr>
          <w:p>
            <w:pPr>
              <w:spacing w:after="0"/>
              <w:rPr>
                <w:sz w:val="16"/>
                <w:szCs w:val="16"/>
                <w:color w:val="auto"/>
              </w:rPr>
            </w:pPr>
          </w:p>
        </w:tc>
        <w:tc>
          <w:tcPr>
            <w:tcW w:w="82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CFF0FC"/>
            </w:tcBorders>
            <w:shd w:val="clear" w:color="auto" w:fill="CFF0FC"/>
          </w:tcPr>
          <w:p>
            <w:pPr>
              <w:spacing w:after="0"/>
              <w:rPr>
                <w:sz w:val="16"/>
                <w:szCs w:val="16"/>
                <w:color w:val="auto"/>
              </w:rPr>
            </w:pPr>
          </w:p>
        </w:tc>
        <w:tc>
          <w:tcPr>
            <w:tcW w:w="7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220" w:type="dxa"/>
            <w:vAlign w:val="bottom"/>
          </w:tcPr>
          <w:p>
            <w:pPr>
              <w:spacing w:after="0"/>
              <w:rPr>
                <w:sz w:val="20"/>
                <w:szCs w:val="20"/>
                <w:color w:val="auto"/>
              </w:rPr>
            </w:pPr>
            <w:r>
              <w:rPr>
                <w:rFonts w:ascii="Calibri" w:cs="Calibri" w:eastAsia="Calibri" w:hAnsi="Calibri"/>
                <w:sz w:val="15"/>
                <w:szCs w:val="15"/>
                <w:color w:val="auto"/>
              </w:rPr>
              <w:t>Digital Wholesale</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alibri" w:cs="Calibri" w:eastAsia="Calibri" w:hAnsi="Calibri"/>
                <w:sz w:val="15"/>
                <w:szCs w:val="15"/>
                <w:color w:val="auto"/>
              </w:rPr>
              <w:t>60</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alibri" w:cs="Calibri" w:eastAsia="Calibri" w:hAnsi="Calibri"/>
                <w:sz w:val="15"/>
                <w:szCs w:val="15"/>
                <w:color w:val="auto"/>
              </w:rPr>
              <w:t>33</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522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5"/>
                <w:szCs w:val="15"/>
                <w:color w:val="auto"/>
              </w:rPr>
              <w:t>Other</w:t>
            </w:r>
          </w:p>
        </w:tc>
        <w:tc>
          <w:tcPr>
            <w:tcW w:w="24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3</w:t>
            </w:r>
          </w:p>
        </w:tc>
        <w:tc>
          <w:tcPr>
            <w:tcW w:w="24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4</w:t>
            </w:r>
          </w:p>
        </w:tc>
        <w:tc>
          <w:tcPr>
            <w:tcW w:w="24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82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CFF0FC"/>
            </w:tcBorders>
            <w:shd w:val="clear" w:color="auto" w:fill="CFF0FC"/>
          </w:tcPr>
          <w:p>
            <w:pPr>
              <w:spacing w:after="0"/>
              <w:rPr>
                <w:sz w:val="16"/>
                <w:szCs w:val="16"/>
                <w:color w:val="auto"/>
              </w:rPr>
            </w:pPr>
          </w:p>
        </w:tc>
        <w:tc>
          <w:tcPr>
            <w:tcW w:w="7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220" w:type="dxa"/>
            <w:vAlign w:val="bottom"/>
          </w:tcPr>
          <w:p>
            <w:pPr>
              <w:ind w:left="160"/>
              <w:spacing w:after="0" w:line="174" w:lineRule="exact"/>
              <w:rPr>
                <w:sz w:val="20"/>
                <w:szCs w:val="20"/>
                <w:color w:val="auto"/>
              </w:rPr>
            </w:pPr>
            <w:r>
              <w:rPr>
                <w:rFonts w:ascii="Calibri" w:cs="Calibri" w:eastAsia="Calibri" w:hAnsi="Calibri"/>
                <w:sz w:val="15"/>
                <w:szCs w:val="15"/>
                <w:color w:val="auto"/>
              </w:rPr>
              <w:t>Total</w:t>
            </w:r>
          </w:p>
        </w:tc>
        <w:tc>
          <w:tcPr>
            <w:tcW w:w="240" w:type="dxa"/>
            <w:vAlign w:val="bottom"/>
          </w:tcPr>
          <w:p>
            <w:pPr>
              <w:spacing w:after="0"/>
              <w:rPr>
                <w:sz w:val="15"/>
                <w:szCs w:val="15"/>
                <w:color w:val="auto"/>
              </w:rPr>
            </w:pPr>
          </w:p>
        </w:tc>
        <w:tc>
          <w:tcPr>
            <w:tcW w:w="1040" w:type="dxa"/>
            <w:vAlign w:val="bottom"/>
            <w:gridSpan w:val="2"/>
          </w:tcPr>
          <w:p>
            <w:pPr>
              <w:jc w:val="right"/>
              <w:ind w:right="120"/>
              <w:spacing w:after="0" w:line="174" w:lineRule="exact"/>
              <w:rPr>
                <w:sz w:val="20"/>
                <w:szCs w:val="20"/>
                <w:color w:val="auto"/>
              </w:rPr>
            </w:pPr>
            <w:r>
              <w:rPr>
                <w:rFonts w:ascii="Calibri" w:cs="Calibri" w:eastAsia="Calibri" w:hAnsi="Calibri"/>
                <w:sz w:val="15"/>
                <w:szCs w:val="15"/>
                <w:color w:val="auto"/>
              </w:rPr>
              <w:t>100 %</w:t>
            </w:r>
          </w:p>
        </w:tc>
        <w:tc>
          <w:tcPr>
            <w:tcW w:w="240" w:type="dxa"/>
            <w:vAlign w:val="bottom"/>
          </w:tcPr>
          <w:p>
            <w:pPr>
              <w:spacing w:after="0"/>
              <w:rPr>
                <w:sz w:val="15"/>
                <w:szCs w:val="15"/>
                <w:color w:val="auto"/>
              </w:rPr>
            </w:pPr>
          </w:p>
        </w:tc>
        <w:tc>
          <w:tcPr>
            <w:tcW w:w="1040" w:type="dxa"/>
            <w:vAlign w:val="bottom"/>
            <w:gridSpan w:val="2"/>
          </w:tcPr>
          <w:p>
            <w:pPr>
              <w:jc w:val="right"/>
              <w:ind w:right="120"/>
              <w:spacing w:after="0" w:line="174" w:lineRule="exact"/>
              <w:rPr>
                <w:sz w:val="20"/>
                <w:szCs w:val="20"/>
                <w:color w:val="auto"/>
              </w:rPr>
            </w:pPr>
            <w:r>
              <w:rPr>
                <w:rFonts w:ascii="Calibri" w:cs="Calibri" w:eastAsia="Calibri" w:hAnsi="Calibri"/>
                <w:sz w:val="15"/>
                <w:szCs w:val="15"/>
                <w:color w:val="auto"/>
              </w:rPr>
              <w:t>100 %</w:t>
            </w: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-839470</wp:posOffset>
            </wp:positionV>
            <wp:extent cx="6436360" cy="15367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436360" cy="153670"/>
                    </a:xfrm>
                    <a:prstGeom prst="rect">
                      <a:avLst/>
                    </a:prstGeom>
                    <a:noFill/>
                  </pic:spPr>
                </pic:pic>
              </a:graphicData>
            </a:graphic>
          </wp:anchor>
        </w:drawing>
        <w:drawing>
          <wp:anchor simplePos="0" relativeHeight="251657728" behindDoc="1" locked="0" layoutInCell="0" allowOverlap="1">
            <wp:simplePos x="0" y="0"/>
            <wp:positionH relativeFrom="column">
              <wp:posOffset>4327525</wp:posOffset>
            </wp:positionH>
            <wp:positionV relativeFrom="paragraph">
              <wp:posOffset>-160020</wp:posOffset>
            </wp:positionV>
            <wp:extent cx="66040" cy="76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5138420</wp:posOffset>
            </wp:positionH>
            <wp:positionV relativeFrom="paragraph">
              <wp:posOffset>-160020</wp:posOffset>
            </wp:positionV>
            <wp:extent cx="66040" cy="7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6040" cy="7620"/>
                    </a:xfrm>
                    <a:prstGeom prst="rect">
                      <a:avLst/>
                    </a:prstGeom>
                    <a:noFill/>
                  </pic:spPr>
                </pic:pic>
              </a:graphicData>
            </a:graphic>
          </wp:anchor>
        </w:drawing>
      </w:r>
    </w:p>
    <w:p>
      <w:pPr>
        <w:spacing w:after="0" w:line="146"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U.S. Marketplace segment revenue increased $19.5 million, or 3%, in the year ended December 31, 2022 compared to the year ended December 31, 2021 and represented 37% of segment revenue for the year ended December 31, 2022 and 62% of segment revenue for the year ended December 31, 2021. The increase was due primarily to a $28.6 million increase in Listngs revenue, as a result of 4% growth in U.S. QARSD for paying dealers to $5,842 at December 31, 2022 from $5,633 at December 31, 2021. The increase in U.S. QARSD was due primarily to signing on new dealers with higher average monthly recurring revenue and revenue expansion through product upgrades for existng dealers. The increase in U.S. Marketplace segment revenue was ofset in part by a $9.7 million decrease in advertsing revenue as a result of economic conditons and lower spend by our advertsers.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Digital Wholesale segment revenue increased $681.8 million, or 217%, in the year ended December 31, 2022 compared to the year ended December 31, 2021 and represented 60% of segment revenue for the year ended December 31, 2022 and 33% of segment revenue for the year ended December 31, 2021. Wholesale revenue increased $42.5 million in the year ended December 31, 2022 compared to the year ended December 31, 2021. The increase in wholesale revenue was due primarily to a 21% increase in Transactons to 190,594 for the year ended December 31, 2022 from 157,062 for the year ended December 31, 2021. The increase in Transactons resulted in an increase in transacton fee revenue as well as an increase in transportaton revenue, inspecton revenue, and guarantee revenue. Fee increases also contributed to the increase in transportaton revenue. Product revenue increased $639.3 million in the year ended December 31, 2022 compared to the year ended December 31, 2021, due primarily to an increase in proceeds received from the sale of vehicles through IMCO transactons, including vehicle sale price and transacton fees, as a result of the IMCO ofering becoming available to approximately 93% of the U.S. populaton. The increase in product revenue was also due in part to an increase in proceeds received from the sale of vehicles acquired through arbitraton, including vehicle sale price and transacton fees, as a result of increased arbitraton claims due primarily to increased volume.</w:t>
      </w:r>
    </w:p>
    <w:p>
      <w:pPr>
        <w:spacing w:after="0" w:line="186" w:lineRule="exact"/>
        <w:rPr>
          <w:sz w:val="20"/>
          <w:szCs w:val="20"/>
          <w:color w:val="auto"/>
        </w:rPr>
      </w:pPr>
    </w:p>
    <w:p>
      <w:pPr>
        <w:jc w:val="center"/>
        <w:spacing w:after="0"/>
        <w:rPr>
          <w:sz w:val="20"/>
          <w:szCs w:val="20"/>
          <w:color w:val="auto"/>
        </w:rPr>
      </w:pPr>
      <w:r>
        <w:rPr>
          <w:rFonts w:ascii="Calibri" w:cs="Calibri" w:eastAsia="Calibri" w:hAnsi="Calibri"/>
          <w:sz w:val="15"/>
          <w:szCs w:val="15"/>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408940</wp:posOffset>
            </wp:positionV>
            <wp:extent cx="7178040" cy="400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3" w:right="319" w:bottom="1440" w:gutter="0" w:footer="0" w:header="0"/>
        </w:sectPr>
      </w:pPr>
    </w:p>
    <w:bookmarkStart w:id="67" w:name="page68"/>
    <w:bookmarkEnd w:id="67"/>
    <w:p>
      <w:pPr>
        <w:spacing w:after="0"/>
        <w:rPr>
          <w:sz w:val="20"/>
          <w:szCs w:val="20"/>
          <w:color w:val="auto"/>
        </w:rPr>
      </w:pPr>
      <w:r>
        <w:rPr>
          <w:rFonts w:ascii="Calibri" w:cs="Calibri" w:eastAsia="Calibri" w:hAnsi="Calibri"/>
          <w:sz w:val="15"/>
          <w:szCs w:val="15"/>
          <w:b w:val="1"/>
          <w:bCs w:val="1"/>
          <w:i w:val="1"/>
          <w:iCs w:val="1"/>
          <w:color w:val="auto"/>
        </w:rPr>
        <w:t>Segment Income (loss) from Operatons</w:t>
      </w:r>
    </w:p>
    <w:p>
      <w:pPr>
        <w:spacing w:after="0" w:line="202" w:lineRule="exact"/>
        <w:rPr>
          <w:sz w:val="20"/>
          <w:szCs w:val="20"/>
          <w:color w:val="auto"/>
        </w:rPr>
      </w:pPr>
    </w:p>
    <w:tbl>
      <w:tblPr>
        <w:tblLayout w:type="fixed"/>
        <w:tblInd w:w="560" w:type="dxa"/>
        <w:tblCellMar>
          <w:top w:w="0" w:type="dxa"/>
          <w:left w:w="0" w:type="dxa"/>
          <w:bottom w:w="0" w:type="dxa"/>
          <w:right w:w="0" w:type="dxa"/>
        </w:tblCellMar>
      </w:tblPr>
      <w:tr>
        <w:trPr>
          <w:trHeight w:val="146"/>
        </w:trPr>
        <w:tc>
          <w:tcPr>
            <w:tcW w:w="5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20" w:type="dxa"/>
            <w:vAlign w:val="bottom"/>
            <w:gridSpan w:val="5"/>
          </w:tcPr>
          <w:p>
            <w:pPr>
              <w:jc w:val="right"/>
              <w:ind w:right="760"/>
              <w:spacing w:after="0"/>
              <w:rPr>
                <w:sz w:val="20"/>
                <w:szCs w:val="20"/>
                <w:color w:val="auto"/>
              </w:rPr>
            </w:pPr>
            <w:r>
              <w:rPr>
                <w:rFonts w:ascii="Calibri" w:cs="Calibri" w:eastAsia="Calibri" w:hAnsi="Calibri"/>
                <w:sz w:val="12"/>
                <w:szCs w:val="12"/>
                <w:b w:val="1"/>
                <w:bCs w:val="1"/>
                <w:color w:val="auto"/>
              </w:rPr>
              <w:t>Year Ended December 31,</w:t>
            </w:r>
          </w:p>
        </w:tc>
        <w:tc>
          <w:tcPr>
            <w:tcW w:w="180" w:type="dxa"/>
            <w:vAlign w:val="bottom"/>
          </w:tcPr>
          <w:p>
            <w:pPr>
              <w:spacing w:after="0"/>
              <w:rPr>
                <w:sz w:val="12"/>
                <w:szCs w:val="12"/>
                <w:color w:val="auto"/>
              </w:rPr>
            </w:pPr>
          </w:p>
        </w:tc>
        <w:tc>
          <w:tcPr>
            <w:tcW w:w="1320" w:type="dxa"/>
            <w:vAlign w:val="bottom"/>
            <w:gridSpan w:val="3"/>
          </w:tcPr>
          <w:p>
            <w:pPr>
              <w:ind w:left="760"/>
              <w:spacing w:after="0"/>
              <w:rPr>
                <w:sz w:val="20"/>
                <w:szCs w:val="20"/>
                <w:color w:val="auto"/>
              </w:rPr>
            </w:pPr>
            <w:r>
              <w:rPr>
                <w:rFonts w:ascii="Calibri" w:cs="Calibri" w:eastAsia="Calibri" w:hAnsi="Calibri"/>
                <w:sz w:val="12"/>
                <w:szCs w:val="12"/>
                <w:b w:val="1"/>
                <w:bCs w:val="1"/>
                <w:color w:val="auto"/>
              </w:rPr>
              <w:t>Change</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5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5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jc w:val="right"/>
              <w:ind w:right="326"/>
              <w:spacing w:after="0" w:line="138" w:lineRule="exact"/>
              <w:rPr>
                <w:sz w:val="20"/>
                <w:szCs w:val="20"/>
                <w:color w:val="auto"/>
              </w:rPr>
            </w:pPr>
            <w:r>
              <w:rPr>
                <w:rFonts w:ascii="Calibri" w:cs="Calibri" w:eastAsia="Calibri" w:hAnsi="Calibri"/>
                <w:sz w:val="12"/>
                <w:szCs w:val="12"/>
                <w:b w:val="1"/>
                <w:bCs w:val="1"/>
                <w:color w:val="auto"/>
              </w:rPr>
              <w:t>2022</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jc w:val="right"/>
              <w:ind w:right="326"/>
              <w:spacing w:after="0" w:line="138" w:lineRule="exact"/>
              <w:rPr>
                <w:sz w:val="20"/>
                <w:szCs w:val="20"/>
                <w:color w:val="auto"/>
              </w:rPr>
            </w:pPr>
            <w:r>
              <w:rPr>
                <w:rFonts w:ascii="Calibri" w:cs="Calibri" w:eastAsia="Calibri" w:hAnsi="Calibri"/>
                <w:sz w:val="12"/>
                <w:szCs w:val="12"/>
                <w:b w:val="1"/>
                <w:bCs w:val="1"/>
                <w:color w:val="auto"/>
              </w:rPr>
              <w:t>2021</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3"/>
          </w:tcPr>
          <w:p>
            <w:pPr>
              <w:ind w:left="120"/>
              <w:spacing w:after="0" w:line="138" w:lineRule="exact"/>
              <w:rPr>
                <w:sz w:val="20"/>
                <w:szCs w:val="20"/>
                <w:color w:val="auto"/>
              </w:rPr>
            </w:pPr>
            <w:r>
              <w:rPr>
                <w:rFonts w:ascii="Calibri" w:cs="Calibri" w:eastAsia="Calibri" w:hAnsi="Calibri"/>
                <w:sz w:val="12"/>
                <w:szCs w:val="12"/>
                <w:b w:val="1"/>
                <w:bCs w:val="1"/>
                <w:color w:val="auto"/>
              </w:rPr>
              <w:t>Amount</w:t>
            </w:r>
          </w:p>
        </w:tc>
        <w:tc>
          <w:tcPr>
            <w:tcW w:w="760" w:type="dxa"/>
            <w:vAlign w:val="bottom"/>
          </w:tcPr>
          <w:p>
            <w:pPr>
              <w:jc w:val="right"/>
              <w:ind w:right="426"/>
              <w:spacing w:after="0" w:line="138" w:lineRule="exact"/>
              <w:rPr>
                <w:sz w:val="20"/>
                <w:szCs w:val="20"/>
                <w:color w:val="auto"/>
              </w:rPr>
            </w:pPr>
            <w:r>
              <w:rPr>
                <w:rFonts w:ascii="Calibri" w:cs="Calibri" w:eastAsia="Calibri" w:hAnsi="Calibri"/>
                <w:sz w:val="12"/>
                <w:szCs w:val="12"/>
                <w:b w:val="1"/>
                <w:bCs w:val="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5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40" w:type="dxa"/>
            <w:vAlign w:val="bottom"/>
            <w:gridSpan w:val="6"/>
          </w:tcPr>
          <w:p>
            <w:pPr>
              <w:ind w:left="340"/>
              <w:spacing w:after="0" w:line="138" w:lineRule="exact"/>
              <w:rPr>
                <w:sz w:val="20"/>
                <w:szCs w:val="20"/>
                <w:color w:val="auto"/>
              </w:rPr>
            </w:pPr>
            <w:r>
              <w:rPr>
                <w:rFonts w:ascii="Calibri" w:cs="Calibri" w:eastAsia="Calibri" w:hAnsi="Calibri"/>
                <w:sz w:val="12"/>
                <w:szCs w:val="12"/>
                <w:b w:val="1"/>
                <w:bCs w:val="1"/>
                <w:color w:val="auto"/>
              </w:rPr>
              <w:t>(dollars in thousands)</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522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5"/>
                <w:szCs w:val="15"/>
                <w:b w:val="1"/>
                <w:bCs w:val="1"/>
                <w:color w:val="auto"/>
              </w:rPr>
              <w:t>Segment Income (Loss) from Operatons:</w:t>
            </w:r>
          </w:p>
        </w:tc>
        <w:tc>
          <w:tcPr>
            <w:tcW w:w="24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82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CFF0FC"/>
            </w:tcBorders>
            <w:shd w:val="clear" w:color="auto" w:fill="CFF0FC"/>
          </w:tcPr>
          <w:p>
            <w:pPr>
              <w:spacing w:after="0"/>
              <w:rPr>
                <w:sz w:val="16"/>
                <w:szCs w:val="16"/>
                <w:color w:val="auto"/>
              </w:rPr>
            </w:pPr>
          </w:p>
        </w:tc>
        <w:tc>
          <w:tcPr>
            <w:tcW w:w="7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220" w:type="dxa"/>
            <w:vAlign w:val="bottom"/>
          </w:tcPr>
          <w:p>
            <w:pPr>
              <w:spacing w:after="0"/>
              <w:rPr>
                <w:sz w:val="20"/>
                <w:szCs w:val="20"/>
                <w:color w:val="auto"/>
              </w:rPr>
            </w:pPr>
            <w:r>
              <w:rPr>
                <w:rFonts w:ascii="Calibri" w:cs="Calibri" w:eastAsia="Calibri" w:hAnsi="Calibri"/>
                <w:sz w:val="15"/>
                <w:szCs w:val="15"/>
                <w:color w:val="auto"/>
              </w:rPr>
              <w:t>U.S. Marketplace</w:t>
            </w:r>
          </w:p>
        </w:tc>
        <w:tc>
          <w:tcPr>
            <w:tcW w:w="240" w:type="dxa"/>
            <w:vAlign w:val="bottom"/>
          </w:tcPr>
          <w:p>
            <w:pPr>
              <w:jc w:val="right"/>
              <w:ind w:right="83"/>
              <w:spacing w:after="0"/>
              <w:rPr>
                <w:sz w:val="20"/>
                <w:szCs w:val="20"/>
                <w:color w:val="auto"/>
              </w:rPr>
            </w:pPr>
            <w:r>
              <w:rPr>
                <w:rFonts w:ascii="Calibri" w:cs="Calibri" w:eastAsia="Calibri" w:hAnsi="Calibri"/>
                <w:sz w:val="15"/>
                <w:szCs w:val="15"/>
                <w:color w:val="auto"/>
                <w:w w:val="78"/>
              </w:rPr>
              <w:t>$</w:t>
            </w:r>
          </w:p>
        </w:tc>
        <w:tc>
          <w:tcPr>
            <w:tcW w:w="800" w:type="dxa"/>
            <w:vAlign w:val="bottom"/>
          </w:tcPr>
          <w:p>
            <w:pPr>
              <w:jc w:val="right"/>
              <w:spacing w:after="0"/>
              <w:rPr>
                <w:sz w:val="20"/>
                <w:szCs w:val="20"/>
                <w:color w:val="auto"/>
              </w:rPr>
            </w:pPr>
            <w:r>
              <w:rPr>
                <w:rFonts w:ascii="Calibri" w:cs="Calibri" w:eastAsia="Calibri" w:hAnsi="Calibri"/>
                <w:sz w:val="15"/>
                <w:szCs w:val="15"/>
                <w:color w:val="auto"/>
              </w:rPr>
              <w:t>128,455</w:t>
            </w:r>
          </w:p>
        </w:tc>
        <w:tc>
          <w:tcPr>
            <w:tcW w:w="240" w:type="dxa"/>
            <w:vAlign w:val="bottom"/>
          </w:tcPr>
          <w:p>
            <w:pPr>
              <w:spacing w:after="0"/>
              <w:rPr>
                <w:sz w:val="15"/>
                <w:szCs w:val="15"/>
                <w:color w:val="auto"/>
              </w:rPr>
            </w:pPr>
          </w:p>
        </w:tc>
        <w:tc>
          <w:tcPr>
            <w:tcW w:w="240" w:type="dxa"/>
            <w:vAlign w:val="bottom"/>
          </w:tcPr>
          <w:p>
            <w:pPr>
              <w:jc w:val="right"/>
              <w:ind w:right="83"/>
              <w:spacing w:after="0"/>
              <w:rPr>
                <w:sz w:val="20"/>
                <w:szCs w:val="20"/>
                <w:color w:val="auto"/>
              </w:rPr>
            </w:pPr>
            <w:r>
              <w:rPr>
                <w:rFonts w:ascii="Calibri" w:cs="Calibri" w:eastAsia="Calibri" w:hAnsi="Calibri"/>
                <w:sz w:val="15"/>
                <w:szCs w:val="15"/>
                <w:color w:val="auto"/>
                <w:w w:val="78"/>
              </w:rPr>
              <w:t>$</w:t>
            </w:r>
          </w:p>
        </w:tc>
        <w:tc>
          <w:tcPr>
            <w:tcW w:w="800" w:type="dxa"/>
            <w:vAlign w:val="bottom"/>
          </w:tcPr>
          <w:p>
            <w:pPr>
              <w:jc w:val="right"/>
              <w:spacing w:after="0"/>
              <w:rPr>
                <w:sz w:val="20"/>
                <w:szCs w:val="20"/>
                <w:color w:val="auto"/>
              </w:rPr>
            </w:pPr>
            <w:r>
              <w:rPr>
                <w:rFonts w:ascii="Calibri" w:cs="Calibri" w:eastAsia="Calibri" w:hAnsi="Calibri"/>
                <w:sz w:val="15"/>
                <w:szCs w:val="15"/>
                <w:color w:val="auto"/>
              </w:rPr>
              <w:t>152,006</w:t>
            </w:r>
          </w:p>
        </w:tc>
        <w:tc>
          <w:tcPr>
            <w:tcW w:w="240" w:type="dxa"/>
            <w:vAlign w:val="bottom"/>
          </w:tcPr>
          <w:p>
            <w:pPr>
              <w:spacing w:after="0"/>
              <w:rPr>
                <w:sz w:val="15"/>
                <w:szCs w:val="15"/>
                <w:color w:val="auto"/>
              </w:rPr>
            </w:pPr>
          </w:p>
        </w:tc>
        <w:tc>
          <w:tcPr>
            <w:tcW w:w="180" w:type="dxa"/>
            <w:vAlign w:val="bottom"/>
          </w:tcPr>
          <w:p>
            <w:pPr>
              <w:jc w:val="right"/>
              <w:ind w:right="23"/>
              <w:spacing w:after="0"/>
              <w:rPr>
                <w:sz w:val="20"/>
                <w:szCs w:val="20"/>
                <w:color w:val="auto"/>
              </w:rPr>
            </w:pPr>
            <w:r>
              <w:rPr>
                <w:rFonts w:ascii="Calibri" w:cs="Calibri" w:eastAsia="Calibri" w:hAnsi="Calibri"/>
                <w:sz w:val="15"/>
                <w:szCs w:val="15"/>
                <w:color w:val="auto"/>
                <w:w w:val="78"/>
              </w:rPr>
              <w:t>$</w:t>
            </w:r>
          </w:p>
        </w:tc>
        <w:tc>
          <w:tcPr>
            <w:tcW w:w="102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(23,551 )</w:t>
            </w:r>
          </w:p>
        </w:tc>
        <w:tc>
          <w:tcPr>
            <w:tcW w:w="300" w:type="dxa"/>
            <w:vAlign w:val="bottom"/>
          </w:tcPr>
          <w:p>
            <w:pPr>
              <w:spacing w:after="0"/>
              <w:rPr>
                <w:sz w:val="15"/>
                <w:szCs w:val="15"/>
                <w:color w:val="auto"/>
              </w:rPr>
            </w:pPr>
          </w:p>
        </w:tc>
        <w:tc>
          <w:tcPr>
            <w:tcW w:w="920" w:type="dxa"/>
            <w:vAlign w:val="bottom"/>
            <w:gridSpan w:val="3"/>
          </w:tcPr>
          <w:p>
            <w:pPr>
              <w:jc w:val="right"/>
              <w:spacing w:after="0"/>
              <w:rPr>
                <w:sz w:val="20"/>
                <w:szCs w:val="20"/>
                <w:color w:val="auto"/>
              </w:rPr>
            </w:pPr>
            <w:r>
              <w:rPr>
                <w:rFonts w:ascii="Calibri" w:cs="Calibri" w:eastAsia="Calibri" w:hAnsi="Calibri"/>
                <w:sz w:val="15"/>
                <w:szCs w:val="15"/>
                <w:color w:val="auto"/>
              </w:rPr>
              <w:t>(15 )%</w:t>
            </w:r>
          </w:p>
        </w:tc>
        <w:tc>
          <w:tcPr>
            <w:tcW w:w="0" w:type="dxa"/>
            <w:vAlign w:val="bottom"/>
          </w:tcPr>
          <w:p>
            <w:pPr>
              <w:spacing w:after="0"/>
              <w:rPr>
                <w:sz w:val="1"/>
                <w:szCs w:val="1"/>
                <w:color w:val="auto"/>
              </w:rPr>
            </w:pPr>
          </w:p>
        </w:tc>
      </w:tr>
      <w:tr>
        <w:trPr>
          <w:trHeight w:val="24"/>
        </w:trPr>
        <w:tc>
          <w:tcPr>
            <w:tcW w:w="5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522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5"/>
                <w:szCs w:val="15"/>
                <w:color w:val="auto"/>
              </w:rPr>
              <w:t>Digital Wholesale</w:t>
            </w:r>
          </w:p>
        </w:tc>
        <w:tc>
          <w:tcPr>
            <w:tcW w:w="240" w:type="dxa"/>
            <w:vAlign w:val="bottom"/>
            <w:tcBorders>
              <w:bottom w:val="single" w:sz="8" w:color="CFF0FC"/>
            </w:tcBorders>
            <w:shd w:val="clear" w:color="auto" w:fill="CFF0FC"/>
          </w:tcPr>
          <w:p>
            <w:pPr>
              <w:spacing w:after="0"/>
              <w:rPr>
                <w:sz w:val="16"/>
                <w:szCs w:val="16"/>
                <w:color w:val="auto"/>
              </w:rPr>
            </w:pPr>
          </w:p>
        </w:tc>
        <w:tc>
          <w:tcPr>
            <w:tcW w:w="104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Calibri" w:cs="Calibri" w:eastAsia="Calibri" w:hAnsi="Calibri"/>
                <w:sz w:val="15"/>
                <w:szCs w:val="15"/>
                <w:color w:val="auto"/>
              </w:rPr>
              <w:t>(11,834 )</w:t>
            </w:r>
          </w:p>
        </w:tc>
        <w:tc>
          <w:tcPr>
            <w:tcW w:w="24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6,526</w:t>
            </w:r>
          </w:p>
        </w:tc>
        <w:tc>
          <w:tcPr>
            <w:tcW w:w="24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102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Calibri" w:cs="Calibri" w:eastAsia="Calibri" w:hAnsi="Calibri"/>
                <w:sz w:val="15"/>
                <w:szCs w:val="15"/>
                <w:color w:val="auto"/>
              </w:rPr>
              <w:t>(18,360 )</w:t>
            </w:r>
          </w:p>
        </w:tc>
        <w:tc>
          <w:tcPr>
            <w:tcW w:w="300" w:type="dxa"/>
            <w:vAlign w:val="bottom"/>
            <w:tcBorders>
              <w:bottom w:val="single" w:sz="8" w:color="CFF0FC"/>
            </w:tcBorders>
            <w:shd w:val="clear" w:color="auto" w:fill="CFF0FC"/>
          </w:tcPr>
          <w:p>
            <w:pPr>
              <w:spacing w:after="0"/>
              <w:rPr>
                <w:sz w:val="16"/>
                <w:szCs w:val="16"/>
                <w:color w:val="auto"/>
              </w:rPr>
            </w:pPr>
          </w:p>
        </w:tc>
        <w:tc>
          <w:tcPr>
            <w:tcW w:w="860" w:type="dxa"/>
            <w:vAlign w:val="bottom"/>
            <w:tcBorders>
              <w:bottom w:val="single" w:sz="8" w:color="CFF0FC"/>
            </w:tcBorders>
            <w:gridSpan w:val="2"/>
            <w:shd w:val="clear" w:color="auto" w:fill="CFF0FC"/>
          </w:tcPr>
          <w:p>
            <w:pPr>
              <w:jc w:val="right"/>
              <w:ind w:right="40"/>
              <w:spacing w:after="0"/>
              <w:rPr>
                <w:sz w:val="20"/>
                <w:szCs w:val="20"/>
                <w:color w:val="auto"/>
              </w:rPr>
            </w:pPr>
            <w:r>
              <w:rPr>
                <w:rFonts w:ascii="Calibri" w:cs="Calibri" w:eastAsia="Calibri" w:hAnsi="Calibri"/>
                <w:sz w:val="15"/>
                <w:szCs w:val="15"/>
                <w:color w:val="auto"/>
              </w:rPr>
              <w:t>(281 )</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220" w:type="dxa"/>
            <w:vAlign w:val="bottom"/>
          </w:tcPr>
          <w:p>
            <w:pPr>
              <w:spacing w:after="0"/>
              <w:rPr>
                <w:sz w:val="20"/>
                <w:szCs w:val="20"/>
                <w:color w:val="auto"/>
              </w:rPr>
            </w:pPr>
            <w:r>
              <w:rPr>
                <w:rFonts w:ascii="Calibri" w:cs="Calibri" w:eastAsia="Calibri" w:hAnsi="Calibri"/>
                <w:sz w:val="15"/>
                <w:szCs w:val="15"/>
                <w:color w:val="auto"/>
              </w:rPr>
              <w:t>Other</w:t>
            </w:r>
          </w:p>
        </w:tc>
        <w:tc>
          <w:tcPr>
            <w:tcW w:w="24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Calibri" w:cs="Calibri" w:eastAsia="Calibri" w:hAnsi="Calibri"/>
                <w:sz w:val="15"/>
                <w:szCs w:val="15"/>
                <w:color w:val="auto"/>
              </w:rPr>
              <w:t>(8,143 )</w:t>
            </w:r>
          </w:p>
        </w:tc>
        <w:tc>
          <w:tcPr>
            <w:tcW w:w="24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Calibri" w:cs="Calibri" w:eastAsia="Calibri" w:hAnsi="Calibri"/>
                <w:sz w:val="15"/>
                <w:szCs w:val="15"/>
                <w:color w:val="auto"/>
              </w:rPr>
              <w:t>(10,264 )</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alibri" w:cs="Calibri" w:eastAsia="Calibri" w:hAnsi="Calibri"/>
                <w:sz w:val="15"/>
                <w:szCs w:val="15"/>
                <w:color w:val="auto"/>
              </w:rPr>
              <w:t>2,121</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alibri" w:cs="Calibri" w:eastAsia="Calibri" w:hAnsi="Calibri"/>
                <w:sz w:val="15"/>
                <w:szCs w:val="15"/>
                <w:color w:val="auto"/>
              </w:rPr>
              <w:t>21</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220" w:type="dxa"/>
            <w:vAlign w:val="bottom"/>
            <w:vMerge w:val="restart"/>
          </w:tcPr>
          <w:p>
            <w:pPr>
              <w:ind w:left="160"/>
              <w:spacing w:after="0"/>
              <w:rPr>
                <w:sz w:val="20"/>
                <w:szCs w:val="20"/>
                <w:color w:val="auto"/>
              </w:rPr>
            </w:pPr>
            <w:r>
              <w:rPr>
                <w:rFonts w:ascii="Calibri" w:cs="Calibri" w:eastAsia="Calibri" w:hAnsi="Calibri"/>
                <w:sz w:val="15"/>
                <w:szCs w:val="15"/>
                <w:color w:val="auto"/>
              </w:rPr>
              <w:t>Total</w:t>
            </w: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5220" w:type="dxa"/>
            <w:vAlign w:val="bottom"/>
            <w:vMerge w:val="continue"/>
          </w:tcPr>
          <w:p>
            <w:pPr>
              <w:spacing w:after="0"/>
              <w:rPr>
                <w:sz w:val="15"/>
                <w:szCs w:val="15"/>
                <w:color w:val="auto"/>
              </w:rPr>
            </w:pPr>
          </w:p>
        </w:tc>
        <w:tc>
          <w:tcPr>
            <w:tcW w:w="240" w:type="dxa"/>
            <w:vAlign w:val="bottom"/>
          </w:tcPr>
          <w:p>
            <w:pPr>
              <w:jc w:val="right"/>
              <w:ind w:right="83"/>
              <w:spacing w:after="0" w:line="174" w:lineRule="exact"/>
              <w:rPr>
                <w:sz w:val="20"/>
                <w:szCs w:val="20"/>
                <w:color w:val="auto"/>
              </w:rPr>
            </w:pPr>
            <w:r>
              <w:rPr>
                <w:rFonts w:ascii="Calibri" w:cs="Calibri" w:eastAsia="Calibri" w:hAnsi="Calibri"/>
                <w:sz w:val="15"/>
                <w:szCs w:val="15"/>
                <w:color w:val="auto"/>
                <w:w w:val="78"/>
              </w:rPr>
              <w:t>$</w:t>
            </w:r>
          </w:p>
        </w:tc>
        <w:tc>
          <w:tcPr>
            <w:tcW w:w="800" w:type="dxa"/>
            <w:vAlign w:val="bottom"/>
          </w:tcPr>
          <w:p>
            <w:pPr>
              <w:jc w:val="right"/>
              <w:spacing w:after="0" w:line="174" w:lineRule="exact"/>
              <w:rPr>
                <w:sz w:val="20"/>
                <w:szCs w:val="20"/>
                <w:color w:val="auto"/>
              </w:rPr>
            </w:pPr>
            <w:r>
              <w:rPr>
                <w:rFonts w:ascii="Calibri" w:cs="Calibri" w:eastAsia="Calibri" w:hAnsi="Calibri"/>
                <w:sz w:val="15"/>
                <w:szCs w:val="15"/>
                <w:color w:val="auto"/>
              </w:rPr>
              <w:t>108,478</w:t>
            </w:r>
          </w:p>
        </w:tc>
        <w:tc>
          <w:tcPr>
            <w:tcW w:w="240" w:type="dxa"/>
            <w:vAlign w:val="bottom"/>
          </w:tcPr>
          <w:p>
            <w:pPr>
              <w:spacing w:after="0"/>
              <w:rPr>
                <w:sz w:val="15"/>
                <w:szCs w:val="15"/>
                <w:color w:val="auto"/>
              </w:rPr>
            </w:pPr>
          </w:p>
        </w:tc>
        <w:tc>
          <w:tcPr>
            <w:tcW w:w="240" w:type="dxa"/>
            <w:vAlign w:val="bottom"/>
          </w:tcPr>
          <w:p>
            <w:pPr>
              <w:jc w:val="right"/>
              <w:ind w:right="83"/>
              <w:spacing w:after="0" w:line="174" w:lineRule="exact"/>
              <w:rPr>
                <w:sz w:val="20"/>
                <w:szCs w:val="20"/>
                <w:color w:val="auto"/>
              </w:rPr>
            </w:pPr>
            <w:r>
              <w:rPr>
                <w:rFonts w:ascii="Calibri" w:cs="Calibri" w:eastAsia="Calibri" w:hAnsi="Calibri"/>
                <w:sz w:val="15"/>
                <w:szCs w:val="15"/>
                <w:color w:val="auto"/>
                <w:w w:val="78"/>
              </w:rPr>
              <w:t>$</w:t>
            </w:r>
          </w:p>
        </w:tc>
        <w:tc>
          <w:tcPr>
            <w:tcW w:w="800" w:type="dxa"/>
            <w:vAlign w:val="bottom"/>
          </w:tcPr>
          <w:p>
            <w:pPr>
              <w:jc w:val="right"/>
              <w:spacing w:after="0" w:line="174" w:lineRule="exact"/>
              <w:rPr>
                <w:sz w:val="20"/>
                <w:szCs w:val="20"/>
                <w:color w:val="auto"/>
              </w:rPr>
            </w:pPr>
            <w:r>
              <w:rPr>
                <w:rFonts w:ascii="Calibri" w:cs="Calibri" w:eastAsia="Calibri" w:hAnsi="Calibri"/>
                <w:sz w:val="15"/>
                <w:szCs w:val="15"/>
                <w:color w:val="auto"/>
              </w:rPr>
              <w:t>148,268</w:t>
            </w:r>
          </w:p>
        </w:tc>
        <w:tc>
          <w:tcPr>
            <w:tcW w:w="240" w:type="dxa"/>
            <w:vAlign w:val="bottom"/>
          </w:tcPr>
          <w:p>
            <w:pPr>
              <w:spacing w:after="0"/>
              <w:rPr>
                <w:sz w:val="15"/>
                <w:szCs w:val="15"/>
                <w:color w:val="auto"/>
              </w:rPr>
            </w:pPr>
          </w:p>
        </w:tc>
        <w:tc>
          <w:tcPr>
            <w:tcW w:w="180" w:type="dxa"/>
            <w:vAlign w:val="bottom"/>
          </w:tcPr>
          <w:p>
            <w:pPr>
              <w:jc w:val="right"/>
              <w:ind w:right="23"/>
              <w:spacing w:after="0" w:line="174" w:lineRule="exact"/>
              <w:rPr>
                <w:sz w:val="20"/>
                <w:szCs w:val="20"/>
                <w:color w:val="auto"/>
              </w:rPr>
            </w:pPr>
            <w:r>
              <w:rPr>
                <w:rFonts w:ascii="Calibri" w:cs="Calibri" w:eastAsia="Calibri" w:hAnsi="Calibri"/>
                <w:sz w:val="15"/>
                <w:szCs w:val="15"/>
                <w:color w:val="auto"/>
                <w:w w:val="78"/>
              </w:rPr>
              <w:t>$</w:t>
            </w:r>
          </w:p>
        </w:tc>
        <w:tc>
          <w:tcPr>
            <w:tcW w:w="1020" w:type="dxa"/>
            <w:vAlign w:val="bottom"/>
            <w:gridSpan w:val="2"/>
          </w:tcPr>
          <w:p>
            <w:pPr>
              <w:jc w:val="right"/>
              <w:ind w:right="140"/>
              <w:spacing w:after="0" w:line="174" w:lineRule="exact"/>
              <w:rPr>
                <w:sz w:val="20"/>
                <w:szCs w:val="20"/>
                <w:color w:val="auto"/>
              </w:rPr>
            </w:pPr>
            <w:r>
              <w:rPr>
                <w:rFonts w:ascii="Calibri" w:cs="Calibri" w:eastAsia="Calibri" w:hAnsi="Calibri"/>
                <w:sz w:val="15"/>
                <w:szCs w:val="15"/>
                <w:color w:val="auto"/>
              </w:rPr>
              <w:t>(39,790 )</w:t>
            </w:r>
          </w:p>
        </w:tc>
        <w:tc>
          <w:tcPr>
            <w:tcW w:w="300" w:type="dxa"/>
            <w:vAlign w:val="bottom"/>
          </w:tcPr>
          <w:p>
            <w:pPr>
              <w:spacing w:after="0"/>
              <w:rPr>
                <w:sz w:val="15"/>
                <w:szCs w:val="15"/>
                <w:color w:val="auto"/>
              </w:rPr>
            </w:pPr>
          </w:p>
        </w:tc>
        <w:tc>
          <w:tcPr>
            <w:tcW w:w="920" w:type="dxa"/>
            <w:vAlign w:val="bottom"/>
            <w:gridSpan w:val="3"/>
          </w:tcPr>
          <w:p>
            <w:pPr>
              <w:jc w:val="right"/>
              <w:spacing w:after="0" w:line="174" w:lineRule="exact"/>
              <w:rPr>
                <w:sz w:val="20"/>
                <w:szCs w:val="20"/>
                <w:color w:val="auto"/>
              </w:rPr>
            </w:pPr>
            <w:r>
              <w:rPr>
                <w:rFonts w:ascii="Calibri" w:cs="Calibri" w:eastAsia="Calibri" w:hAnsi="Calibri"/>
                <w:sz w:val="15"/>
                <w:szCs w:val="15"/>
                <w:color w:val="auto"/>
              </w:rPr>
              <w:t>(27 )%</w:t>
            </w:r>
          </w:p>
        </w:tc>
        <w:tc>
          <w:tcPr>
            <w:tcW w:w="0" w:type="dxa"/>
            <w:vAlign w:val="bottom"/>
          </w:tcPr>
          <w:p>
            <w:pPr>
              <w:spacing w:after="0"/>
              <w:rPr>
                <w:sz w:val="1"/>
                <w:szCs w:val="1"/>
                <w:color w:val="auto"/>
              </w:rPr>
            </w:pPr>
          </w:p>
        </w:tc>
      </w:tr>
      <w:tr>
        <w:trPr>
          <w:trHeight w:val="24"/>
        </w:trPr>
        <w:tc>
          <w:tcPr>
            <w:tcW w:w="5220" w:type="dxa"/>
            <w:vAlign w:val="bottom"/>
            <w:vMerge w:val="restart"/>
          </w:tcPr>
          <w:p>
            <w:pPr>
              <w:spacing w:after="0"/>
              <w:rPr>
                <w:sz w:val="20"/>
                <w:szCs w:val="20"/>
                <w:color w:val="auto"/>
              </w:rPr>
            </w:pPr>
            <w:r>
              <w:rPr>
                <w:rFonts w:ascii="Calibri" w:cs="Calibri" w:eastAsia="Calibri" w:hAnsi="Calibri"/>
                <w:sz w:val="15"/>
                <w:szCs w:val="15"/>
                <w:b w:val="1"/>
                <w:bCs w:val="1"/>
                <w:color w:val="auto"/>
              </w:rPr>
              <w:t>Percentage of segment revenue:</w:t>
            </w: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2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2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
        </w:trPr>
        <w:tc>
          <w:tcPr>
            <w:tcW w:w="5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522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5"/>
                <w:szCs w:val="15"/>
                <w:color w:val="auto"/>
              </w:rPr>
              <w:t>U.S. Marketplace</w:t>
            </w:r>
          </w:p>
        </w:tc>
        <w:tc>
          <w:tcPr>
            <w:tcW w:w="240" w:type="dxa"/>
            <w:vAlign w:val="bottom"/>
            <w:tcBorders>
              <w:bottom w:val="single" w:sz="8" w:color="CFF0FC"/>
            </w:tcBorders>
            <w:shd w:val="clear" w:color="auto" w:fill="CFF0FC"/>
          </w:tcPr>
          <w:p>
            <w:pPr>
              <w:spacing w:after="0"/>
              <w:rPr>
                <w:sz w:val="16"/>
                <w:szCs w:val="16"/>
                <w:color w:val="auto"/>
              </w:rPr>
            </w:pPr>
          </w:p>
        </w:tc>
        <w:tc>
          <w:tcPr>
            <w:tcW w:w="104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Calibri" w:cs="Calibri" w:eastAsia="Calibri" w:hAnsi="Calibri"/>
                <w:sz w:val="15"/>
                <w:szCs w:val="15"/>
                <w:color w:val="auto"/>
              </w:rPr>
              <w:t>21 %</w:t>
            </w:r>
          </w:p>
        </w:tc>
        <w:tc>
          <w:tcPr>
            <w:tcW w:w="240" w:type="dxa"/>
            <w:vAlign w:val="bottom"/>
            <w:tcBorders>
              <w:bottom w:val="single" w:sz="8" w:color="CFF0FC"/>
            </w:tcBorders>
            <w:shd w:val="clear" w:color="auto" w:fill="CFF0FC"/>
          </w:tcPr>
          <w:p>
            <w:pPr>
              <w:spacing w:after="0"/>
              <w:rPr>
                <w:sz w:val="16"/>
                <w:szCs w:val="16"/>
                <w:color w:val="auto"/>
              </w:rPr>
            </w:pPr>
          </w:p>
        </w:tc>
        <w:tc>
          <w:tcPr>
            <w:tcW w:w="104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Calibri" w:cs="Calibri" w:eastAsia="Calibri" w:hAnsi="Calibri"/>
                <w:sz w:val="15"/>
                <w:szCs w:val="15"/>
                <w:color w:val="auto"/>
              </w:rPr>
              <w:t>26 %</w:t>
            </w:r>
          </w:p>
        </w:tc>
        <w:tc>
          <w:tcPr>
            <w:tcW w:w="180" w:type="dxa"/>
            <w:vAlign w:val="bottom"/>
            <w:tcBorders>
              <w:bottom w:val="single" w:sz="8" w:color="CFF0FC"/>
            </w:tcBorders>
            <w:shd w:val="clear" w:color="auto" w:fill="CFF0FC"/>
          </w:tcPr>
          <w:p>
            <w:pPr>
              <w:spacing w:after="0"/>
              <w:rPr>
                <w:sz w:val="16"/>
                <w:szCs w:val="16"/>
                <w:color w:val="auto"/>
              </w:rPr>
            </w:pPr>
          </w:p>
        </w:tc>
        <w:tc>
          <w:tcPr>
            <w:tcW w:w="82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CFF0FC"/>
            </w:tcBorders>
            <w:shd w:val="clear" w:color="auto" w:fill="CFF0FC"/>
          </w:tcPr>
          <w:p>
            <w:pPr>
              <w:spacing w:after="0"/>
              <w:rPr>
                <w:sz w:val="16"/>
                <w:szCs w:val="16"/>
                <w:color w:val="auto"/>
              </w:rPr>
            </w:pPr>
          </w:p>
        </w:tc>
        <w:tc>
          <w:tcPr>
            <w:tcW w:w="7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220" w:type="dxa"/>
            <w:vAlign w:val="bottom"/>
          </w:tcPr>
          <w:p>
            <w:pPr>
              <w:spacing w:after="0"/>
              <w:rPr>
                <w:sz w:val="20"/>
                <w:szCs w:val="20"/>
                <w:color w:val="auto"/>
              </w:rPr>
            </w:pPr>
            <w:r>
              <w:rPr>
                <w:rFonts w:ascii="Calibri" w:cs="Calibri" w:eastAsia="Calibri" w:hAnsi="Calibri"/>
                <w:sz w:val="15"/>
                <w:szCs w:val="15"/>
                <w:color w:val="auto"/>
              </w:rPr>
              <w:t>Digital Wholesale</w:t>
            </w:r>
          </w:p>
        </w:tc>
        <w:tc>
          <w:tcPr>
            <w:tcW w:w="24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Calibri" w:cs="Calibri" w:eastAsia="Calibri" w:hAnsi="Calibri"/>
                <w:sz w:val="15"/>
                <w:szCs w:val="15"/>
                <w:color w:val="auto"/>
              </w:rPr>
              <w:t>(1 )</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alibri" w:cs="Calibri" w:eastAsia="Calibri" w:hAnsi="Calibri"/>
                <w:sz w:val="15"/>
                <w:szCs w:val="15"/>
                <w:color w:val="auto"/>
              </w:rPr>
              <w:t>2</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522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5"/>
                <w:szCs w:val="15"/>
                <w:color w:val="auto"/>
              </w:rPr>
              <w:t>Other</w:t>
            </w:r>
          </w:p>
        </w:tc>
        <w:tc>
          <w:tcPr>
            <w:tcW w:w="240" w:type="dxa"/>
            <w:vAlign w:val="bottom"/>
            <w:tcBorders>
              <w:bottom w:val="single" w:sz="8" w:color="CFF0FC"/>
            </w:tcBorders>
            <w:shd w:val="clear" w:color="auto" w:fill="CFF0FC"/>
          </w:tcPr>
          <w:p>
            <w:pPr>
              <w:spacing w:after="0"/>
              <w:rPr>
                <w:sz w:val="16"/>
                <w:szCs w:val="16"/>
                <w:color w:val="auto"/>
              </w:rPr>
            </w:pPr>
          </w:p>
        </w:tc>
        <w:tc>
          <w:tcPr>
            <w:tcW w:w="104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Calibri" w:cs="Calibri" w:eastAsia="Calibri" w:hAnsi="Calibri"/>
                <w:sz w:val="15"/>
                <w:szCs w:val="15"/>
                <w:color w:val="auto"/>
              </w:rPr>
              <w:t>(18 )</w:t>
            </w:r>
          </w:p>
        </w:tc>
        <w:tc>
          <w:tcPr>
            <w:tcW w:w="240" w:type="dxa"/>
            <w:vAlign w:val="bottom"/>
            <w:tcBorders>
              <w:bottom w:val="single" w:sz="8" w:color="CFF0FC"/>
            </w:tcBorders>
            <w:shd w:val="clear" w:color="auto" w:fill="CFF0FC"/>
          </w:tcPr>
          <w:p>
            <w:pPr>
              <w:spacing w:after="0"/>
              <w:rPr>
                <w:sz w:val="16"/>
                <w:szCs w:val="16"/>
                <w:color w:val="auto"/>
              </w:rPr>
            </w:pPr>
          </w:p>
        </w:tc>
        <w:tc>
          <w:tcPr>
            <w:tcW w:w="104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Calibri" w:cs="Calibri" w:eastAsia="Calibri" w:hAnsi="Calibri"/>
                <w:sz w:val="15"/>
                <w:szCs w:val="15"/>
                <w:color w:val="auto"/>
              </w:rPr>
              <w:t>(24 )</w:t>
            </w:r>
          </w:p>
        </w:tc>
        <w:tc>
          <w:tcPr>
            <w:tcW w:w="180" w:type="dxa"/>
            <w:vAlign w:val="bottom"/>
            <w:tcBorders>
              <w:bottom w:val="single" w:sz="8" w:color="CFF0FC"/>
            </w:tcBorders>
            <w:shd w:val="clear" w:color="auto" w:fill="CFF0FC"/>
          </w:tcPr>
          <w:p>
            <w:pPr>
              <w:spacing w:after="0"/>
              <w:rPr>
                <w:sz w:val="16"/>
                <w:szCs w:val="16"/>
                <w:color w:val="auto"/>
              </w:rPr>
            </w:pPr>
          </w:p>
        </w:tc>
        <w:tc>
          <w:tcPr>
            <w:tcW w:w="82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CFF0FC"/>
            </w:tcBorders>
            <w:shd w:val="clear" w:color="auto" w:fill="CFF0FC"/>
          </w:tcPr>
          <w:p>
            <w:pPr>
              <w:spacing w:after="0"/>
              <w:rPr>
                <w:sz w:val="16"/>
                <w:szCs w:val="16"/>
                <w:color w:val="auto"/>
              </w:rPr>
            </w:pPr>
          </w:p>
        </w:tc>
        <w:tc>
          <w:tcPr>
            <w:tcW w:w="7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220" w:type="dxa"/>
            <w:vAlign w:val="bottom"/>
          </w:tcPr>
          <w:p>
            <w:pPr>
              <w:ind w:left="160"/>
              <w:spacing w:after="0" w:line="174" w:lineRule="exact"/>
              <w:rPr>
                <w:sz w:val="20"/>
                <w:szCs w:val="20"/>
                <w:color w:val="auto"/>
              </w:rPr>
            </w:pPr>
            <w:r>
              <w:rPr>
                <w:rFonts w:ascii="Calibri" w:cs="Calibri" w:eastAsia="Calibri" w:hAnsi="Calibri"/>
                <w:sz w:val="15"/>
                <w:szCs w:val="15"/>
                <w:color w:val="auto"/>
              </w:rPr>
              <w:t>Total</w:t>
            </w:r>
          </w:p>
        </w:tc>
        <w:tc>
          <w:tcPr>
            <w:tcW w:w="240" w:type="dxa"/>
            <w:vAlign w:val="bottom"/>
          </w:tcPr>
          <w:p>
            <w:pPr>
              <w:spacing w:after="0"/>
              <w:rPr>
                <w:sz w:val="15"/>
                <w:szCs w:val="15"/>
                <w:color w:val="auto"/>
              </w:rPr>
            </w:pPr>
          </w:p>
        </w:tc>
        <w:tc>
          <w:tcPr>
            <w:tcW w:w="1040" w:type="dxa"/>
            <w:vAlign w:val="bottom"/>
            <w:gridSpan w:val="2"/>
          </w:tcPr>
          <w:p>
            <w:pPr>
              <w:jc w:val="right"/>
              <w:ind w:right="120"/>
              <w:spacing w:after="0" w:line="174" w:lineRule="exact"/>
              <w:rPr>
                <w:sz w:val="20"/>
                <w:szCs w:val="20"/>
                <w:color w:val="auto"/>
              </w:rPr>
            </w:pPr>
            <w:r>
              <w:rPr>
                <w:rFonts w:ascii="Calibri" w:cs="Calibri" w:eastAsia="Calibri" w:hAnsi="Calibri"/>
                <w:sz w:val="15"/>
                <w:szCs w:val="15"/>
                <w:color w:val="auto"/>
              </w:rPr>
              <w:t>7 %</w:t>
            </w:r>
          </w:p>
        </w:tc>
        <w:tc>
          <w:tcPr>
            <w:tcW w:w="240" w:type="dxa"/>
            <w:vAlign w:val="bottom"/>
          </w:tcPr>
          <w:p>
            <w:pPr>
              <w:spacing w:after="0"/>
              <w:rPr>
                <w:sz w:val="15"/>
                <w:szCs w:val="15"/>
                <w:color w:val="auto"/>
              </w:rPr>
            </w:pPr>
          </w:p>
        </w:tc>
        <w:tc>
          <w:tcPr>
            <w:tcW w:w="1040" w:type="dxa"/>
            <w:vAlign w:val="bottom"/>
            <w:gridSpan w:val="2"/>
          </w:tcPr>
          <w:p>
            <w:pPr>
              <w:jc w:val="right"/>
              <w:ind w:right="120"/>
              <w:spacing w:after="0" w:line="174" w:lineRule="exact"/>
              <w:rPr>
                <w:sz w:val="20"/>
                <w:szCs w:val="20"/>
                <w:color w:val="auto"/>
              </w:rPr>
            </w:pPr>
            <w:r>
              <w:rPr>
                <w:rFonts w:ascii="Calibri" w:cs="Calibri" w:eastAsia="Calibri" w:hAnsi="Calibri"/>
                <w:sz w:val="15"/>
                <w:szCs w:val="15"/>
                <w:color w:val="auto"/>
              </w:rPr>
              <w:t>16 %</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-839470</wp:posOffset>
            </wp:positionV>
            <wp:extent cx="6436360" cy="15367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436360" cy="153670"/>
                    </a:xfrm>
                    <a:prstGeom prst="rect">
                      <a:avLst/>
                    </a:prstGeom>
                    <a:noFill/>
                  </pic:spPr>
                </pic:pic>
              </a:graphicData>
            </a:graphic>
          </wp:anchor>
        </w:drawing>
        <w:drawing>
          <wp:anchor simplePos="0" relativeHeight="251657728" behindDoc="1" locked="0" layoutInCell="0" allowOverlap="1">
            <wp:simplePos x="0" y="0"/>
            <wp:positionH relativeFrom="column">
              <wp:posOffset>4327525</wp:posOffset>
            </wp:positionH>
            <wp:positionV relativeFrom="paragraph">
              <wp:posOffset>-160020</wp:posOffset>
            </wp:positionV>
            <wp:extent cx="66040" cy="7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5138420</wp:posOffset>
            </wp:positionH>
            <wp:positionV relativeFrom="paragraph">
              <wp:posOffset>-160020</wp:posOffset>
            </wp:positionV>
            <wp:extent cx="66040"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6040" cy="7620"/>
                    </a:xfrm>
                    <a:prstGeom prst="rect">
                      <a:avLst/>
                    </a:prstGeom>
                    <a:noFill/>
                  </pic:spPr>
                </pic:pic>
              </a:graphicData>
            </a:graphic>
          </wp:anchor>
        </w:drawing>
      </w:r>
    </w:p>
    <w:p>
      <w:pPr>
        <w:spacing w:after="0" w:line="146"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U.S. Marketplace segment income from operatons decreased $23.6 million, or 15%, in the year ended December 31, 2022 compared to the year ended December 31, 2021 and represented 21% of U.S. Marketplace segment revenue for the year ended December 31, 2022 and 26% of U.S. Marketplace segment revenue for the year ended December 31, 2021. The decrease was due to increases in revenue of $19.5 million, ofset by increases in cost of revenue of $8.1 million and increases in operatng expenses of $35.0 million.</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Digital Wholesale segment income (loss) from operatons decreased $18.4 million, or 281%, in the year ended December 31, 2022 compared to the year ended December 31, 2021 and represented (1)% of Digital Wholesale segment revenue for the year ended December 31, 2022 and represented 2% of Digital Wholesale segment revenue for the year ended December 31, 2021. The decrease was due to increases in revenue of $681.8 million, ofset by increases in cost of revenue of $694.5 million and increases in operatng expenses of $5.7 million.</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b w:val="1"/>
          <w:bCs w:val="1"/>
          <w:color w:val="auto"/>
        </w:rPr>
        <w:t>Liquidity and Capital Resources</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b w:val="1"/>
          <w:bCs w:val="1"/>
          <w:i w:val="1"/>
          <w:iCs w:val="1"/>
          <w:color w:val="auto"/>
        </w:rPr>
        <w:t>Cash, Cash Equivalents, Short-term Investments, and Borrowing Capacity</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As of December 31, 2023, our principal sources of liquidity were cash and cash equivalents of $291.4 million and short-term investments of $20.7 million. As of December 31, 2022, our principal sources of liquidity were cash and cash equivalents of $469.5 million. As of December 31, 2023, our borrowing capacity under the 2022 Revolver was $390.4 million.</w:t>
      </w:r>
    </w:p>
    <w:p>
      <w:pPr>
        <w:spacing w:after="0" w:line="184" w:lineRule="exact"/>
        <w:rPr>
          <w:sz w:val="20"/>
          <w:szCs w:val="20"/>
          <w:color w:val="auto"/>
        </w:rPr>
      </w:pPr>
    </w:p>
    <w:p>
      <w:pPr>
        <w:spacing w:after="0"/>
        <w:rPr>
          <w:sz w:val="20"/>
          <w:szCs w:val="20"/>
          <w:color w:val="auto"/>
        </w:rPr>
      </w:pPr>
      <w:r>
        <w:rPr>
          <w:rFonts w:ascii="Calibri" w:cs="Calibri" w:eastAsia="Calibri" w:hAnsi="Calibri"/>
          <w:sz w:val="15"/>
          <w:szCs w:val="15"/>
          <w:b w:val="1"/>
          <w:bCs w:val="1"/>
          <w:i w:val="1"/>
          <w:iCs w:val="1"/>
          <w:color w:val="auto"/>
        </w:rPr>
        <w:t>Sources and Uses of Cash</w:t>
      </w:r>
    </w:p>
    <w:p>
      <w:pPr>
        <w:spacing w:after="0" w:line="185" w:lineRule="exact"/>
        <w:rPr>
          <w:sz w:val="20"/>
          <w:szCs w:val="20"/>
          <w:color w:val="auto"/>
        </w:rPr>
      </w:pPr>
    </w:p>
    <w:p>
      <w:pPr>
        <w:jc w:val="both"/>
        <w:ind w:right="20" w:firstLine="511"/>
        <w:spacing w:after="0" w:line="241" w:lineRule="auto"/>
        <w:rPr>
          <w:sz w:val="20"/>
          <w:szCs w:val="20"/>
          <w:color w:val="auto"/>
        </w:rPr>
      </w:pPr>
      <w:r>
        <w:rPr>
          <w:rFonts w:ascii="Calibri" w:cs="Calibri" w:eastAsia="Calibri" w:hAnsi="Calibri"/>
          <w:sz w:val="15"/>
          <w:szCs w:val="15"/>
          <w:color w:val="auto"/>
        </w:rPr>
        <w:t>During the years ended December 31, 2023 and 2022, our cash fows from operatng, investng, and fnancing actvites, as refected in the consolidated statements of cash fows, were as follows:</w:t>
      </w:r>
    </w:p>
    <w:p>
      <w:pPr>
        <w:spacing w:after="0" w:line="202" w:lineRule="exact"/>
        <w:rPr>
          <w:sz w:val="20"/>
          <w:szCs w:val="20"/>
          <w:color w:val="auto"/>
        </w:rPr>
      </w:pPr>
    </w:p>
    <w:tbl>
      <w:tblPr>
        <w:tblLayout w:type="fixed"/>
        <w:tblInd w:w="560" w:type="dxa"/>
        <w:tblCellMar>
          <w:top w:w="0" w:type="dxa"/>
          <w:left w:w="0" w:type="dxa"/>
          <w:bottom w:w="0" w:type="dxa"/>
          <w:right w:w="0" w:type="dxa"/>
        </w:tblCellMar>
      </w:tblPr>
      <w:tr>
        <w:trPr>
          <w:trHeight w:val="146"/>
        </w:trPr>
        <w:tc>
          <w:tcPr>
            <w:tcW w:w="6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80" w:type="dxa"/>
            <w:vAlign w:val="bottom"/>
            <w:gridSpan w:val="3"/>
          </w:tcPr>
          <w:p>
            <w:pPr>
              <w:jc w:val="right"/>
              <w:spacing w:after="0"/>
              <w:rPr>
                <w:sz w:val="20"/>
                <w:szCs w:val="20"/>
                <w:color w:val="auto"/>
              </w:rPr>
            </w:pPr>
            <w:r>
              <w:rPr>
                <w:rFonts w:ascii="Calibri" w:cs="Calibri" w:eastAsia="Calibri" w:hAnsi="Calibri"/>
                <w:sz w:val="12"/>
                <w:szCs w:val="12"/>
                <w:b w:val="1"/>
                <w:bCs w:val="1"/>
                <w:color w:val="auto"/>
              </w:rPr>
              <w:t>Year Ended December 31,</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8"/>
        </w:trPr>
        <w:tc>
          <w:tcPr>
            <w:tcW w:w="69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37"/>
        </w:trPr>
        <w:tc>
          <w:tcPr>
            <w:tcW w:w="6940" w:type="dxa"/>
            <w:vAlign w:val="bottom"/>
          </w:tcPr>
          <w:p>
            <w:pPr>
              <w:spacing w:after="0"/>
              <w:rPr>
                <w:sz w:val="11"/>
                <w:szCs w:val="11"/>
                <w:color w:val="auto"/>
              </w:rPr>
            </w:pPr>
          </w:p>
        </w:tc>
        <w:tc>
          <w:tcPr>
            <w:tcW w:w="860" w:type="dxa"/>
            <w:vAlign w:val="bottom"/>
          </w:tcPr>
          <w:p>
            <w:pPr>
              <w:jc w:val="right"/>
              <w:spacing w:after="0" w:line="138" w:lineRule="exact"/>
              <w:rPr>
                <w:sz w:val="20"/>
                <w:szCs w:val="20"/>
                <w:color w:val="auto"/>
              </w:rPr>
            </w:pPr>
            <w:r>
              <w:rPr>
                <w:rFonts w:ascii="Calibri" w:cs="Calibri" w:eastAsia="Calibri" w:hAnsi="Calibri"/>
                <w:sz w:val="12"/>
                <w:szCs w:val="12"/>
                <w:b w:val="1"/>
                <w:bCs w:val="1"/>
                <w:color w:val="auto"/>
              </w:rPr>
              <w:t>2023</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jc w:val="right"/>
              <w:ind w:right="506"/>
              <w:spacing w:after="0" w:line="138" w:lineRule="exact"/>
              <w:rPr>
                <w:sz w:val="20"/>
                <w:szCs w:val="20"/>
                <w:color w:val="auto"/>
              </w:rPr>
            </w:pPr>
            <w:r>
              <w:rPr>
                <w:rFonts w:ascii="Calibri" w:cs="Calibri" w:eastAsia="Calibri" w:hAnsi="Calibri"/>
                <w:sz w:val="12"/>
                <w:szCs w:val="12"/>
                <w:b w:val="1"/>
                <w:bCs w:val="1"/>
                <w:color w:val="auto"/>
              </w:rPr>
              <w:t>2022</w:t>
            </w:r>
          </w:p>
        </w:tc>
        <w:tc>
          <w:tcPr>
            <w:tcW w:w="100" w:type="dxa"/>
            <w:vAlign w:val="bottom"/>
          </w:tcPr>
          <w:p>
            <w:pPr>
              <w:spacing w:after="0"/>
              <w:rPr>
                <w:sz w:val="11"/>
                <w:szCs w:val="11"/>
                <w:color w:val="auto"/>
              </w:rPr>
            </w:pPr>
          </w:p>
        </w:tc>
      </w:tr>
      <w:tr>
        <w:trPr>
          <w:trHeight w:val="27"/>
        </w:trPr>
        <w:tc>
          <w:tcPr>
            <w:tcW w:w="69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37"/>
        </w:trPr>
        <w:tc>
          <w:tcPr>
            <w:tcW w:w="69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60" w:type="dxa"/>
            <w:vAlign w:val="bottom"/>
          </w:tcPr>
          <w:p>
            <w:pPr>
              <w:jc w:val="right"/>
              <w:ind w:right="28"/>
              <w:spacing w:after="0" w:line="138" w:lineRule="exact"/>
              <w:rPr>
                <w:sz w:val="20"/>
                <w:szCs w:val="20"/>
                <w:color w:val="auto"/>
              </w:rPr>
            </w:pPr>
            <w:r>
              <w:rPr>
                <w:rFonts w:ascii="Calibri" w:cs="Calibri" w:eastAsia="Calibri" w:hAnsi="Calibri"/>
                <w:sz w:val="12"/>
                <w:szCs w:val="12"/>
                <w:b w:val="1"/>
                <w:bCs w:val="1"/>
                <w:color w:val="auto"/>
              </w:rPr>
              <w:t>(in</w:t>
            </w:r>
          </w:p>
        </w:tc>
        <w:tc>
          <w:tcPr>
            <w:tcW w:w="820" w:type="dxa"/>
            <w:vAlign w:val="bottom"/>
            <w:gridSpan w:val="2"/>
          </w:tcPr>
          <w:p>
            <w:pPr>
              <w:jc w:val="right"/>
              <w:ind w:right="243"/>
              <w:spacing w:after="0" w:line="138" w:lineRule="exact"/>
              <w:rPr>
                <w:sz w:val="20"/>
                <w:szCs w:val="20"/>
                <w:color w:val="auto"/>
              </w:rPr>
            </w:pPr>
            <w:r>
              <w:rPr>
                <w:rFonts w:ascii="Calibri" w:cs="Calibri" w:eastAsia="Calibri" w:hAnsi="Calibri"/>
                <w:sz w:val="12"/>
                <w:szCs w:val="12"/>
                <w:b w:val="1"/>
                <w:bCs w:val="1"/>
                <w:color w:val="auto"/>
                <w:w w:val="86"/>
              </w:rPr>
              <w:t>thousands)</w:t>
            </w: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7"/>
        </w:trPr>
        <w:tc>
          <w:tcPr>
            <w:tcW w:w="69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7"/>
        </w:trPr>
        <w:tc>
          <w:tcPr>
            <w:tcW w:w="694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5"/>
                <w:szCs w:val="15"/>
                <w:color w:val="auto"/>
              </w:rPr>
              <w:t>Net cash provided by operatng actvites</w:t>
            </w:r>
          </w:p>
        </w:tc>
        <w:tc>
          <w:tcPr>
            <w:tcW w:w="860" w:type="dxa"/>
            <w:vAlign w:val="bottom"/>
            <w:tcBorders>
              <w:bottom w:val="single" w:sz="8" w:color="CFF0FC"/>
            </w:tcBorders>
            <w:shd w:val="clear" w:color="auto" w:fill="CFF0FC"/>
          </w:tcPr>
          <w:p>
            <w:pPr>
              <w:jc w:val="right"/>
              <w:ind w:right="688"/>
              <w:spacing w:after="0"/>
              <w:rPr>
                <w:sz w:val="20"/>
                <w:szCs w:val="20"/>
                <w:color w:val="auto"/>
              </w:rPr>
            </w:pPr>
            <w:r>
              <w:rPr>
                <w:rFonts w:ascii="Calibri" w:cs="Calibri" w:eastAsia="Calibri" w:hAnsi="Calibri"/>
                <w:sz w:val="15"/>
                <w:szCs w:val="15"/>
                <w:color w:val="auto"/>
              </w:rPr>
              <w:t>$</w:t>
            </w:r>
          </w:p>
        </w:tc>
        <w:tc>
          <w:tcPr>
            <w:tcW w:w="5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124,527</w:t>
            </w:r>
          </w:p>
        </w:tc>
        <w:tc>
          <w:tcPr>
            <w:tcW w:w="280" w:type="dxa"/>
            <w:vAlign w:val="bottom"/>
            <w:tcBorders>
              <w:bottom w:val="single" w:sz="8" w:color="CFF0FC"/>
            </w:tcBorders>
            <w:shd w:val="clear" w:color="auto" w:fill="CFF0FC"/>
          </w:tcPr>
          <w:p>
            <w:pPr>
              <w:spacing w:after="0"/>
              <w:rPr>
                <w:sz w:val="16"/>
                <w:szCs w:val="16"/>
                <w:color w:val="auto"/>
              </w:rPr>
            </w:pPr>
          </w:p>
        </w:tc>
        <w:tc>
          <w:tcPr>
            <w:tcW w:w="540" w:type="dxa"/>
            <w:vAlign w:val="bottom"/>
            <w:tcBorders>
              <w:bottom w:val="single" w:sz="8" w:color="CFF0FC"/>
            </w:tcBorders>
            <w:shd w:val="clear" w:color="auto" w:fill="CFF0FC"/>
          </w:tcPr>
          <w:p>
            <w:pPr>
              <w:jc w:val="right"/>
              <w:ind w:right="363"/>
              <w:spacing w:after="0"/>
              <w:rPr>
                <w:sz w:val="20"/>
                <w:szCs w:val="20"/>
                <w:color w:val="auto"/>
              </w:rPr>
            </w:pPr>
            <w:r>
              <w:rPr>
                <w:rFonts w:ascii="Calibri" w:cs="Calibri" w:eastAsia="Calibri" w:hAnsi="Calibri"/>
                <w:sz w:val="15"/>
                <w:szCs w:val="15"/>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256,106</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6940" w:type="dxa"/>
            <w:vAlign w:val="bottom"/>
          </w:tcPr>
          <w:p>
            <w:pPr>
              <w:spacing w:after="0"/>
              <w:rPr>
                <w:sz w:val="20"/>
                <w:szCs w:val="20"/>
                <w:color w:val="auto"/>
              </w:rPr>
            </w:pPr>
            <w:r>
              <w:rPr>
                <w:rFonts w:ascii="Calibri" w:cs="Calibri" w:eastAsia="Calibri" w:hAnsi="Calibri"/>
                <w:sz w:val="15"/>
                <w:szCs w:val="15"/>
                <w:color w:val="auto"/>
              </w:rPr>
              <w:t>Net cash (used in) provided by investng actvites</w:t>
            </w:r>
          </w:p>
        </w:tc>
        <w:tc>
          <w:tcPr>
            <w:tcW w:w="860" w:type="dxa"/>
            <w:vAlign w:val="bottom"/>
          </w:tcPr>
          <w:p>
            <w:pPr>
              <w:spacing w:after="0"/>
              <w:rPr>
                <w:sz w:val="15"/>
                <w:szCs w:val="15"/>
                <w:color w:val="auto"/>
              </w:rPr>
            </w:pPr>
          </w:p>
        </w:tc>
        <w:tc>
          <w:tcPr>
            <w:tcW w:w="840" w:type="dxa"/>
            <w:vAlign w:val="bottom"/>
            <w:gridSpan w:val="2"/>
          </w:tcPr>
          <w:p>
            <w:pPr>
              <w:jc w:val="right"/>
              <w:ind w:right="159"/>
              <w:spacing w:after="0"/>
              <w:rPr>
                <w:sz w:val="20"/>
                <w:szCs w:val="20"/>
                <w:color w:val="auto"/>
              </w:rPr>
            </w:pPr>
            <w:r>
              <w:rPr>
                <w:rFonts w:ascii="Calibri" w:cs="Calibri" w:eastAsia="Calibri" w:hAnsi="Calibri"/>
                <w:sz w:val="15"/>
                <w:szCs w:val="15"/>
                <w:color w:val="auto"/>
              </w:rPr>
              <w:t>(61,564 )</w:t>
            </w:r>
          </w:p>
        </w:tc>
        <w:tc>
          <w:tcPr>
            <w:tcW w:w="5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alibri" w:cs="Calibri" w:eastAsia="Calibri" w:hAnsi="Calibri"/>
                <w:sz w:val="15"/>
                <w:szCs w:val="15"/>
                <w:color w:val="auto"/>
              </w:rPr>
              <w:t>72,730</w:t>
            </w:r>
          </w:p>
        </w:tc>
        <w:tc>
          <w:tcPr>
            <w:tcW w:w="100" w:type="dxa"/>
            <w:vAlign w:val="bottom"/>
          </w:tcPr>
          <w:p>
            <w:pPr>
              <w:spacing w:after="0"/>
              <w:rPr>
                <w:sz w:val="15"/>
                <w:szCs w:val="15"/>
                <w:color w:val="auto"/>
              </w:rPr>
            </w:pPr>
          </w:p>
        </w:tc>
      </w:tr>
      <w:tr>
        <w:trPr>
          <w:trHeight w:val="24"/>
        </w:trPr>
        <w:tc>
          <w:tcPr>
            <w:tcW w:w="69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7"/>
        </w:trPr>
        <w:tc>
          <w:tcPr>
            <w:tcW w:w="694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5"/>
                <w:szCs w:val="15"/>
                <w:color w:val="auto"/>
              </w:rPr>
              <w:t>Net cash used in fnancing actvites</w:t>
            </w:r>
          </w:p>
        </w:tc>
        <w:tc>
          <w:tcPr>
            <w:tcW w:w="860" w:type="dxa"/>
            <w:vAlign w:val="bottom"/>
            <w:tcBorders>
              <w:bottom w:val="single" w:sz="8" w:color="CFF0FC"/>
            </w:tcBorders>
            <w:shd w:val="clear" w:color="auto" w:fill="CFF0FC"/>
          </w:tcPr>
          <w:p>
            <w:pPr>
              <w:spacing w:after="0"/>
              <w:rPr>
                <w:sz w:val="16"/>
                <w:szCs w:val="16"/>
                <w:color w:val="auto"/>
              </w:rPr>
            </w:pPr>
          </w:p>
        </w:tc>
        <w:tc>
          <w:tcPr>
            <w:tcW w:w="840" w:type="dxa"/>
            <w:vAlign w:val="bottom"/>
            <w:tcBorders>
              <w:bottom w:val="single" w:sz="8" w:color="CFF0FC"/>
            </w:tcBorders>
            <w:gridSpan w:val="2"/>
            <w:shd w:val="clear" w:color="auto" w:fill="CFF0FC"/>
          </w:tcPr>
          <w:p>
            <w:pPr>
              <w:jc w:val="right"/>
              <w:ind w:right="159"/>
              <w:spacing w:after="0"/>
              <w:rPr>
                <w:sz w:val="20"/>
                <w:szCs w:val="20"/>
                <w:color w:val="auto"/>
              </w:rPr>
            </w:pPr>
            <w:r>
              <w:rPr>
                <w:rFonts w:ascii="Calibri" w:cs="Calibri" w:eastAsia="Calibri" w:hAnsi="Calibri"/>
                <w:sz w:val="15"/>
                <w:szCs w:val="15"/>
                <w:color w:val="auto"/>
                <w:w w:val="96"/>
              </w:rPr>
              <w:t>(253,644 )</w:t>
            </w:r>
          </w:p>
        </w:tc>
        <w:tc>
          <w:tcPr>
            <w:tcW w:w="540" w:type="dxa"/>
            <w:vAlign w:val="bottom"/>
            <w:tcBorders>
              <w:bottom w:val="single" w:sz="8" w:color="CFF0FC"/>
            </w:tcBorders>
            <w:shd w:val="clear" w:color="auto" w:fill="CFF0FC"/>
          </w:tcPr>
          <w:p>
            <w:pPr>
              <w:spacing w:after="0"/>
              <w:rPr>
                <w:sz w:val="16"/>
                <w:szCs w:val="16"/>
                <w:color w:val="auto"/>
              </w:rPr>
            </w:pPr>
          </w:p>
        </w:tc>
        <w:tc>
          <w:tcPr>
            <w:tcW w:w="960" w:type="dxa"/>
            <w:vAlign w:val="bottom"/>
            <w:tcBorders>
              <w:bottom w:val="single" w:sz="8" w:color="CFF0FC"/>
            </w:tcBorders>
            <w:gridSpan w:val="2"/>
            <w:shd w:val="clear" w:color="auto" w:fill="CFF0FC"/>
          </w:tcPr>
          <w:p>
            <w:pPr>
              <w:jc w:val="right"/>
              <w:ind w:right="40"/>
              <w:spacing w:after="0"/>
              <w:rPr>
                <w:sz w:val="20"/>
                <w:szCs w:val="20"/>
                <w:color w:val="auto"/>
              </w:rPr>
            </w:pPr>
            <w:r>
              <w:rPr>
                <w:rFonts w:ascii="Calibri" w:cs="Calibri" w:eastAsia="Calibri" w:hAnsi="Calibri"/>
                <w:sz w:val="15"/>
                <w:szCs w:val="15"/>
                <w:color w:val="auto"/>
              </w:rPr>
              <w:t>(92,620 )</w:t>
            </w:r>
          </w:p>
        </w:tc>
      </w:tr>
      <w:tr>
        <w:trPr>
          <w:trHeight w:val="183"/>
        </w:trPr>
        <w:tc>
          <w:tcPr>
            <w:tcW w:w="6940" w:type="dxa"/>
            <w:vAlign w:val="bottom"/>
          </w:tcPr>
          <w:p>
            <w:pPr>
              <w:spacing w:after="0"/>
              <w:rPr>
                <w:sz w:val="20"/>
                <w:szCs w:val="20"/>
                <w:color w:val="auto"/>
              </w:rPr>
            </w:pPr>
            <w:r>
              <w:rPr>
                <w:rFonts w:ascii="Calibri" w:cs="Calibri" w:eastAsia="Calibri" w:hAnsi="Calibri"/>
                <w:sz w:val="15"/>
                <w:szCs w:val="15"/>
                <w:color w:val="auto"/>
              </w:rPr>
              <w:t>Impact of foreign currency on cash</w:t>
            </w:r>
          </w:p>
        </w:tc>
        <w:tc>
          <w:tcPr>
            <w:tcW w:w="8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alibri" w:cs="Calibri" w:eastAsia="Calibri" w:hAnsi="Calibri"/>
                <w:sz w:val="15"/>
                <w:szCs w:val="15"/>
                <w:color w:val="auto"/>
              </w:rPr>
              <w:t>475</w:t>
            </w: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gridSpan w:val="2"/>
          </w:tcPr>
          <w:p>
            <w:pPr>
              <w:jc w:val="right"/>
              <w:ind w:right="40"/>
              <w:spacing w:after="0"/>
              <w:rPr>
                <w:sz w:val="20"/>
                <w:szCs w:val="20"/>
                <w:color w:val="auto"/>
              </w:rPr>
            </w:pPr>
            <w:r>
              <w:rPr>
                <w:rFonts w:ascii="Calibri" w:cs="Calibri" w:eastAsia="Calibri" w:hAnsi="Calibri"/>
                <w:sz w:val="15"/>
                <w:szCs w:val="15"/>
                <w:color w:val="auto"/>
              </w:rPr>
              <w:t>(364 )</w:t>
            </w:r>
          </w:p>
        </w:tc>
      </w:tr>
      <w:tr>
        <w:trPr>
          <w:trHeight w:val="24"/>
        </w:trPr>
        <w:tc>
          <w:tcPr>
            <w:tcW w:w="69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24"/>
        </w:trPr>
        <w:tc>
          <w:tcPr>
            <w:tcW w:w="6940" w:type="dxa"/>
            <w:vAlign w:val="bottom"/>
            <w:tcBorders>
              <w:bottom w:val="single" w:sz="8" w:color="CFF0FC"/>
            </w:tcBorders>
            <w:shd w:val="clear" w:color="auto" w:fill="CFF0FC"/>
          </w:tcPr>
          <w:p>
            <w:pPr>
              <w:spacing w:after="0" w:line="174" w:lineRule="exact"/>
              <w:rPr>
                <w:sz w:val="20"/>
                <w:szCs w:val="20"/>
                <w:color w:val="auto"/>
              </w:rPr>
            </w:pPr>
            <w:r>
              <w:rPr>
                <w:rFonts w:ascii="Calibri" w:cs="Calibri" w:eastAsia="Calibri" w:hAnsi="Calibri"/>
                <w:sz w:val="15"/>
                <w:szCs w:val="15"/>
                <w:color w:val="auto"/>
              </w:rPr>
              <w:t>Net (decrease) increase in cash, cash equivalents, and restricted cash</w:t>
            </w:r>
          </w:p>
        </w:tc>
        <w:tc>
          <w:tcPr>
            <w:tcW w:w="860" w:type="dxa"/>
            <w:vAlign w:val="bottom"/>
            <w:tcBorders>
              <w:bottom w:val="single" w:sz="8" w:color="CFF0FC"/>
            </w:tcBorders>
            <w:shd w:val="clear" w:color="auto" w:fill="CFF0FC"/>
          </w:tcPr>
          <w:p>
            <w:pPr>
              <w:jc w:val="right"/>
              <w:ind w:right="688"/>
              <w:spacing w:after="0" w:line="174" w:lineRule="exact"/>
              <w:rPr>
                <w:sz w:val="20"/>
                <w:szCs w:val="20"/>
                <w:color w:val="auto"/>
              </w:rPr>
            </w:pPr>
            <w:r>
              <w:rPr>
                <w:rFonts w:ascii="Calibri" w:cs="Calibri" w:eastAsia="Calibri" w:hAnsi="Calibri"/>
                <w:sz w:val="15"/>
                <w:szCs w:val="15"/>
                <w:color w:val="auto"/>
              </w:rPr>
              <w:t>$</w:t>
            </w:r>
          </w:p>
        </w:tc>
        <w:tc>
          <w:tcPr>
            <w:tcW w:w="840" w:type="dxa"/>
            <w:vAlign w:val="bottom"/>
            <w:tcBorders>
              <w:bottom w:val="single" w:sz="8" w:color="CFF0FC"/>
            </w:tcBorders>
            <w:gridSpan w:val="2"/>
            <w:shd w:val="clear" w:color="auto" w:fill="CFF0FC"/>
          </w:tcPr>
          <w:p>
            <w:pPr>
              <w:jc w:val="right"/>
              <w:ind w:right="159"/>
              <w:spacing w:after="0" w:line="174" w:lineRule="exact"/>
              <w:rPr>
                <w:sz w:val="20"/>
                <w:szCs w:val="20"/>
                <w:color w:val="auto"/>
              </w:rPr>
            </w:pPr>
            <w:r>
              <w:rPr>
                <w:rFonts w:ascii="Calibri" w:cs="Calibri" w:eastAsia="Calibri" w:hAnsi="Calibri"/>
                <w:sz w:val="15"/>
                <w:szCs w:val="15"/>
                <w:color w:val="auto"/>
                <w:w w:val="96"/>
              </w:rPr>
              <w:t>(190,206 )</w:t>
            </w:r>
          </w:p>
        </w:tc>
        <w:tc>
          <w:tcPr>
            <w:tcW w:w="540" w:type="dxa"/>
            <w:vAlign w:val="bottom"/>
            <w:tcBorders>
              <w:bottom w:val="single" w:sz="8" w:color="CFF0FC"/>
            </w:tcBorders>
            <w:shd w:val="clear" w:color="auto" w:fill="CFF0FC"/>
          </w:tcPr>
          <w:p>
            <w:pPr>
              <w:jc w:val="right"/>
              <w:ind w:right="363"/>
              <w:spacing w:after="0" w:line="174" w:lineRule="exact"/>
              <w:rPr>
                <w:sz w:val="20"/>
                <w:szCs w:val="20"/>
                <w:color w:val="auto"/>
              </w:rPr>
            </w:pPr>
            <w:r>
              <w:rPr>
                <w:rFonts w:ascii="Calibri" w:cs="Calibri" w:eastAsia="Calibri" w:hAnsi="Calibri"/>
                <w:sz w:val="15"/>
                <w:szCs w:val="15"/>
                <w:color w:val="auto"/>
              </w:rPr>
              <w:t>$</w:t>
            </w:r>
          </w:p>
        </w:tc>
        <w:tc>
          <w:tcPr>
            <w:tcW w:w="860" w:type="dxa"/>
            <w:vAlign w:val="bottom"/>
            <w:tcBorders>
              <w:bottom w:val="single" w:sz="8" w:color="CFF0FC"/>
            </w:tcBorders>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235,852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94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5664200</wp:posOffset>
            </wp:positionH>
            <wp:positionV relativeFrom="paragraph">
              <wp:posOffset>-21590</wp:posOffset>
            </wp:positionV>
            <wp:extent cx="66040"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5664200</wp:posOffset>
            </wp:positionH>
            <wp:positionV relativeFrom="paragraph">
              <wp:posOffset>-6985</wp:posOffset>
            </wp:positionV>
            <wp:extent cx="66040" cy="7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6731000</wp:posOffset>
            </wp:positionH>
            <wp:positionV relativeFrom="paragraph">
              <wp:posOffset>-21590</wp:posOffset>
            </wp:positionV>
            <wp:extent cx="58420" cy="7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8420" cy="7620"/>
                    </a:xfrm>
                    <a:prstGeom prst="rect">
                      <a:avLst/>
                    </a:prstGeom>
                    <a:noFill/>
                  </pic:spPr>
                </pic:pic>
              </a:graphicData>
            </a:graphic>
          </wp:anchor>
        </w:drawing>
        <w:drawing>
          <wp:anchor simplePos="0" relativeHeight="251657728" behindDoc="1" locked="0" layoutInCell="0" allowOverlap="1">
            <wp:simplePos x="0" y="0"/>
            <wp:positionH relativeFrom="column">
              <wp:posOffset>6731000</wp:posOffset>
            </wp:positionH>
            <wp:positionV relativeFrom="paragraph">
              <wp:posOffset>-6985</wp:posOffset>
            </wp:positionV>
            <wp:extent cx="58420" cy="7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8420" cy="7620"/>
                    </a:xfrm>
                    <a:prstGeom prst="rect">
                      <a:avLst/>
                    </a:prstGeom>
                    <a:noFill/>
                  </pic:spPr>
                </pic:pic>
              </a:graphicData>
            </a:graphic>
          </wp:anchor>
        </w:drawing>
      </w:r>
    </w:p>
    <w:p>
      <w:pPr>
        <w:spacing w:after="0" w:line="146" w:lineRule="exact"/>
        <w:rPr>
          <w:sz w:val="20"/>
          <w:szCs w:val="20"/>
          <w:color w:val="auto"/>
        </w:rPr>
      </w:pPr>
    </w:p>
    <w:p>
      <w:pPr>
        <w:ind w:firstLine="511"/>
        <w:spacing w:after="0" w:line="241" w:lineRule="auto"/>
        <w:rPr>
          <w:sz w:val="20"/>
          <w:szCs w:val="20"/>
          <w:color w:val="auto"/>
        </w:rPr>
      </w:pPr>
      <w:r>
        <w:rPr>
          <w:rFonts w:ascii="Calibri" w:cs="Calibri" w:eastAsia="Calibri" w:hAnsi="Calibri"/>
          <w:sz w:val="15"/>
          <w:szCs w:val="15"/>
          <w:color w:val="auto"/>
        </w:rPr>
        <w:t>Our operatons have been fnanced primarily from operatng actvites. During the years ended December 31, 2023 and 2022, we generated cash from operatng actvites of $124.5 million and $256.1 million, respectvely.</w:t>
      </w:r>
    </w:p>
    <w:p>
      <w:pPr>
        <w:spacing w:after="0" w:line="185" w:lineRule="exact"/>
        <w:rPr>
          <w:sz w:val="20"/>
          <w:szCs w:val="20"/>
          <w:color w:val="auto"/>
        </w:rPr>
      </w:pPr>
    </w:p>
    <w:p>
      <w:pPr>
        <w:ind w:firstLine="511"/>
        <w:spacing w:after="0" w:line="241" w:lineRule="auto"/>
        <w:rPr>
          <w:sz w:val="20"/>
          <w:szCs w:val="20"/>
          <w:color w:val="auto"/>
        </w:rPr>
      </w:pPr>
      <w:r>
        <w:rPr>
          <w:rFonts w:ascii="Calibri" w:cs="Calibri" w:eastAsia="Calibri" w:hAnsi="Calibri"/>
          <w:sz w:val="15"/>
          <w:szCs w:val="15"/>
          <w:color w:val="auto"/>
        </w:rPr>
        <w:t>We believe that our existng sources of liquidity, including access to the 2022 Revolver, will be sufcient to fund our operatons for at least the next 12 months from the date of the fling of this Annual Report.</w:t>
      </w:r>
    </w:p>
    <w:p>
      <w:pPr>
        <w:spacing w:after="0" w:line="184" w:lineRule="exact"/>
        <w:rPr>
          <w:sz w:val="20"/>
          <w:szCs w:val="20"/>
          <w:color w:val="auto"/>
        </w:rPr>
      </w:pPr>
    </w:p>
    <w:p>
      <w:pPr>
        <w:jc w:val="center"/>
        <w:spacing w:after="0"/>
        <w:rPr>
          <w:sz w:val="20"/>
          <w:szCs w:val="20"/>
          <w:color w:val="auto"/>
        </w:rPr>
      </w:pPr>
      <w:r>
        <w:rPr>
          <w:rFonts w:ascii="Calibri" w:cs="Calibri" w:eastAsia="Calibri" w:hAnsi="Calibri"/>
          <w:sz w:val="15"/>
          <w:szCs w:val="15"/>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408940</wp:posOffset>
            </wp:positionV>
            <wp:extent cx="7178040" cy="400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3" w:right="319" w:bottom="1440" w:gutter="0" w:footer="0" w:header="0"/>
        </w:sectPr>
      </w:pPr>
    </w:p>
    <w:bookmarkStart w:id="68" w:name="page69"/>
    <w:bookmarkEnd w:id="68"/>
    <w:p>
      <w:pPr>
        <w:jc w:val="both"/>
        <w:ind w:firstLine="511"/>
        <w:spacing w:after="0" w:line="241" w:lineRule="auto"/>
        <w:rPr>
          <w:sz w:val="20"/>
          <w:szCs w:val="20"/>
          <w:color w:val="auto"/>
        </w:rPr>
      </w:pPr>
      <w:r>
        <w:rPr>
          <w:rFonts w:ascii="Calibri" w:cs="Calibri" w:eastAsia="Calibri" w:hAnsi="Calibri"/>
          <w:sz w:val="15"/>
          <w:szCs w:val="15"/>
          <w:color w:val="auto"/>
        </w:rPr>
        <w:t>Our future capital requirements will depend on many factors, including our revenue; expenses associated with our sales and marketng actvites and the support of our product, technology, and development eforts; expenses associated with our facilites build-out under our 1001 Boylston Street lease in excess of tenant allowance; payments received in advance from a third-party transacton processor; actvity under the 2024 Share Repurchase Program; and our investments in internatonal markets. In connecton with the 1001 Boylston Street lease, we expect to spend approximately $69.8 million, net of tenant reimbursements. As of December 31, 2023, we have incurred $40.6 million in gross incurred expenses, of which $2.9 million was reimbursed as part of the tenant improvement allowance for the 1001 Boylston Street lease. Of the total incurred expenses, $40.3 million was capitalized, consistng of $39.8 million in capitalized incurred expenses recognized in property and equipment, net and $0.5 million in capitalized incurred expenses recognized in prepaid expenses, prepaid income taxes and other current assets on the consolidated balance sheets. As of December 31, 2023, we have signed $46.5 million in gross contract commitments which have not yet been incurred.</w:t>
      </w:r>
    </w:p>
    <w:p>
      <w:pPr>
        <w:spacing w:after="0" w:line="186"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Cash from operatons could also be afected by various risks and uncertaintes, including, but not limited to, macroeconomic efects and other risks detailed in the “Risk Factors” secton of this Annual Report.</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On September 26, 2022, we entered into a Credit Agreement with PNC Bank, Natonal Associaton, as administratve agent and collateral agent and an L/C Issuer (as defned in the Credit Agreement), and the other lenders, L/C Issuers and partes thereto from tme to tme, or the Credit Agreement. The Credit Agreement consists of the 2022 Revolver, which is a revolving credit facility that allows us to borrow up to $400.0 million, $50.0 million of which may be comprised of a leter of credit sub-facility. The borrowing capacity under the Credit Agreement may be increased in accordance with the terms and subject to the adjustments as set forth in the Credit Agreement. Specifcally, the borrowing capacity may be increased by an amount up to the greater of $250.0 million or 100% of Four Quarter Consolidated EBITDA (as defned in the Credit Agreement) if certain criteria are met and subject to certain restrictons. Any such increase requires lender approval. Proceeds of any borrowings may be used for general corporate purposes. The 2022 Revolver is scheduled to mature on September 26, 2027. As of December 31, 2023, there were no borrowings and $9.6 million in leters of credit outstanding under the 2022 Revolver, which reduces the borrowing capacity under the 2022 Revolver to $390.4 million. As of December 31, 2022, there were no borrowings and no leters of credit outstanding under the 2022 Revolver.</w:t>
      </w:r>
    </w:p>
    <w:p>
      <w:pPr>
        <w:spacing w:after="0" w:line="186" w:lineRule="exact"/>
        <w:rPr>
          <w:sz w:val="20"/>
          <w:szCs w:val="20"/>
          <w:color w:val="auto"/>
        </w:rPr>
      </w:pPr>
    </w:p>
    <w:p>
      <w:pPr>
        <w:jc w:val="both"/>
        <w:ind w:firstLine="511"/>
        <w:spacing w:after="0" w:line="262" w:lineRule="auto"/>
        <w:rPr>
          <w:sz w:val="20"/>
          <w:szCs w:val="20"/>
          <w:color w:val="auto"/>
        </w:rPr>
      </w:pPr>
      <w:r>
        <w:rPr>
          <w:rFonts w:ascii="Calibri" w:cs="Calibri" w:eastAsia="Calibri" w:hAnsi="Calibri"/>
          <w:sz w:val="14"/>
          <w:szCs w:val="14"/>
          <w:color w:val="auto"/>
        </w:rPr>
        <w:t>On December 8, 2022, we announced that our Board of Directors authorized the 2022 Share Repurchase Program pursuant to which we could, from tme to tme, purchase shares of our Class A common stock for an aggregate purchase price not to exceed $250.0 million. The 2022 Share Repurchase Program expired on December 31, 2023. The 2022 Share Repurchase Program did not obligate us to repurchase any minimum dollar amount or number of shares. All repurchased shares under the 2022 Share Repurchase Program were retred. We funded share repurchases under the 2022 Share Repurchase Program through cash on hand and cash generated from operatons. During the year ended December 31, 2023, we repurchased and retred 11,076,755 shares for $204.1 million, exclusive of commissions and excise tax, at an average cost of $18.43 per share under the 2022 Share Repurchase Program.</w:t>
      </w:r>
    </w:p>
    <w:p>
      <w:pPr>
        <w:spacing w:after="0" w:line="172"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On November 7, 2023, we announced that our Board of Directors authorized the 2024 Share Repurchase Program pursuant to which we may, from tme to tme, purchase shares of our Class A common stock for an aggregate purchase price not to exceed $250.0 million. Share repurchases under the 2024 Share Repurchase Program may be made through a variety of methods, including but not limited to open market purchases, privately negotated transactons, and transactons that may be efected pursuant to one or more plans under Rule 10b5-1 and/or Rule 10b-18 of the Exchange Act. The 2024 Share Repurchase Program does not obligate us to repurchase any minimum dollar amount or number of shares. The 2024 Share Repurchase Program has an efectve date of January 1, 2024, and an expiraton date of December 31, 2024, and prior to its expiraton may be modifed, suspended, or discontnued by our Board of Directors at any tme without prior notce. All repurchased shares under the 2024 Share Repurchase Program will be retred. We expect to fund share repurchases under the 2024 Share Repurchase Program through cash on hand and cash generated from operatons.</w:t>
      </w:r>
    </w:p>
    <w:p>
      <w:pPr>
        <w:spacing w:after="0" w:line="186"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To the extent that our operatng income, existng cash, cash equivalents, short-term investments, and our borrowing capacity under the 2022 Revolver are insufcient to fund our future actvites, we may need to raise additonal funds through a public or private equity or debt fnancing. Additonal funds may not be available on terms favorable to us, or at all. See “</w:t>
      </w:r>
      <w:r>
        <w:rPr>
          <w:rFonts w:ascii="Calibri" w:cs="Calibri" w:eastAsia="Calibri" w:hAnsi="Calibri"/>
          <w:sz w:val="15"/>
          <w:szCs w:val="15"/>
          <w:i w:val="1"/>
          <w:iCs w:val="1"/>
          <w:color w:val="auto"/>
        </w:rPr>
        <w:t>Risk Factors—Risks Related to Our Business and Industry—We may require additonal capital to pursue our business objectves and respond to business opportunites, challenges, or</w:t>
      </w:r>
      <w:r>
        <w:rPr>
          <w:rFonts w:ascii="Calibri" w:cs="Calibri" w:eastAsia="Calibri" w:hAnsi="Calibri"/>
          <w:sz w:val="15"/>
          <w:szCs w:val="15"/>
          <w:color w:val="auto"/>
        </w:rPr>
        <w:t xml:space="preserve"> </w:t>
      </w:r>
      <w:r>
        <w:rPr>
          <w:rFonts w:ascii="Calibri" w:cs="Calibri" w:eastAsia="Calibri" w:hAnsi="Calibri"/>
          <w:sz w:val="15"/>
          <w:szCs w:val="15"/>
          <w:i w:val="1"/>
          <w:iCs w:val="1"/>
          <w:color w:val="auto"/>
        </w:rPr>
        <w:t>unforeseen circumstances. If we are unable to generate sufcient cash fows or if capital is not available to us, our business, operatng results, fnancial conditon, and prospects could be adversely afected</w:t>
      </w:r>
      <w:r>
        <w:rPr>
          <w:rFonts w:ascii="Calibri" w:cs="Calibri" w:eastAsia="Calibri" w:hAnsi="Calibri"/>
          <w:sz w:val="15"/>
          <w:szCs w:val="15"/>
          <w:color w:val="auto"/>
        </w:rPr>
        <w:t>.” in Part I, Item 1A within this Annual Report.</w:t>
      </w:r>
    </w:p>
    <w:p>
      <w:pPr>
        <w:spacing w:after="0" w:line="185" w:lineRule="exact"/>
        <w:rPr>
          <w:sz w:val="20"/>
          <w:szCs w:val="20"/>
          <w:color w:val="auto"/>
        </w:rPr>
      </w:pPr>
    </w:p>
    <w:p>
      <w:pPr>
        <w:jc w:val="center"/>
        <w:spacing w:after="0"/>
        <w:rPr>
          <w:sz w:val="20"/>
          <w:szCs w:val="20"/>
          <w:color w:val="auto"/>
        </w:rPr>
      </w:pPr>
      <w:r>
        <w:rPr>
          <w:rFonts w:ascii="Calibri" w:cs="Calibri" w:eastAsia="Calibri" w:hAnsi="Calibri"/>
          <w:sz w:val="15"/>
          <w:szCs w:val="15"/>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408940</wp:posOffset>
            </wp:positionV>
            <wp:extent cx="7178040" cy="400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4" w:right="319" w:bottom="1440" w:gutter="0" w:footer="0" w:header="0"/>
        </w:sectPr>
      </w:pPr>
    </w:p>
    <w:bookmarkStart w:id="69" w:name="page70"/>
    <w:bookmarkEnd w:id="69"/>
    <w:p>
      <w:pPr>
        <w:spacing w:after="0"/>
        <w:rPr>
          <w:sz w:val="20"/>
          <w:szCs w:val="20"/>
          <w:color w:val="auto"/>
        </w:rPr>
      </w:pPr>
      <w:r>
        <w:rPr>
          <w:rFonts w:ascii="Calibri" w:cs="Calibri" w:eastAsia="Calibri" w:hAnsi="Calibri"/>
          <w:sz w:val="15"/>
          <w:szCs w:val="15"/>
          <w:b w:val="1"/>
          <w:bCs w:val="1"/>
          <w:i w:val="1"/>
          <w:iCs w:val="1"/>
          <w:color w:val="auto"/>
        </w:rPr>
        <w:t>Operatng Actvites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Net cash provided by operatng actvites of $124.5 million during the year ended December 31, 2023 was due primarily to consolidated net income of $22.1 million, adjusted for $63.7 million of stock-based compensaton expense, $48.5 million of depreciaton and amortzaton, $11.8 million of amortzaton of deferred contract costs, and $0.5 million of amortzaton of deferred fnancing costs, ofset in part by $37.9 million of deferred taxes. Net cash provided by operatng actvites was also atributable to a $15.2 million increase in lease obligatons, a $11.0 million decrease in accounts receivable, a $9.1 million increase in deferred revenue, a $2.1 million increase in accounts payable, and a $2.0 million decrease in inventory. The increases in cash fow from operatons were partally ofset by an $18.4 million increase in deferred contract costs, a $3.4 million decrease in accrued expenses, accrued income taxes, and other liabilites, and a $1.5 million increase in prepaid expenses, prepaid income taxes, and other assets.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Net cash provided by operatng actvites of $256.1 million during the year ended December 31, 2022 was due primarily to consolidated net income of $79.0 million, adjusted for $54.8 million of stock-based compensaton expense, $45.3 million of depreciaton and amortzaton, $11.1 million of amortzaton of deferred contract costs, and $1.8 million of provision for doubtul accounts, ofset in part by $22.1 million of deferred taxes. Net cash provided by operatng actvites was also atributable to a $153.0 million decrease in accounts receivable and a $14.4 million decrease in inventory. The increases in cash fow from operatons were partally ofset by a $35.4 million decrease in accounts payable, a $25.1 million decrease in accrued expenses, accrued income taxes, and other liabilites, a $13.7 million increase in deferred contract costs, a $6.6 million increase in prepaid expenses, prepaid income taxes, and other assets, a $0.5 million decrease in lease obligatons, and a $0.5 million decrease in deferred revenue.</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b w:val="1"/>
          <w:bCs w:val="1"/>
          <w:i w:val="1"/>
          <w:iCs w:val="1"/>
          <w:color w:val="auto"/>
        </w:rPr>
        <w:t>Investng Actvites</w:t>
      </w:r>
    </w:p>
    <w:p>
      <w:pPr>
        <w:spacing w:after="0" w:line="185" w:lineRule="exact"/>
        <w:rPr>
          <w:sz w:val="20"/>
          <w:szCs w:val="20"/>
          <w:color w:val="auto"/>
        </w:rPr>
      </w:pPr>
    </w:p>
    <w:p>
      <w:pPr>
        <w:jc w:val="both"/>
        <w:ind w:right="20" w:firstLine="511"/>
        <w:spacing w:after="0" w:line="241" w:lineRule="auto"/>
        <w:rPr>
          <w:sz w:val="20"/>
          <w:szCs w:val="20"/>
          <w:color w:val="auto"/>
        </w:rPr>
      </w:pPr>
      <w:r>
        <w:rPr>
          <w:rFonts w:ascii="Calibri" w:cs="Calibri" w:eastAsia="Calibri" w:hAnsi="Calibri"/>
          <w:sz w:val="15"/>
          <w:szCs w:val="15"/>
          <w:color w:val="auto"/>
        </w:rPr>
        <w:t xml:space="preserve">Net cash used in investng actvites of $61.6 million during the year ended December 31, 2023 </w:t>
      </w:r>
      <w:r>
        <w:rPr>
          <w:rFonts w:ascii="Calibri" w:cs="Calibri" w:eastAsia="Calibri" w:hAnsi="Calibri"/>
          <w:sz w:val="15"/>
          <w:szCs w:val="15"/>
          <w:color w:val="212529"/>
        </w:rPr>
        <w:t>was due primarily to $24.6 million in purchases of property and equipment, $20.6</w:t>
      </w:r>
      <w:r>
        <w:rPr>
          <w:rFonts w:ascii="Calibri" w:cs="Calibri" w:eastAsia="Calibri" w:hAnsi="Calibri"/>
          <w:sz w:val="15"/>
          <w:szCs w:val="15"/>
          <w:color w:val="auto"/>
        </w:rPr>
        <w:t xml:space="preserve"> </w:t>
      </w:r>
      <w:r>
        <w:rPr>
          <w:rFonts w:ascii="Calibri" w:cs="Calibri" w:eastAsia="Calibri" w:hAnsi="Calibri"/>
          <w:sz w:val="15"/>
          <w:szCs w:val="15"/>
          <w:color w:val="212529"/>
        </w:rPr>
        <w:t>million of purchases of short-term investments, net of sales, and $16.6 million of capitalized website development costs.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 xml:space="preserve">Net cash provided by investng actvites of $72.7 million during the year ended December 31, 2022 was </w:t>
      </w:r>
      <w:r>
        <w:rPr>
          <w:rFonts w:ascii="Calibri" w:cs="Calibri" w:eastAsia="Calibri" w:hAnsi="Calibri"/>
          <w:sz w:val="15"/>
          <w:szCs w:val="15"/>
          <w:color w:val="212529"/>
        </w:rPr>
        <w:t>due to $90.0 million of maturites in certfcates of deposit, ofset in part</w:t>
      </w:r>
      <w:r>
        <w:rPr>
          <w:rFonts w:ascii="Calibri" w:cs="Calibri" w:eastAsia="Calibri" w:hAnsi="Calibri"/>
          <w:sz w:val="15"/>
          <w:szCs w:val="15"/>
          <w:color w:val="auto"/>
        </w:rPr>
        <w:t xml:space="preserve"> </w:t>
      </w:r>
      <w:r>
        <w:rPr>
          <w:rFonts w:ascii="Calibri" w:cs="Calibri" w:eastAsia="Calibri" w:hAnsi="Calibri"/>
          <w:sz w:val="15"/>
          <w:szCs w:val="15"/>
          <w:color w:val="212529"/>
        </w:rPr>
        <w:t>by $11.3 million of capitalizaton of website development costs and $5.9 million of purchases of property and equipment.</w:t>
      </w:r>
    </w:p>
    <w:p>
      <w:pPr>
        <w:spacing w:after="0" w:line="184" w:lineRule="exact"/>
        <w:rPr>
          <w:sz w:val="20"/>
          <w:szCs w:val="20"/>
          <w:color w:val="auto"/>
        </w:rPr>
      </w:pPr>
    </w:p>
    <w:p>
      <w:pPr>
        <w:spacing w:after="0"/>
        <w:rPr>
          <w:sz w:val="20"/>
          <w:szCs w:val="20"/>
          <w:color w:val="auto"/>
        </w:rPr>
      </w:pPr>
      <w:r>
        <w:rPr>
          <w:rFonts w:ascii="Calibri" w:cs="Calibri" w:eastAsia="Calibri" w:hAnsi="Calibri"/>
          <w:sz w:val="15"/>
          <w:szCs w:val="15"/>
          <w:b w:val="1"/>
          <w:bCs w:val="1"/>
          <w:i w:val="1"/>
          <w:iCs w:val="1"/>
          <w:color w:val="auto"/>
        </w:rPr>
        <w:t>Financing Actvites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 xml:space="preserve">Net cash used in fnancing actvites of $253.6 million during the year ended December 31, 2023 </w:t>
      </w:r>
      <w:r>
        <w:rPr>
          <w:rFonts w:ascii="Calibri" w:cs="Calibri" w:eastAsia="Calibri" w:hAnsi="Calibri"/>
          <w:sz w:val="15"/>
          <w:szCs w:val="15"/>
          <w:color w:val="212529"/>
        </w:rPr>
        <w:t>was due primarily to $208.5 million of payment for repurchase of our Class A</w:t>
      </w:r>
      <w:r>
        <w:rPr>
          <w:rFonts w:ascii="Calibri" w:cs="Calibri" w:eastAsia="Calibri" w:hAnsi="Calibri"/>
          <w:sz w:val="15"/>
          <w:szCs w:val="15"/>
          <w:color w:val="auto"/>
        </w:rPr>
        <w:t xml:space="preserve"> </w:t>
      </w:r>
      <w:r>
        <w:rPr>
          <w:rFonts w:ascii="Calibri" w:cs="Calibri" w:eastAsia="Calibri" w:hAnsi="Calibri"/>
          <w:sz w:val="15"/>
          <w:szCs w:val="15"/>
          <w:color w:val="212529"/>
        </w:rPr>
        <w:t>common stock under the 2022 Share Repurchase Program, $25.0 million of payment for repurchase of redeemable noncontrolling interest, $15.6 million of payment of withholding taxes on net share setlements of restricted stock units, and $4.5 million of change in gross advance payments received from third-party transacton processor.</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 xml:space="preserve">Net cash used in fnancing actvites of $92.6 million during the year ended December 31, 2022 was </w:t>
      </w:r>
      <w:r>
        <w:rPr>
          <w:rFonts w:ascii="Calibri" w:cs="Calibri" w:eastAsia="Calibri" w:hAnsi="Calibri"/>
          <w:sz w:val="15"/>
          <w:szCs w:val="15"/>
          <w:color w:val="212529"/>
        </w:rPr>
        <w:t>due primarily to a $40.3 million decrease in gross advance payments received</w:t>
      </w:r>
      <w:r>
        <w:rPr>
          <w:rFonts w:ascii="Calibri" w:cs="Calibri" w:eastAsia="Calibri" w:hAnsi="Calibri"/>
          <w:sz w:val="15"/>
          <w:szCs w:val="15"/>
          <w:color w:val="auto"/>
        </w:rPr>
        <w:t xml:space="preserve"> </w:t>
      </w:r>
      <w:r>
        <w:rPr>
          <w:rFonts w:ascii="Calibri" w:cs="Calibri" w:eastAsia="Calibri" w:hAnsi="Calibri"/>
          <w:sz w:val="15"/>
          <w:szCs w:val="15"/>
          <w:color w:val="212529"/>
        </w:rPr>
        <w:t xml:space="preserve">from third-party transacton processor, </w:t>
      </w:r>
      <w:r>
        <w:rPr>
          <w:rFonts w:ascii="Calibri" w:cs="Calibri" w:eastAsia="Calibri" w:hAnsi="Calibri"/>
          <w:sz w:val="15"/>
          <w:szCs w:val="15"/>
          <w:color w:val="000000"/>
        </w:rPr>
        <w:t>$19.9 million of payment of tax distributons to redeemable noncontrolling interest holders, $16.0 million of</w:t>
      </w:r>
      <w:r>
        <w:rPr>
          <w:rFonts w:ascii="Calibri" w:cs="Calibri" w:eastAsia="Calibri" w:hAnsi="Calibri"/>
          <w:sz w:val="15"/>
          <w:szCs w:val="15"/>
          <w:color w:val="212529"/>
        </w:rPr>
        <w:t xml:space="preserve"> payment of withholding taxes on net share setlements of restricted stock units, $14.4 million of payment for the repurchase of our Class A common stock under the 2022 Share Repurchase Program, and </w:t>
      </w:r>
      <w:r>
        <w:rPr>
          <w:rFonts w:ascii="Calibri" w:cs="Calibri" w:eastAsia="Calibri" w:hAnsi="Calibri"/>
          <w:sz w:val="15"/>
          <w:szCs w:val="15"/>
          <w:color w:val="000000"/>
        </w:rPr>
        <w:t>$2.6 million of</w:t>
      </w:r>
      <w:r>
        <w:rPr>
          <w:rFonts w:ascii="Calibri" w:cs="Calibri" w:eastAsia="Calibri" w:hAnsi="Calibri"/>
          <w:sz w:val="15"/>
          <w:szCs w:val="15"/>
          <w:color w:val="212529"/>
        </w:rPr>
        <w:t xml:space="preserve"> </w:t>
      </w:r>
      <w:r>
        <w:rPr>
          <w:rFonts w:ascii="Calibri" w:cs="Calibri" w:eastAsia="Calibri" w:hAnsi="Calibri"/>
          <w:sz w:val="15"/>
          <w:szCs w:val="15"/>
          <w:color w:val="000000"/>
        </w:rPr>
        <w:t xml:space="preserve">payment of deferred fnancing costs, </w:t>
      </w:r>
      <w:r>
        <w:rPr>
          <w:rFonts w:ascii="Calibri" w:cs="Calibri" w:eastAsia="Calibri" w:hAnsi="Calibri"/>
          <w:sz w:val="15"/>
          <w:szCs w:val="15"/>
          <w:color w:val="212529"/>
        </w:rPr>
        <w:t>partally ofset by $0.7 million of proceeds from the issuance of Class A common stock upon exercise of stock optons.</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b w:val="1"/>
          <w:bCs w:val="1"/>
          <w:color w:val="auto"/>
        </w:rPr>
        <w:t>Contractual Obligatons and Known Future Cash Requirements</w:t>
      </w:r>
    </w:p>
    <w:p>
      <w:pPr>
        <w:spacing w:after="0" w:line="185" w:lineRule="exact"/>
        <w:rPr>
          <w:sz w:val="20"/>
          <w:szCs w:val="20"/>
          <w:color w:val="auto"/>
        </w:rPr>
      </w:pPr>
    </w:p>
    <w:p>
      <w:pPr>
        <w:ind w:left="500"/>
        <w:spacing w:after="0"/>
        <w:rPr>
          <w:sz w:val="20"/>
          <w:szCs w:val="20"/>
          <w:color w:val="auto"/>
        </w:rPr>
      </w:pPr>
      <w:r>
        <w:rPr>
          <w:rFonts w:ascii="Calibri" w:cs="Calibri" w:eastAsia="Calibri" w:hAnsi="Calibri"/>
          <w:sz w:val="15"/>
          <w:szCs w:val="15"/>
          <w:color w:val="auto"/>
        </w:rPr>
        <w:t>See Note 10 to our consolidated fnancial statements included elsewhere in this Annual Report for our contractual obligatons and commitments.</w:t>
      </w:r>
    </w:p>
    <w:p>
      <w:pPr>
        <w:spacing w:after="0" w:line="185" w:lineRule="exact"/>
        <w:rPr>
          <w:sz w:val="20"/>
          <w:szCs w:val="20"/>
          <w:color w:val="auto"/>
        </w:rPr>
      </w:pPr>
    </w:p>
    <w:p>
      <w:pPr>
        <w:jc w:val="center"/>
        <w:spacing w:after="0"/>
        <w:rPr>
          <w:sz w:val="20"/>
          <w:szCs w:val="20"/>
          <w:color w:val="auto"/>
        </w:rPr>
      </w:pPr>
      <w:r>
        <w:rPr>
          <w:rFonts w:ascii="Calibri" w:cs="Calibri" w:eastAsia="Calibri" w:hAnsi="Calibri"/>
          <w:sz w:val="15"/>
          <w:szCs w:val="15"/>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408940</wp:posOffset>
            </wp:positionV>
            <wp:extent cx="7178040" cy="400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4" w:right="319" w:bottom="1440" w:gutter="0" w:footer="0" w:header="0"/>
        </w:sectPr>
      </w:pPr>
    </w:p>
    <w:bookmarkStart w:id="70" w:name="page71"/>
    <w:bookmarkEnd w:id="70"/>
    <w:p>
      <w:pPr>
        <w:spacing w:after="0"/>
        <w:rPr>
          <w:sz w:val="20"/>
          <w:szCs w:val="20"/>
          <w:color w:val="auto"/>
        </w:rPr>
      </w:pPr>
      <w:r>
        <w:rPr>
          <w:rFonts w:ascii="MS PGothic" w:cs="MS PGothic" w:eastAsia="MS PGothic" w:hAnsi="MS PGothic"/>
          <w:sz w:val="15"/>
          <w:szCs w:val="15"/>
          <w:b w:val="1"/>
          <w:bCs w:val="1"/>
          <w:color w:val="auto"/>
        </w:rPr>
        <w:t>Seasonality</w:t>
      </w:r>
    </w:p>
    <w:p>
      <w:pPr>
        <w:spacing w:after="0" w:line="218"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Across the retail automotve industry, consumer purchases are typically greatest in the frst three quarters of each year, due in part to the introducton of new vehicle models from manufacturers and the seasonal nature of consumer spending. Additonally, the volume of wholesale vehicle sales can fuctuate from quarter to quarter driven by several factors, including the tming of used vehicles available for sale from selling customers, the seasonality of the retail market for used vehicles, and/or inventory challenges in the automotve industry, which afect the demand side of the wholesale industry.</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Macroeconomic conditons, such as slower growth or recession, higher interest rates, unemployment, consumer confdence in the economy, consumer debt levels, labor, disruptons, work stoppages, or strikes, the ongoing military confict between Russia and Ukraine, the confict in Israel and surrounding areas and the possible expansion of such confict, foreign currency exchange rate fuctuatons, and other maters that infuence consumer spending and preferences, can also impact the volume of wholesale vehicle sales, as was evidenced by the global semiconductor chip shortage and other supply related shortages.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The Digital Wholesale segment operatng results have refected the general seasonality of the wholesale vehicle sales market and macroeconomic conditons of the automotve industry. The U.S. Marketplace segment operatng results have refected the macroeconomic conditons of the automotve industry. However, to date, the U.S. Marketplace segment operatng results have not been materially impacted by the general seasonality of the automotve industry. This could possibly change as our business and markets mature.</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As a result, revenue and cost of revenue related to volume will fuctuate accordingly on a quarterly basis. Typical seasonality trends may not be observed in periods where other external factors more signifcantly impact the wholesale industry.</w:t>
      </w:r>
    </w:p>
    <w:p>
      <w:pPr>
        <w:spacing w:after="0" w:line="185" w:lineRule="exact"/>
        <w:rPr>
          <w:sz w:val="20"/>
          <w:szCs w:val="20"/>
          <w:color w:val="auto"/>
        </w:rPr>
      </w:pPr>
    </w:p>
    <w:p>
      <w:pPr>
        <w:spacing w:after="0"/>
        <w:rPr>
          <w:sz w:val="20"/>
          <w:szCs w:val="20"/>
          <w:color w:val="auto"/>
        </w:rPr>
      </w:pPr>
      <w:r>
        <w:rPr>
          <w:rFonts w:ascii="MS PGothic" w:cs="MS PGothic" w:eastAsia="MS PGothic" w:hAnsi="MS PGothic"/>
          <w:sz w:val="15"/>
          <w:szCs w:val="15"/>
          <w:b w:val="1"/>
          <w:bCs w:val="1"/>
          <w:color w:val="auto"/>
        </w:rPr>
        <w:t>Of‑Balance Sheet Arrangements</w:t>
      </w:r>
    </w:p>
    <w:p>
      <w:pPr>
        <w:spacing w:after="0" w:line="218"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As of December 31, 2023 and 2022, we did not have any of-balance sheet arrangements, or material leases that are less than 12 months in duraton, that have or are reasonably likely to have a current or future material efect on our fnancial conditon, changes in fnancial conditon, revenue or expenses, results of operatons, liquidity, capital expenditures, or capital resources.</w:t>
      </w:r>
    </w:p>
    <w:p>
      <w:pPr>
        <w:spacing w:after="0" w:line="185" w:lineRule="exact"/>
        <w:rPr>
          <w:sz w:val="20"/>
          <w:szCs w:val="20"/>
          <w:color w:val="auto"/>
        </w:rPr>
      </w:pPr>
    </w:p>
    <w:p>
      <w:pPr>
        <w:spacing w:after="0"/>
        <w:rPr>
          <w:sz w:val="20"/>
          <w:szCs w:val="20"/>
          <w:color w:val="auto"/>
        </w:rPr>
      </w:pPr>
      <w:r>
        <w:rPr>
          <w:rFonts w:ascii="MS PGothic" w:cs="MS PGothic" w:eastAsia="MS PGothic" w:hAnsi="MS PGothic"/>
          <w:sz w:val="15"/>
          <w:szCs w:val="15"/>
          <w:b w:val="1"/>
          <w:bCs w:val="1"/>
          <w:color w:val="auto"/>
        </w:rPr>
        <w:t>Critcal Accountng Estmates</w:t>
      </w:r>
    </w:p>
    <w:p>
      <w:pPr>
        <w:spacing w:after="0" w:line="218"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The preparaton of the consolidated fnancial statements in conformity with GAAP requires management to make estmates and assumptons that afect the reported amounts of assets and liabilites, and the disclosure of contngent assets and liabilites at the date of the fnancial statements, and the reported amounts of revenue and expenses during the reportng period.</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Although we regularly assess these estmates, actual results could difer materially from these estmates. We base our estmates on historical experience and various other assumptons that we believe to be reasonable under the circumstances. Actual results may difer from management's estmates if these results difer from historical experience, or other assumptons do not turn out to be substantally accurate, even if such assumptons are reasonable when made. Changes in estmates are recognized in the period in which they become known.</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Critcal estmates relied upon in preparing the consolidated fnancial statements include the determinaton of sales allowance and variable consideraton in our revenue recogniton, allowance for doubtul accounts, the impairment of long-lived assets, the capitalizaton of product, technology, and development costs for website development, internal-use sofware, and hostng arrangements, the valuaton of acquired assets and liabilites, the valuaton and recoverability of intangible assets and goodwill, the valuaton of redeemable noncontrolling interest, the recoverability of our net deferred tax assets and related valuaton allowance, the valuaton of inventory, and the valuaton of equity and liability-classifed compensaton awards. Accordingly, we consider these to be our critcal accountng estmates and believe that of our signifcant accountng policies, these involve the greatest degree of judgment and complexity.</w:t>
      </w:r>
    </w:p>
    <w:p>
      <w:pPr>
        <w:spacing w:after="0" w:line="185" w:lineRule="exact"/>
        <w:rPr>
          <w:sz w:val="20"/>
          <w:szCs w:val="20"/>
          <w:color w:val="auto"/>
        </w:rPr>
      </w:pPr>
    </w:p>
    <w:p>
      <w:pPr>
        <w:jc w:val="center"/>
        <w:spacing w:after="0"/>
        <w:rPr>
          <w:sz w:val="20"/>
          <w:szCs w:val="20"/>
          <w:color w:val="auto"/>
        </w:rPr>
      </w:pPr>
      <w:r>
        <w:rPr>
          <w:rFonts w:ascii="Calibri" w:cs="Calibri" w:eastAsia="Calibri" w:hAnsi="Calibri"/>
          <w:sz w:val="15"/>
          <w:szCs w:val="15"/>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408940</wp:posOffset>
            </wp:positionV>
            <wp:extent cx="7178040" cy="400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4" w:right="319" w:bottom="1440" w:gutter="0" w:footer="0" w:header="0"/>
        </w:sectPr>
      </w:pPr>
    </w:p>
    <w:bookmarkStart w:id="71" w:name="page72"/>
    <w:bookmarkEnd w:id="71"/>
    <w:p>
      <w:pPr>
        <w:spacing w:after="0"/>
        <w:rPr>
          <w:sz w:val="20"/>
          <w:szCs w:val="20"/>
          <w:color w:val="auto"/>
        </w:rPr>
      </w:pPr>
      <w:r>
        <w:rPr>
          <w:rFonts w:ascii="Calibri" w:cs="Calibri" w:eastAsia="Calibri" w:hAnsi="Calibri"/>
          <w:sz w:val="15"/>
          <w:szCs w:val="15"/>
          <w:b w:val="1"/>
          <w:bCs w:val="1"/>
          <w:i w:val="1"/>
          <w:iCs w:val="1"/>
          <w:color w:val="auto"/>
        </w:rPr>
        <w:t>Revenue Recogniton – Sales Allowance and Variable Consideraton</w:t>
      </w:r>
    </w:p>
    <w:p>
      <w:pPr>
        <w:spacing w:after="0" w:line="185" w:lineRule="exact"/>
        <w:rPr>
          <w:sz w:val="20"/>
          <w:szCs w:val="20"/>
          <w:color w:val="auto"/>
        </w:rPr>
      </w:pPr>
    </w:p>
    <w:p>
      <w:pPr>
        <w:jc w:val="both"/>
        <w:ind w:firstLine="511"/>
        <w:spacing w:after="0" w:line="316" w:lineRule="auto"/>
        <w:rPr>
          <w:sz w:val="20"/>
          <w:szCs w:val="20"/>
          <w:color w:val="auto"/>
        </w:rPr>
      </w:pPr>
      <w:r>
        <w:rPr>
          <w:rFonts w:ascii="MS PGothic" w:cs="MS PGothic" w:eastAsia="MS PGothic" w:hAnsi="MS PGothic"/>
          <w:sz w:val="14"/>
          <w:szCs w:val="14"/>
          <w:color w:val="auto"/>
        </w:rPr>
        <w:t xml:space="preserve">Our accountng policy relatng to revenue recogniton refects the impact of the adopton of Accountng Standards Codifcaton 606, </w:t>
      </w:r>
      <w:r>
        <w:rPr>
          <w:rFonts w:ascii="Calibri" w:cs="Calibri" w:eastAsia="Calibri" w:hAnsi="Calibri"/>
          <w:sz w:val="14"/>
          <w:szCs w:val="14"/>
          <w:i w:val="1"/>
          <w:iCs w:val="1"/>
          <w:color w:val="auto"/>
        </w:rPr>
        <w:t>Revenue from Contracts with Customers</w:t>
      </w:r>
      <w:r>
        <w:rPr>
          <w:rFonts w:ascii="MS PGothic" w:cs="MS PGothic" w:eastAsia="MS PGothic" w:hAnsi="MS PGothic"/>
          <w:sz w:val="14"/>
          <w:szCs w:val="14"/>
          <w:color w:val="auto"/>
        </w:rPr>
        <w:t>, or ASC 606, which is discussed further in the notes to our consolidated fnancial statements included elsewhere in this Annual Report. As prescribed by ASC 606, we recognize revenue based on a fve-step approach. We derive our revenue from marketplace revenue, wholesale revenue, and product revenue. Marketplace revenue is included in the U.S. Marketplace segment and Other category of segment reportng. Wholesale revenue and product revenue are included in the Digital Wholesale segment. We generate marketplace revenue primarily from (i) dealer subscriptons to our Listngs packages, RPM, digital advertsing suite, Digital Retail, and Sell My Car - TDO, (ii) advertsing revenue from auto manufacturers and other auto‑related brand advertsers, and (iii) revenue from partnerships with fnancing services companies. We generate wholesale revenue primarily from (x) transacton fees earned from Dealer-to-Dealer transactons, (y) transacton fees earned from the sale of vehicles to dealers that we acquire at other marketplaces, and (z) transacton fees earned from performing inspecton and transportaton services, inclusive of Dealer-to-Dealer transactons, other marketplace to dealer transactons, and IMCO transactons. We generate product revenue primarily from (A) aggregate proceeds received from the sale of vehicles that were acquired through IMCO transactons, and (B) proceeds received from the sale of vehicles that were acquired through arbitraton. Critcal accountng estmates associated with each of the three revenue sources are outlined below.</w:t>
      </w:r>
    </w:p>
    <w:p>
      <w:pPr>
        <w:spacing w:after="0" w:line="141" w:lineRule="exact"/>
        <w:rPr>
          <w:sz w:val="20"/>
          <w:szCs w:val="20"/>
          <w:color w:val="auto"/>
        </w:rPr>
      </w:pPr>
    </w:p>
    <w:p>
      <w:pPr>
        <w:jc w:val="both"/>
        <w:ind w:firstLine="511"/>
        <w:spacing w:after="0" w:line="302" w:lineRule="auto"/>
        <w:rPr>
          <w:sz w:val="20"/>
          <w:szCs w:val="20"/>
          <w:color w:val="auto"/>
        </w:rPr>
      </w:pPr>
      <w:r>
        <w:rPr>
          <w:rFonts w:ascii="MS PGothic" w:cs="MS PGothic" w:eastAsia="MS PGothic" w:hAnsi="MS PGothic"/>
          <w:sz w:val="15"/>
          <w:szCs w:val="15"/>
          <w:color w:val="auto"/>
        </w:rPr>
        <w:t>Total consideraton for marketplace revenue is stated within the contracts. There are no contractual cash refund rights, but credits may be issued to a customer at our sole discreton. Dealer customers do not have the right to take possession of our sofware. At the portolio level, there is also variable consideraton that needs to be included in the transacton price. Variable consideraton consists of sales allowances, usage fees, and concessions that change the transacton price of the unsatsfed or partally unsatsfed performance obligaton. We recognize that there are tmes when there is a customer satsfacton issue or other circumstances that will lead to a credit. Due to the known possibility of future credits, a monthly sales allowance review is performed to defer revenue at a portolio level for such future adjustments in the period of incurrence. We establish sales allowances at the tme of revenue recogniton based on our history of adjustments and credits provided to our customers. In assessing the adequacy of the sales allowance, we evaluate our history of adjustments and credits made through the date of the issuance of the consolidated fnancial statements. Estmated sales adjustments, credits, and losses may vary from actual results which could lead to material adjustments to the consolidated fnancial statements.</w:t>
      </w:r>
    </w:p>
    <w:p>
      <w:pPr>
        <w:spacing w:after="0" w:line="147" w:lineRule="exact"/>
        <w:rPr>
          <w:sz w:val="20"/>
          <w:szCs w:val="20"/>
          <w:color w:val="auto"/>
        </w:rPr>
      </w:pPr>
    </w:p>
    <w:p>
      <w:pPr>
        <w:jc w:val="both"/>
        <w:ind w:firstLine="511"/>
        <w:spacing w:after="0" w:line="303" w:lineRule="auto"/>
        <w:rPr>
          <w:sz w:val="20"/>
          <w:szCs w:val="20"/>
          <w:color w:val="auto"/>
        </w:rPr>
      </w:pPr>
      <w:r>
        <w:rPr>
          <w:rFonts w:ascii="MS PGothic" w:cs="MS PGothic" w:eastAsia="MS PGothic" w:hAnsi="MS PGothic"/>
          <w:sz w:val="15"/>
          <w:szCs w:val="15"/>
          <w:color w:val="auto"/>
        </w:rPr>
        <w:t>Advertsing contracts state the transacton price within the agreement with payment generally being based on the number of clicks or impressions delivered on our websites. Total consideraton is based on output and deemed variable consideraton constrained by an agreed upon delivery schedule and is allocated to the period in which the service was rendered. Additonally, there are generally no contractual cash refund rights. Certain contracts do contain the right for credits in situatons in which impressions are not displayed in compliance with contractual specifcatons. At an individual contract level, we may give a credit for a customer satsfacton issue or other circumstance. Due to the known possibility of future credits, a monthly review is performed to defer revenue at an individual contract level for such future adjustments in the period of incurrence. Although these credits have not been material and have not changed signifcantly over the historical period, estmated sales adjustments credits and losses may vary from actual results which could lead to material adjustments to the consolidated fnancial statements.</w:t>
      </w:r>
    </w:p>
    <w:p>
      <w:pPr>
        <w:spacing w:after="0" w:line="147" w:lineRule="exact"/>
        <w:rPr>
          <w:sz w:val="20"/>
          <w:szCs w:val="20"/>
          <w:color w:val="auto"/>
        </w:rPr>
      </w:pPr>
    </w:p>
    <w:p>
      <w:pPr>
        <w:jc w:val="both"/>
        <w:ind w:firstLine="511"/>
        <w:spacing w:after="0" w:line="312" w:lineRule="auto"/>
        <w:rPr>
          <w:sz w:val="20"/>
          <w:szCs w:val="20"/>
          <w:color w:val="auto"/>
        </w:rPr>
      </w:pPr>
      <w:r>
        <w:rPr>
          <w:rFonts w:ascii="MS PGothic" w:cs="MS PGothic" w:eastAsia="MS PGothic" w:hAnsi="MS PGothic"/>
          <w:sz w:val="15"/>
          <w:szCs w:val="15"/>
          <w:color w:val="auto"/>
        </w:rPr>
        <w:t>Other marketplace revenue includes revenue from contracts for which the performance obligaton is a series of distnct services with the same level of efort daily. For these contracts, primarily related to our partnerships with fnancing services companies, we estmate the value of the variable consideraton in determining the transacton price and allocate it to the performance obligaton. Revenue is estmated and recognized on a ratable basis over the contractual term. We reassess the estmate of variable consideraton at each reportng period.</w:t>
      </w:r>
    </w:p>
    <w:p>
      <w:pPr>
        <w:spacing w:after="0" w:line="140" w:lineRule="exact"/>
        <w:rPr>
          <w:sz w:val="20"/>
          <w:szCs w:val="20"/>
          <w:color w:val="auto"/>
        </w:rPr>
      </w:pPr>
    </w:p>
    <w:p>
      <w:pPr>
        <w:jc w:val="center"/>
        <w:spacing w:after="0"/>
        <w:rPr>
          <w:sz w:val="20"/>
          <w:szCs w:val="20"/>
          <w:color w:val="auto"/>
        </w:rPr>
      </w:pPr>
      <w:r>
        <w:rPr>
          <w:rFonts w:ascii="MS PGothic" w:cs="MS PGothic" w:eastAsia="MS PGothic" w:hAnsi="MS PGothic"/>
          <w:sz w:val="15"/>
          <w:szCs w:val="15"/>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429895</wp:posOffset>
            </wp:positionV>
            <wp:extent cx="7178040" cy="400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3" w:right="319" w:bottom="1440" w:gutter="0" w:footer="0" w:header="0"/>
        </w:sectPr>
      </w:pPr>
    </w:p>
    <w:bookmarkStart w:id="72" w:name="page73"/>
    <w:bookmarkEnd w:id="72"/>
    <w:p>
      <w:pPr>
        <w:jc w:val="both"/>
        <w:ind w:firstLine="511"/>
        <w:spacing w:after="0" w:line="302" w:lineRule="auto"/>
        <w:rPr>
          <w:sz w:val="20"/>
          <w:szCs w:val="20"/>
          <w:color w:val="auto"/>
        </w:rPr>
      </w:pPr>
      <w:r>
        <w:rPr>
          <w:rFonts w:ascii="MS PGothic" w:cs="MS PGothic" w:eastAsia="MS PGothic" w:hAnsi="MS PGothic"/>
          <w:sz w:val="15"/>
          <w:szCs w:val="15"/>
          <w:color w:val="auto"/>
        </w:rPr>
        <w:t>Within wholesale transactons, there are typically no contractual cash refund rights, but credits may be issued to a customer at our sole discreton and refunds may be required by law in the case of a vehicle defect. At the portolio level, there is also variable consideraton that needs to be included in the transacton price. Variable consideraton consists of sales allowances and concessions that change the transacton price of the unsatsfed or partally unsatsfed performance obligaton. We recognize that there are tmes when there is a customer satsfacton issue or other circumstance that will lead to a credit or arbitraton. We establish sales allowances at the tme of revenue recogniton based on our history of adjustments and credits provided to our customers. In assessing the adequacy of the sales allowance, we evaluate our history of adjustments and credits made through the date of the issuance of the consolidated fnancial statements. Upon recognizing a sales transacton, we estmate the amount of transacton price that will be reversed in a subsequent period and record a reserve for returns and cancellatons in other current assets, other current liabilites and accounts receivable in the consolidated balance sheets. Estmated sales adjustments, credits, and losses may vary from actual results which could lead to material adjustments to the consolidated fnancial statements.</w:t>
      </w:r>
    </w:p>
    <w:p>
      <w:pPr>
        <w:spacing w:after="0" w:line="147" w:lineRule="exact"/>
        <w:rPr>
          <w:sz w:val="20"/>
          <w:szCs w:val="20"/>
          <w:color w:val="auto"/>
        </w:rPr>
      </w:pPr>
    </w:p>
    <w:p>
      <w:pPr>
        <w:jc w:val="both"/>
        <w:ind w:firstLine="511"/>
        <w:spacing w:after="0" w:line="302" w:lineRule="auto"/>
        <w:rPr>
          <w:sz w:val="20"/>
          <w:szCs w:val="20"/>
          <w:color w:val="auto"/>
        </w:rPr>
      </w:pPr>
      <w:r>
        <w:rPr>
          <w:rFonts w:ascii="MS PGothic" w:cs="MS PGothic" w:eastAsia="MS PGothic" w:hAnsi="MS PGothic"/>
          <w:sz w:val="15"/>
          <w:szCs w:val="15"/>
          <w:color w:val="auto"/>
        </w:rPr>
        <w:t>Within product transactons, there are typically no contractual cash refund rights, but credits may be issued to a customer at our sole discreton and refunds may be required by law in the case of a vehicle defect. At the portolio level, there is also variable consideraton that needs to be included in the transacton price. Variable consideraton consists of sales allowances and concessions that change the transacton price of the unsatsfed or partally unsatsfed performance obligaton. We recognize that there are tmes when there is a customer satsfacton issue or other circumstance that will lead to a credit or arbitraton. We establish sales allowances at the tme of revenue recogniton based on our history of adjustments and credits provided to our customers. In assessing the adequacy of the sales allowance, we evaluate our history of adjustments and credits made through the date of the issuance of the consolidated fnancial statements. Upon recognizing a sales transacton, we estmate the amount of transacton price that will be reversed in a subsequent period and record a reserve for returns and cancellatons in other current assets, other current liabilites and accounts receivable in the consolidated balance sheets. Estmated sales adjustments, credits, and losses may vary from actual results which could lead to material adjustments to the consolidated fnancial statements.</w:t>
      </w:r>
    </w:p>
    <w:p>
      <w:pPr>
        <w:spacing w:after="0" w:line="147" w:lineRule="exact"/>
        <w:rPr>
          <w:sz w:val="20"/>
          <w:szCs w:val="20"/>
          <w:color w:val="auto"/>
        </w:rPr>
      </w:pPr>
    </w:p>
    <w:p>
      <w:pPr>
        <w:spacing w:after="0"/>
        <w:rPr>
          <w:sz w:val="20"/>
          <w:szCs w:val="20"/>
          <w:color w:val="auto"/>
        </w:rPr>
      </w:pPr>
      <w:r>
        <w:rPr>
          <w:rFonts w:ascii="MS PGothic" w:cs="MS PGothic" w:eastAsia="MS PGothic" w:hAnsi="MS PGothic"/>
          <w:sz w:val="15"/>
          <w:szCs w:val="15"/>
          <w:b w:val="1"/>
          <w:bCs w:val="1"/>
          <w:i w:val="1"/>
          <w:iCs w:val="1"/>
          <w:color w:val="auto"/>
        </w:rPr>
        <w:t>Accounts Receivable – Allowance for Doubtul Accounts</w:t>
      </w:r>
    </w:p>
    <w:p>
      <w:pPr>
        <w:spacing w:after="0" w:line="218" w:lineRule="exact"/>
        <w:rPr>
          <w:sz w:val="20"/>
          <w:szCs w:val="20"/>
          <w:color w:val="auto"/>
        </w:rPr>
      </w:pPr>
    </w:p>
    <w:p>
      <w:pPr>
        <w:jc w:val="both"/>
        <w:ind w:firstLine="511"/>
        <w:spacing w:after="0" w:line="312" w:lineRule="auto"/>
        <w:rPr>
          <w:sz w:val="20"/>
          <w:szCs w:val="20"/>
          <w:color w:val="auto"/>
        </w:rPr>
      </w:pPr>
      <w:r>
        <w:rPr>
          <w:rFonts w:ascii="MS PGothic" w:cs="MS PGothic" w:eastAsia="MS PGothic" w:hAnsi="MS PGothic"/>
          <w:sz w:val="15"/>
          <w:szCs w:val="15"/>
          <w:color w:val="auto"/>
        </w:rPr>
        <w:t>The allowance for doubtul accounts is our best estmate of the amount of probable credit losses in our existng accounts receivable and is based upon historical loss trends, the number of days that billings are past due, an evaluaton of the potental risk of loss associated with specifc accounts, current economic trends and conditons, and reasonable and supportable forecasts of economic conditons. If circumstances relatng to specifc customers change, or unantcipated changes occur in the general business environment, partcularly as it afects auto dealers, our estmates of the recoverability of receivables could be further adjusted.</w:t>
      </w:r>
    </w:p>
    <w:p>
      <w:pPr>
        <w:spacing w:after="0" w:line="136" w:lineRule="exact"/>
        <w:rPr>
          <w:sz w:val="20"/>
          <w:szCs w:val="20"/>
          <w:color w:val="auto"/>
        </w:rPr>
      </w:pPr>
    </w:p>
    <w:p>
      <w:pPr>
        <w:spacing w:after="0"/>
        <w:rPr>
          <w:sz w:val="20"/>
          <w:szCs w:val="20"/>
          <w:color w:val="auto"/>
        </w:rPr>
      </w:pPr>
      <w:r>
        <w:rPr>
          <w:rFonts w:ascii="MS PGothic" w:cs="MS PGothic" w:eastAsia="MS PGothic" w:hAnsi="MS PGothic"/>
          <w:sz w:val="15"/>
          <w:szCs w:val="15"/>
          <w:b w:val="1"/>
          <w:bCs w:val="1"/>
          <w:i w:val="1"/>
          <w:iCs w:val="1"/>
          <w:color w:val="auto"/>
        </w:rPr>
        <w:t xml:space="preserve">Long‑Lived Assets </w:t>
      </w:r>
      <w:r>
        <w:rPr>
          <w:rFonts w:ascii="Calibri" w:cs="Calibri" w:eastAsia="Calibri" w:hAnsi="Calibri"/>
          <w:sz w:val="16"/>
          <w:szCs w:val="16"/>
          <w:b w:val="1"/>
          <w:bCs w:val="1"/>
          <w:i w:val="1"/>
          <w:iCs w:val="1"/>
          <w:color w:val="auto"/>
        </w:rPr>
        <w:t>–</w:t>
      </w:r>
      <w:r>
        <w:rPr>
          <w:rFonts w:ascii="MS PGothic" w:cs="MS PGothic" w:eastAsia="MS PGothic" w:hAnsi="MS PGothic"/>
          <w:sz w:val="15"/>
          <w:szCs w:val="15"/>
          <w:b w:val="1"/>
          <w:bCs w:val="1"/>
          <w:i w:val="1"/>
          <w:iCs w:val="1"/>
          <w:color w:val="auto"/>
        </w:rPr>
        <w:t xml:space="preserve"> Impairment</w:t>
      </w:r>
    </w:p>
    <w:p>
      <w:pPr>
        <w:spacing w:after="0" w:line="200" w:lineRule="exact"/>
        <w:rPr>
          <w:sz w:val="20"/>
          <w:szCs w:val="20"/>
          <w:color w:val="auto"/>
        </w:rPr>
      </w:pPr>
    </w:p>
    <w:p>
      <w:pPr>
        <w:jc w:val="both"/>
        <w:ind w:firstLine="511"/>
        <w:spacing w:after="0" w:line="307" w:lineRule="auto"/>
        <w:rPr>
          <w:sz w:val="20"/>
          <w:szCs w:val="20"/>
          <w:color w:val="auto"/>
        </w:rPr>
      </w:pPr>
      <w:r>
        <w:rPr>
          <w:rFonts w:ascii="MS PGothic" w:cs="MS PGothic" w:eastAsia="MS PGothic" w:hAnsi="MS PGothic"/>
          <w:sz w:val="15"/>
          <w:szCs w:val="15"/>
          <w:color w:val="auto"/>
        </w:rPr>
        <w:t>We evaluate the recoverability of long-lived assets, such as property and equipment and intangible assets, for impairment at least annually and whenever events or changes in circumstances indicate that the carrying value of an asset may not be recoverable. During this review, we re‑evaluate the signifcant assumptons used in determining the original cost and estmated lives of long-lived assets. Although the assumptons may vary from asset to asset, they generally include operatng results, changes in the use of the asset, cash fows, and other indicators of value. Management then determines whether the remaining useful life contnues to be appropriate, or whether there has been an impairment of long‑lived assets based primarily upon whether expected future undiscounted cash fows are sufcient to support the assets’ recovery.</w:t>
      </w:r>
    </w:p>
    <w:p>
      <w:pPr>
        <w:spacing w:after="0" w:line="141" w:lineRule="exact"/>
        <w:rPr>
          <w:sz w:val="20"/>
          <w:szCs w:val="20"/>
          <w:color w:val="auto"/>
        </w:rPr>
      </w:pPr>
    </w:p>
    <w:p>
      <w:pPr>
        <w:spacing w:after="0"/>
        <w:rPr>
          <w:sz w:val="20"/>
          <w:szCs w:val="20"/>
          <w:color w:val="auto"/>
        </w:rPr>
      </w:pPr>
      <w:r>
        <w:rPr>
          <w:rFonts w:ascii="MS PGothic" w:cs="MS PGothic" w:eastAsia="MS PGothic" w:hAnsi="MS PGothic"/>
          <w:sz w:val="15"/>
          <w:szCs w:val="15"/>
          <w:b w:val="1"/>
          <w:bCs w:val="1"/>
          <w:i w:val="1"/>
          <w:iCs w:val="1"/>
          <w:color w:val="auto"/>
        </w:rPr>
        <w:t xml:space="preserve">Website Development and Internal-Use Sofware Costs </w:t>
      </w:r>
      <w:r>
        <w:rPr>
          <w:rFonts w:ascii="Calibri" w:cs="Calibri" w:eastAsia="Calibri" w:hAnsi="Calibri"/>
          <w:sz w:val="16"/>
          <w:szCs w:val="16"/>
          <w:b w:val="1"/>
          <w:bCs w:val="1"/>
          <w:i w:val="1"/>
          <w:iCs w:val="1"/>
          <w:color w:val="auto"/>
        </w:rPr>
        <w:t>–</w:t>
      </w:r>
      <w:r>
        <w:rPr>
          <w:rFonts w:ascii="MS PGothic" w:cs="MS PGothic" w:eastAsia="MS PGothic" w:hAnsi="MS PGothic"/>
          <w:sz w:val="15"/>
          <w:szCs w:val="15"/>
          <w:b w:val="1"/>
          <w:bCs w:val="1"/>
          <w:i w:val="1"/>
          <w:iCs w:val="1"/>
          <w:color w:val="auto"/>
        </w:rPr>
        <w:t xml:space="preserve"> Capitalizaton</w:t>
      </w:r>
    </w:p>
    <w:p>
      <w:pPr>
        <w:spacing w:after="0" w:line="200" w:lineRule="exact"/>
        <w:rPr>
          <w:sz w:val="20"/>
          <w:szCs w:val="20"/>
          <w:color w:val="auto"/>
        </w:rPr>
      </w:pPr>
    </w:p>
    <w:p>
      <w:pPr>
        <w:jc w:val="both"/>
        <w:ind w:firstLine="511"/>
        <w:spacing w:after="0" w:line="347" w:lineRule="auto"/>
        <w:rPr>
          <w:sz w:val="20"/>
          <w:szCs w:val="20"/>
          <w:color w:val="auto"/>
        </w:rPr>
      </w:pPr>
      <w:r>
        <w:rPr>
          <w:rFonts w:ascii="MS PGothic" w:cs="MS PGothic" w:eastAsia="MS PGothic" w:hAnsi="MS PGothic"/>
          <w:sz w:val="15"/>
          <w:szCs w:val="15"/>
          <w:color w:val="auto"/>
        </w:rPr>
        <w:t>Capitalized website development and capitalized internal-use sofware costs are amortzed on a straight‑line basis over their estmated useful life of three years beginning with the tme when the product is ready for intended use.</w:t>
      </w:r>
    </w:p>
    <w:p>
      <w:pPr>
        <w:spacing w:after="0" w:line="119" w:lineRule="exact"/>
        <w:rPr>
          <w:sz w:val="20"/>
          <w:szCs w:val="20"/>
          <w:color w:val="auto"/>
        </w:rPr>
      </w:pPr>
    </w:p>
    <w:p>
      <w:pPr>
        <w:jc w:val="both"/>
        <w:ind w:firstLine="511"/>
        <w:spacing w:after="0" w:line="320" w:lineRule="auto"/>
        <w:rPr>
          <w:sz w:val="20"/>
          <w:szCs w:val="20"/>
          <w:color w:val="auto"/>
        </w:rPr>
      </w:pPr>
      <w:r>
        <w:rPr>
          <w:rFonts w:ascii="MS PGothic" w:cs="MS PGothic" w:eastAsia="MS PGothic" w:hAnsi="MS PGothic"/>
          <w:sz w:val="15"/>
          <w:szCs w:val="15"/>
          <w:color w:val="auto"/>
        </w:rPr>
        <w:t>We evaluate the useful lives of these assets when each asset is ready for its intended use, and at least annually thereafer to ensure three years remains appropriate. We also test for impairment at least annually and whenever events or changes in circumstances occur that could impact the recoverability of these assets. Impairment is evaluated as discussed in the “Long-Lived Assets - Impairment” secton above.</w:t>
      </w:r>
    </w:p>
    <w:p>
      <w:pPr>
        <w:spacing w:after="0" w:line="136" w:lineRule="exact"/>
        <w:rPr>
          <w:sz w:val="20"/>
          <w:szCs w:val="20"/>
          <w:color w:val="auto"/>
        </w:rPr>
      </w:pPr>
    </w:p>
    <w:p>
      <w:pPr>
        <w:jc w:val="center"/>
        <w:spacing w:after="0"/>
        <w:rPr>
          <w:sz w:val="20"/>
          <w:szCs w:val="20"/>
          <w:color w:val="auto"/>
        </w:rPr>
      </w:pPr>
      <w:r>
        <w:rPr>
          <w:rFonts w:ascii="MS PGothic" w:cs="MS PGothic" w:eastAsia="MS PGothic" w:hAnsi="MS PGothic"/>
          <w:sz w:val="15"/>
          <w:szCs w:val="15"/>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429895</wp:posOffset>
            </wp:positionV>
            <wp:extent cx="7178040" cy="400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4" w:right="319" w:bottom="1440" w:gutter="0" w:footer="0" w:header="0"/>
        </w:sectPr>
      </w:pPr>
    </w:p>
    <w:bookmarkStart w:id="73" w:name="page74"/>
    <w:bookmarkEnd w:id="73"/>
    <w:p>
      <w:pPr>
        <w:spacing w:after="0"/>
        <w:rPr>
          <w:sz w:val="20"/>
          <w:szCs w:val="20"/>
          <w:color w:val="auto"/>
        </w:rPr>
      </w:pPr>
      <w:r>
        <w:rPr>
          <w:rFonts w:ascii="Calibri" w:cs="Calibri" w:eastAsia="Calibri" w:hAnsi="Calibri"/>
          <w:sz w:val="15"/>
          <w:szCs w:val="15"/>
          <w:b w:val="1"/>
          <w:bCs w:val="1"/>
          <w:i w:val="1"/>
          <w:iCs w:val="1"/>
          <w:color w:val="auto"/>
        </w:rPr>
        <w:t xml:space="preserve">Hostng Arrangements </w:t>
      </w:r>
      <w:r>
        <w:rPr>
          <w:rFonts w:ascii="Calibri" w:cs="Calibri" w:eastAsia="Calibri" w:hAnsi="Calibri"/>
          <w:sz w:val="16"/>
          <w:szCs w:val="16"/>
          <w:b w:val="1"/>
          <w:bCs w:val="1"/>
          <w:i w:val="1"/>
          <w:iCs w:val="1"/>
          <w:color w:val="auto"/>
        </w:rPr>
        <w:t>–</w:t>
      </w:r>
      <w:r>
        <w:rPr>
          <w:rFonts w:ascii="Calibri" w:cs="Calibri" w:eastAsia="Calibri" w:hAnsi="Calibri"/>
          <w:sz w:val="15"/>
          <w:szCs w:val="15"/>
          <w:b w:val="1"/>
          <w:bCs w:val="1"/>
          <w:i w:val="1"/>
          <w:iCs w:val="1"/>
          <w:color w:val="auto"/>
        </w:rPr>
        <w:t xml:space="preserve"> Capitalizaton</w:t>
      </w:r>
    </w:p>
    <w:p>
      <w:pPr>
        <w:spacing w:after="0" w:line="200" w:lineRule="exact"/>
        <w:rPr>
          <w:sz w:val="20"/>
          <w:szCs w:val="20"/>
          <w:color w:val="auto"/>
        </w:rPr>
      </w:pPr>
    </w:p>
    <w:p>
      <w:pPr>
        <w:jc w:val="both"/>
        <w:ind w:firstLine="511"/>
        <w:spacing w:after="0" w:line="320" w:lineRule="auto"/>
        <w:rPr>
          <w:sz w:val="20"/>
          <w:szCs w:val="20"/>
          <w:color w:val="auto"/>
        </w:rPr>
      </w:pPr>
      <w:r>
        <w:rPr>
          <w:rFonts w:ascii="MS PGothic" w:cs="MS PGothic" w:eastAsia="MS PGothic" w:hAnsi="MS PGothic"/>
          <w:sz w:val="15"/>
          <w:szCs w:val="15"/>
          <w:color w:val="auto"/>
        </w:rPr>
        <w:t>Our hostng arrangements consist of cloud-based hostng platorms. Capitalized implementaton costs for hostng arrangements are amortzed on a straight‑line basis over an estmated useful life of the term of the hostng arrangement, taking into consideraton several other factors such as, but not limited to, optons to extend the hostng arrangement or optons to terminate the hostng arrangement, beginning with the tme when the sofware is ready for intended use.</w:t>
      </w:r>
    </w:p>
    <w:p>
      <w:pPr>
        <w:spacing w:after="0" w:line="136" w:lineRule="exact"/>
        <w:rPr>
          <w:sz w:val="20"/>
          <w:szCs w:val="20"/>
          <w:color w:val="auto"/>
        </w:rPr>
      </w:pPr>
    </w:p>
    <w:p>
      <w:pPr>
        <w:jc w:val="both"/>
        <w:ind w:firstLine="511"/>
        <w:spacing w:after="0" w:line="320" w:lineRule="auto"/>
        <w:rPr>
          <w:sz w:val="20"/>
          <w:szCs w:val="20"/>
          <w:color w:val="auto"/>
        </w:rPr>
      </w:pPr>
      <w:r>
        <w:rPr>
          <w:rFonts w:ascii="MS PGothic" w:cs="MS PGothic" w:eastAsia="MS PGothic" w:hAnsi="MS PGothic"/>
          <w:sz w:val="15"/>
          <w:szCs w:val="15"/>
          <w:color w:val="auto"/>
        </w:rPr>
        <w:t>We evaluate the useful lives of these assets when each asset is ready for its intended use, and at least annually thereafer to ensure the selected useful life remains appropriate. We also test for impairment at least annually and whenever events or changes in circumstances occur that could impact the recoverability of these assets. Impairment is evaluated as discussed in the “Long-Lived Assets - Impairment” secton above.</w:t>
      </w:r>
    </w:p>
    <w:p>
      <w:pPr>
        <w:spacing w:after="0" w:line="136" w:lineRule="exact"/>
        <w:rPr>
          <w:sz w:val="20"/>
          <w:szCs w:val="20"/>
          <w:color w:val="auto"/>
        </w:rPr>
      </w:pPr>
    </w:p>
    <w:p>
      <w:pPr>
        <w:spacing w:after="0"/>
        <w:rPr>
          <w:sz w:val="20"/>
          <w:szCs w:val="20"/>
          <w:color w:val="auto"/>
        </w:rPr>
      </w:pPr>
      <w:r>
        <w:rPr>
          <w:rFonts w:ascii="Calibri" w:cs="Calibri" w:eastAsia="Calibri" w:hAnsi="Calibri"/>
          <w:sz w:val="15"/>
          <w:szCs w:val="15"/>
          <w:b w:val="1"/>
          <w:bCs w:val="1"/>
          <w:i w:val="1"/>
          <w:iCs w:val="1"/>
          <w:color w:val="auto"/>
        </w:rPr>
        <w:t>Business Combinatons</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i w:val="1"/>
          <w:iCs w:val="1"/>
          <w:color w:val="auto"/>
        </w:rPr>
        <w:t>Acquired Assets and Liabilites – Valuaton</w:t>
      </w:r>
    </w:p>
    <w:p>
      <w:pPr>
        <w:spacing w:after="0" w:line="185" w:lineRule="exact"/>
        <w:rPr>
          <w:sz w:val="20"/>
          <w:szCs w:val="20"/>
          <w:color w:val="auto"/>
        </w:rPr>
      </w:pPr>
    </w:p>
    <w:p>
      <w:pPr>
        <w:jc w:val="both"/>
        <w:ind w:firstLine="511"/>
        <w:spacing w:after="0" w:line="320" w:lineRule="auto"/>
        <w:rPr>
          <w:sz w:val="20"/>
          <w:szCs w:val="20"/>
          <w:color w:val="auto"/>
        </w:rPr>
      </w:pPr>
      <w:r>
        <w:rPr>
          <w:rFonts w:ascii="MS PGothic" w:cs="MS PGothic" w:eastAsia="MS PGothic" w:hAnsi="MS PGothic"/>
          <w:sz w:val="15"/>
          <w:szCs w:val="15"/>
          <w:color w:val="auto"/>
        </w:rPr>
        <w:t>We measure all consideraton transferred in a business combinaton at its acquisiton-date fair value. Consideraton transferred is determined by the acquisiton-date fair value of assets transferred and liabilites assumed, including contngent consideraton obligatons, as applicable. We measure goodwill as the excess of the consideraton transferred over the net of the acquisiton-date amounts of assets acquired less liabilites assumed.</w:t>
      </w:r>
    </w:p>
    <w:p>
      <w:pPr>
        <w:spacing w:after="0" w:line="136" w:lineRule="exact"/>
        <w:rPr>
          <w:sz w:val="20"/>
          <w:szCs w:val="20"/>
          <w:color w:val="auto"/>
        </w:rPr>
      </w:pPr>
    </w:p>
    <w:p>
      <w:pPr>
        <w:jc w:val="both"/>
        <w:ind w:firstLine="511"/>
        <w:spacing w:after="0" w:line="347" w:lineRule="auto"/>
        <w:rPr>
          <w:sz w:val="20"/>
          <w:szCs w:val="20"/>
          <w:color w:val="auto"/>
        </w:rPr>
      </w:pPr>
      <w:r>
        <w:rPr>
          <w:rFonts w:ascii="MS PGothic" w:cs="MS PGothic" w:eastAsia="MS PGothic" w:hAnsi="MS PGothic"/>
          <w:sz w:val="15"/>
          <w:szCs w:val="15"/>
          <w:color w:val="auto"/>
        </w:rPr>
        <w:t>We make signifcant assumptons and estmates in determining the fair value of the acquired assets and liabilites as of the acquisiton date, especially the valuaton of intangible assets and certain tax positons.</w:t>
      </w:r>
    </w:p>
    <w:p>
      <w:pPr>
        <w:spacing w:after="0" w:line="130" w:lineRule="exact"/>
        <w:rPr>
          <w:sz w:val="20"/>
          <w:szCs w:val="20"/>
          <w:color w:val="auto"/>
        </w:rPr>
      </w:pPr>
    </w:p>
    <w:p>
      <w:pPr>
        <w:spacing w:after="0"/>
        <w:rPr>
          <w:sz w:val="20"/>
          <w:szCs w:val="20"/>
          <w:color w:val="auto"/>
        </w:rPr>
      </w:pPr>
      <w:r>
        <w:rPr>
          <w:rFonts w:ascii="Calibri" w:cs="Calibri" w:eastAsia="Calibri" w:hAnsi="Calibri"/>
          <w:sz w:val="15"/>
          <w:szCs w:val="15"/>
          <w:i w:val="1"/>
          <w:iCs w:val="1"/>
          <w:color w:val="auto"/>
        </w:rPr>
        <w:t>Intangible Assets – Valuaton and Recoverability</w:t>
      </w:r>
    </w:p>
    <w:p>
      <w:pPr>
        <w:spacing w:after="0" w:line="197" w:lineRule="exact"/>
        <w:rPr>
          <w:sz w:val="20"/>
          <w:szCs w:val="20"/>
          <w:color w:val="auto"/>
        </w:rPr>
      </w:pPr>
    </w:p>
    <w:p>
      <w:pPr>
        <w:jc w:val="both"/>
        <w:ind w:firstLine="511"/>
        <w:spacing w:after="0" w:line="347" w:lineRule="auto"/>
        <w:rPr>
          <w:sz w:val="20"/>
          <w:szCs w:val="20"/>
          <w:color w:val="auto"/>
        </w:rPr>
      </w:pPr>
      <w:r>
        <w:rPr>
          <w:rFonts w:ascii="MS PGothic" w:cs="MS PGothic" w:eastAsia="MS PGothic" w:hAnsi="MS PGothic"/>
          <w:sz w:val="15"/>
          <w:szCs w:val="15"/>
          <w:color w:val="auto"/>
        </w:rPr>
        <w:t>Intangible assets are recognized at their estmated fair value at the date of acquisiton. Fair value is determined based on inputs and assumptons such as discount rates, rates of return on assets, and long-term sales growth rates.</w:t>
      </w:r>
    </w:p>
    <w:p>
      <w:pPr>
        <w:spacing w:after="0" w:line="119" w:lineRule="exact"/>
        <w:rPr>
          <w:sz w:val="20"/>
          <w:szCs w:val="20"/>
          <w:color w:val="auto"/>
        </w:rPr>
      </w:pPr>
    </w:p>
    <w:p>
      <w:pPr>
        <w:jc w:val="both"/>
        <w:ind w:firstLine="511"/>
        <w:spacing w:after="0" w:line="320" w:lineRule="auto"/>
        <w:rPr>
          <w:sz w:val="20"/>
          <w:szCs w:val="20"/>
          <w:color w:val="auto"/>
        </w:rPr>
      </w:pPr>
      <w:r>
        <w:rPr>
          <w:rFonts w:ascii="MS PGothic" w:cs="MS PGothic" w:eastAsia="MS PGothic" w:hAnsi="MS PGothic"/>
          <w:sz w:val="15"/>
          <w:szCs w:val="15"/>
          <w:color w:val="auto"/>
        </w:rPr>
        <w:t>We amortze intangible assets over their estmated useful lives on a straight-line basis. Useful lives are established based on analysis of all pertnent factors such as: the expected use of the asset, expected useful lives of related assets, provisions that may limit the useful life, historical experience with similar arrangements, efects of economic factors, demand, competton, obsolescence, and maintenance required to maintain the future cash fows.</w:t>
      </w:r>
    </w:p>
    <w:p>
      <w:pPr>
        <w:spacing w:after="0" w:line="136" w:lineRule="exact"/>
        <w:rPr>
          <w:sz w:val="20"/>
          <w:szCs w:val="20"/>
          <w:color w:val="auto"/>
        </w:rPr>
      </w:pPr>
    </w:p>
    <w:p>
      <w:pPr>
        <w:ind w:left="500"/>
        <w:spacing w:after="0"/>
        <w:rPr>
          <w:sz w:val="20"/>
          <w:szCs w:val="20"/>
          <w:color w:val="auto"/>
        </w:rPr>
      </w:pPr>
      <w:r>
        <w:rPr>
          <w:rFonts w:ascii="MS PGothic" w:cs="MS PGothic" w:eastAsia="MS PGothic" w:hAnsi="MS PGothic"/>
          <w:sz w:val="15"/>
          <w:szCs w:val="15"/>
          <w:color w:val="auto"/>
        </w:rPr>
        <w:t>We evaluate the useful lives of these assets as of the acquisiton date and at least annually thereafer to ensure the selected useful life remains appropriate.</w:t>
      </w:r>
    </w:p>
    <w:p>
      <w:pPr>
        <w:spacing w:after="0" w:line="218" w:lineRule="exact"/>
        <w:rPr>
          <w:sz w:val="20"/>
          <w:szCs w:val="20"/>
          <w:color w:val="auto"/>
        </w:rPr>
      </w:pPr>
    </w:p>
    <w:p>
      <w:pPr>
        <w:jc w:val="both"/>
        <w:ind w:firstLine="511"/>
        <w:spacing w:after="0" w:line="347" w:lineRule="auto"/>
        <w:rPr>
          <w:sz w:val="20"/>
          <w:szCs w:val="20"/>
          <w:color w:val="auto"/>
        </w:rPr>
      </w:pPr>
      <w:r>
        <w:rPr>
          <w:rFonts w:ascii="MS PGothic" w:cs="MS PGothic" w:eastAsia="MS PGothic" w:hAnsi="MS PGothic"/>
          <w:sz w:val="15"/>
          <w:szCs w:val="15"/>
          <w:color w:val="auto"/>
        </w:rPr>
        <w:t>We monitor our long-lived assets for impairment indicators on an ongoing basis in accordance with GAAP, and test for impairment at least annually and whenever events or changes in circumstances occur that could impact the recoverability of these assets. Impairment is evaluated as discussed in the “Long-Lived Assets - Impairment” secton above.</w:t>
      </w:r>
    </w:p>
    <w:p>
      <w:pPr>
        <w:spacing w:after="0" w:line="118" w:lineRule="exact"/>
        <w:rPr>
          <w:sz w:val="20"/>
          <w:szCs w:val="20"/>
          <w:color w:val="auto"/>
        </w:rPr>
      </w:pPr>
    </w:p>
    <w:p>
      <w:pPr>
        <w:spacing w:after="0"/>
        <w:rPr>
          <w:sz w:val="20"/>
          <w:szCs w:val="20"/>
          <w:color w:val="auto"/>
        </w:rPr>
      </w:pPr>
      <w:r>
        <w:rPr>
          <w:rFonts w:ascii="Calibri" w:cs="Calibri" w:eastAsia="Calibri" w:hAnsi="Calibri"/>
          <w:sz w:val="15"/>
          <w:szCs w:val="15"/>
          <w:i w:val="1"/>
          <w:iCs w:val="1"/>
          <w:color w:val="auto"/>
        </w:rPr>
        <w:t>Goodwill – Valuaton and Recoverability</w:t>
      </w:r>
    </w:p>
    <w:p>
      <w:pPr>
        <w:spacing w:after="0" w:line="185" w:lineRule="exact"/>
        <w:rPr>
          <w:sz w:val="20"/>
          <w:szCs w:val="20"/>
          <w:color w:val="auto"/>
        </w:rPr>
      </w:pPr>
    </w:p>
    <w:p>
      <w:pPr>
        <w:jc w:val="both"/>
        <w:ind w:firstLine="511"/>
        <w:spacing w:after="0" w:line="312" w:lineRule="auto"/>
        <w:rPr>
          <w:sz w:val="20"/>
          <w:szCs w:val="20"/>
          <w:color w:val="auto"/>
        </w:rPr>
      </w:pPr>
      <w:r>
        <w:rPr>
          <w:rFonts w:ascii="MS PGothic" w:cs="MS PGothic" w:eastAsia="MS PGothic" w:hAnsi="MS PGothic"/>
          <w:sz w:val="15"/>
          <w:szCs w:val="15"/>
          <w:color w:val="auto"/>
        </w:rPr>
        <w:t>Goodwill is recognized when consideraton paid in a purchase acquisiton exceeds the fair value of the net assets acquired. Goodwill is not amortzed, but rather is tested for impairment annually or more frequently if facts and circumstances warrant a review. Conditons that could trigger a more frequent impairment assessment include, but are not limited to, a signifcant adverse change in certain agreements, signifcant underperformance relatve to historical or projected future operatng results, an economic downturn afectng automotve marketplaces, increased competton, a signifcant reducton in our stock price for a sustained period, or a reducton of our market capitalizaton relatve to net book value.</w:t>
      </w:r>
    </w:p>
    <w:p>
      <w:pPr>
        <w:spacing w:after="0" w:line="140" w:lineRule="exact"/>
        <w:rPr>
          <w:sz w:val="20"/>
          <w:szCs w:val="20"/>
          <w:color w:val="auto"/>
        </w:rPr>
      </w:pPr>
    </w:p>
    <w:p>
      <w:pPr>
        <w:jc w:val="center"/>
        <w:spacing w:after="0"/>
        <w:rPr>
          <w:sz w:val="20"/>
          <w:szCs w:val="20"/>
          <w:color w:val="auto"/>
        </w:rPr>
      </w:pPr>
      <w:r>
        <w:rPr>
          <w:rFonts w:ascii="MS PGothic" w:cs="MS PGothic" w:eastAsia="MS PGothic" w:hAnsi="MS PGothic"/>
          <w:sz w:val="15"/>
          <w:szCs w:val="15"/>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429895</wp:posOffset>
            </wp:positionV>
            <wp:extent cx="7178040" cy="400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0" w:right="319" w:bottom="1440" w:gutter="0" w:footer="0" w:header="0"/>
        </w:sectPr>
      </w:pPr>
    </w:p>
    <w:bookmarkStart w:id="74" w:name="page75"/>
    <w:bookmarkEnd w:id="74"/>
    <w:p>
      <w:pPr>
        <w:jc w:val="both"/>
        <w:ind w:firstLine="511"/>
        <w:spacing w:after="0" w:line="241" w:lineRule="auto"/>
        <w:rPr>
          <w:sz w:val="20"/>
          <w:szCs w:val="20"/>
          <w:color w:val="auto"/>
        </w:rPr>
      </w:pPr>
      <w:r>
        <w:rPr>
          <w:rFonts w:ascii="Calibri" w:cs="Calibri" w:eastAsia="Calibri" w:hAnsi="Calibri"/>
          <w:sz w:val="15"/>
          <w:szCs w:val="15"/>
          <w:color w:val="auto"/>
        </w:rPr>
        <w:t>We evaluate impairment annually on October 1 by comparing the estmated fair value of each reportng unit to its carrying value. For fscal year 2023, we determined that we had three reportng units with goodwill: U.S. Marketplace, CarOfer, and U.K. Marketplace. We elected to bypass the optonal qualitatve test for impairment and proceed to Step 1, which is a quanttatve impairment test. For the U.S. Marketplace and U.K. Marketplace reportng units, we estmate fair value using a market approach, based on market multples derived from public companies that we identfy as peers. As of October 1, 2023, we estmated forecasted revenue for fscal year 2023, and estmated revenue market multples using publicly available informaton for each of our reportng units. Developing these assumptons required the use of judgment and estmates. Actual results may difer from these forecasts. For the CarOfer reportng unit, we estmate fair value using an income approach, based on a discounted cash fow method. The assumptons used to estmate the fair value using a discounted cash fow method include revenue and EBITDA forecasts, the weighted average cost of capital and discount rate, debt-free net working capital forecasts, and long-term growth rate.</w:t>
      </w:r>
    </w:p>
    <w:p>
      <w:pPr>
        <w:spacing w:after="0" w:line="186"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For the years ended December 31, 2023, 2022, and 2021, we did not identfy any impairment of our goodwill. Although no impairment was identfed during the annual impairment test as of October 1, 2023, the excess of the fair value over the carrying value declined for the CarOfer reportng unit in the Digital Wholesale segment. If projected future operatng results further decline, including as a result of economic conditons or operatonal challenges, we may need to record an impairment charge to reduce our goodwill at CarOfer which could be material and negatvely afect our operatons.</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i w:val="1"/>
          <w:iCs w:val="1"/>
          <w:color w:val="auto"/>
        </w:rPr>
        <w:t>Redeemable Noncontrolling Interest – Valuaton</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In connecton with our acquisiton of a 51% interest in CarOfer on January 14, 2021, redeemable noncontrolling interest was recognized at fair value computed using the Least Square Monte Carlo Simulaton approach. Signifcant inputs to the model included market price of risk, volatlity, correlaton, and risk-free rate.</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Subsequent to our acquisiton of the 51% interest on January 14, 2021, the redeemable noncontrolling interest was measured at the greater of the amount that would be paid if setlement occurred as of the consolidated balance sheet date based on the contractually defned redempton value and its carrying amount adjusted for net (loss) income atributable to the noncontrolling interest and tax distributons to redeemable noncontrolling interest holders.</w:t>
      </w:r>
    </w:p>
    <w:p>
      <w:pPr>
        <w:spacing w:after="0" w:line="185" w:lineRule="exact"/>
        <w:rPr>
          <w:sz w:val="20"/>
          <w:szCs w:val="20"/>
          <w:color w:val="auto"/>
        </w:rPr>
      </w:pPr>
    </w:p>
    <w:p>
      <w:pPr>
        <w:ind w:left="500"/>
        <w:spacing w:after="0"/>
        <w:rPr>
          <w:sz w:val="20"/>
          <w:szCs w:val="20"/>
          <w:color w:val="auto"/>
        </w:rPr>
      </w:pPr>
      <w:r>
        <w:rPr>
          <w:rFonts w:ascii="Calibri" w:cs="Calibri" w:eastAsia="Calibri" w:hAnsi="Calibri"/>
          <w:sz w:val="15"/>
          <w:szCs w:val="15"/>
          <w:color w:val="auto"/>
        </w:rPr>
        <w:t>On December 1, 2023, we completed the 2023 CarOfer Transacton for the 2023 Consideraton.</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Following the 2023 CarOfer Transacton, CarOfer is a wholly-owned subsidiary and we entered into the 2023 CarOfer Operatng Agreement pursuant to which, among other maters, the existng put and call rights were terminated. As a result of the 2023 CarOfer Transacton, there is no redeemable noncontrolling interest as of December 31, 2023, and there is no longer a related estmate.</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b w:val="1"/>
          <w:bCs w:val="1"/>
          <w:i w:val="1"/>
          <w:iCs w:val="1"/>
          <w:color w:val="auto"/>
        </w:rPr>
        <w:t>Income Taxes – Recoverability of Deferred Tax Assets and Related Valuaton Allowance</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We are subject to federal and state income taxes in the U.S. and taxes in foreign jurisdictons in which we operate. Judgment is required in determining our worldwide income tax provision. In the ordinary course of a global business, there are many transactons and calculatons where the ultmate outcome is uncertain. Although we believe our estmates are reasonable, there is no assurance that the fnal outcome of these maters will not be diferent from that which is refected in our historical income tax provisions and accruals. Such diferences could have a material impact on our income tax provision and net income in the period in which such determinaton is made.</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Signifcant judgment is also involved regarding the applicaton of income tax laws and regulatons to estmate the efectve income tax rates. As a result, our actual annual efectve income tax rates and related income tax liabilites may difer materially from our interim estmated efectve tax rates and related income tax liabilites. Any resultng diferences are recognized in the period they become known.</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We account for income taxes in accordance with the asset and liability method. Under this method, deferred tax assets and liabilites are recognized based on temporary diferences between the fnancial reportng and income tax bases of assets and liabilites using enacted tax rates in efect for the year in which the temporary diferences are expected to be recovered or setled.</w:t>
      </w:r>
    </w:p>
    <w:p>
      <w:pPr>
        <w:spacing w:after="0" w:line="185" w:lineRule="exact"/>
        <w:rPr>
          <w:sz w:val="20"/>
          <w:szCs w:val="20"/>
          <w:color w:val="auto"/>
        </w:rPr>
      </w:pPr>
    </w:p>
    <w:p>
      <w:pPr>
        <w:jc w:val="center"/>
        <w:spacing w:after="0"/>
        <w:rPr>
          <w:sz w:val="20"/>
          <w:szCs w:val="20"/>
          <w:color w:val="auto"/>
        </w:rPr>
      </w:pPr>
      <w:r>
        <w:rPr>
          <w:rFonts w:ascii="Calibri" w:cs="Calibri" w:eastAsia="Calibri" w:hAnsi="Calibri"/>
          <w:sz w:val="15"/>
          <w:szCs w:val="15"/>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408940</wp:posOffset>
            </wp:positionV>
            <wp:extent cx="7178040" cy="400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4" w:right="319" w:bottom="1440" w:gutter="0" w:footer="0" w:header="0"/>
        </w:sectPr>
      </w:pPr>
    </w:p>
    <w:bookmarkStart w:id="75" w:name="page76"/>
    <w:bookmarkEnd w:id="75"/>
    <w:p>
      <w:pPr>
        <w:jc w:val="both"/>
        <w:ind w:firstLine="511"/>
        <w:spacing w:after="0" w:line="312" w:lineRule="auto"/>
        <w:rPr>
          <w:sz w:val="20"/>
          <w:szCs w:val="20"/>
          <w:color w:val="auto"/>
        </w:rPr>
      </w:pPr>
      <w:r>
        <w:rPr>
          <w:rFonts w:ascii="MS PGothic" w:cs="MS PGothic" w:eastAsia="MS PGothic" w:hAnsi="MS PGothic"/>
          <w:sz w:val="15"/>
          <w:szCs w:val="15"/>
          <w:color w:val="auto"/>
        </w:rPr>
        <w:t>This method requires a valuaton allowance against net deferred tax assets if, based upon the available evidence, it is more likely than not that some or all of the deferred tax assets will not be realized. In performing this analysis, we consider future taxable income and ongoing prudent and feasible tax planning strategies to assess realizability. Actual results may difer from these forecasts. Valuaton allowances are reassessed periodically to determine whether it is more likely than not that the tax benefts will be realized in the future and if any existng valuaton allowance should be released.</w:t>
      </w:r>
    </w:p>
    <w:p>
      <w:pPr>
        <w:spacing w:after="0" w:line="140" w:lineRule="exact"/>
        <w:rPr>
          <w:sz w:val="20"/>
          <w:szCs w:val="20"/>
          <w:color w:val="auto"/>
        </w:rPr>
      </w:pPr>
    </w:p>
    <w:p>
      <w:pPr>
        <w:jc w:val="both"/>
        <w:ind w:firstLine="511"/>
        <w:spacing w:after="0" w:line="312" w:lineRule="auto"/>
        <w:rPr>
          <w:sz w:val="20"/>
          <w:szCs w:val="20"/>
          <w:color w:val="auto"/>
        </w:rPr>
      </w:pPr>
      <w:r>
        <w:rPr>
          <w:rFonts w:ascii="MS PGothic" w:cs="MS PGothic" w:eastAsia="MS PGothic" w:hAnsi="MS PGothic"/>
          <w:sz w:val="15"/>
          <w:szCs w:val="15"/>
          <w:color w:val="auto"/>
        </w:rPr>
        <w:t>We account for uncertain tax positons by prescribing a more‑likely‑than‑not threshold for fnancial statement recogniton and measurement of a tax positon taken or expected to be taken in a tax return. We assess our income tax positons based upon management’s evaluaton of the facts, circumstances, and informaton available at the reportng date. The tax positon is measured as the largest amount of beneft or expense that is greater than 50% likely of being realized upon ultmate setlement with the taxing authority during examinaton. The ultmate resoluton of these tax positons may be greater or less than the liabilites recognized.</w:t>
      </w:r>
    </w:p>
    <w:p>
      <w:pPr>
        <w:spacing w:after="0" w:line="140" w:lineRule="exact"/>
        <w:rPr>
          <w:sz w:val="20"/>
          <w:szCs w:val="20"/>
          <w:color w:val="auto"/>
        </w:rPr>
      </w:pPr>
    </w:p>
    <w:p>
      <w:pPr>
        <w:spacing w:after="0"/>
        <w:rPr>
          <w:sz w:val="20"/>
          <w:szCs w:val="20"/>
          <w:color w:val="auto"/>
        </w:rPr>
      </w:pPr>
      <w:r>
        <w:rPr>
          <w:rFonts w:ascii="Calibri" w:cs="Calibri" w:eastAsia="Calibri" w:hAnsi="Calibri"/>
          <w:sz w:val="15"/>
          <w:szCs w:val="15"/>
          <w:b w:val="1"/>
          <w:bCs w:val="1"/>
          <w:i w:val="1"/>
          <w:iCs w:val="1"/>
          <w:color w:val="auto"/>
        </w:rPr>
        <w:t>Inventory – Valuaton</w:t>
      </w:r>
    </w:p>
    <w:p>
      <w:pPr>
        <w:spacing w:after="0" w:line="185" w:lineRule="exact"/>
        <w:rPr>
          <w:sz w:val="20"/>
          <w:szCs w:val="20"/>
          <w:color w:val="auto"/>
        </w:rPr>
      </w:pPr>
    </w:p>
    <w:p>
      <w:pPr>
        <w:jc w:val="both"/>
        <w:ind w:firstLine="511"/>
        <w:spacing w:after="0" w:line="320" w:lineRule="auto"/>
        <w:rPr>
          <w:sz w:val="20"/>
          <w:szCs w:val="20"/>
          <w:color w:val="auto"/>
        </w:rPr>
      </w:pPr>
      <w:r>
        <w:rPr>
          <w:rFonts w:ascii="MS PGothic" w:cs="MS PGothic" w:eastAsia="MS PGothic" w:hAnsi="MS PGothic"/>
          <w:sz w:val="15"/>
          <w:szCs w:val="15"/>
          <w:color w:val="auto"/>
        </w:rPr>
        <w:t>Inventory is valued at the lower of cost or net realizable value. Cost is determined based on specifc identfcaton. In recording inventory at the lower of cost or net realizable value, we estmate potental future losses on inventory on hand based on historical losses and market trends. Estmated potental future losses on inventory may vary from actual results which could lead to material adjustments to the consolidated fnancial statements.</w:t>
      </w:r>
    </w:p>
    <w:p>
      <w:pPr>
        <w:spacing w:after="0" w:line="136" w:lineRule="exact"/>
        <w:rPr>
          <w:sz w:val="20"/>
          <w:szCs w:val="20"/>
          <w:color w:val="auto"/>
        </w:rPr>
      </w:pPr>
    </w:p>
    <w:p>
      <w:pPr>
        <w:spacing w:after="0"/>
        <w:rPr>
          <w:sz w:val="20"/>
          <w:szCs w:val="20"/>
          <w:color w:val="auto"/>
        </w:rPr>
      </w:pPr>
      <w:r>
        <w:rPr>
          <w:rFonts w:ascii="Calibri" w:cs="Calibri" w:eastAsia="Calibri" w:hAnsi="Calibri"/>
          <w:sz w:val="15"/>
          <w:szCs w:val="15"/>
          <w:b w:val="1"/>
          <w:bCs w:val="1"/>
          <w:i w:val="1"/>
          <w:iCs w:val="1"/>
          <w:color w:val="auto"/>
        </w:rPr>
        <w:t>Stock-Based Compensaton – Valuaton</w:t>
      </w:r>
    </w:p>
    <w:p>
      <w:pPr>
        <w:spacing w:after="0" w:line="185" w:lineRule="exact"/>
        <w:rPr>
          <w:sz w:val="20"/>
          <w:szCs w:val="20"/>
          <w:color w:val="auto"/>
        </w:rPr>
      </w:pPr>
    </w:p>
    <w:p>
      <w:pPr>
        <w:jc w:val="both"/>
        <w:ind w:firstLine="511"/>
        <w:spacing w:after="0" w:line="307" w:lineRule="auto"/>
        <w:rPr>
          <w:sz w:val="20"/>
          <w:szCs w:val="20"/>
          <w:color w:val="auto"/>
        </w:rPr>
      </w:pPr>
      <w:r>
        <w:rPr>
          <w:rFonts w:ascii="MS PGothic" w:cs="MS PGothic" w:eastAsia="MS PGothic" w:hAnsi="MS PGothic"/>
          <w:sz w:val="15"/>
          <w:szCs w:val="15"/>
          <w:color w:val="auto"/>
        </w:rPr>
        <w:t>For restricted stock units, or RSUs, granted subject to market-based vestng conditons, the fair value is determined on the date of grant using the Monte Carlo simulaton latce model. The determinaton of the fair value using this model is afected by our stock price performance relatve to the companies listed on the S&amp;P 500, and a number of assumptons including volatlity, correlaton coefcient, risk-free interest rate, and expected dividends. RSUs previously granted subject to market-based vestng conditons vest upon achievement of specifed levels of market conditons. During the year ended December 31, 2022, we modifed our market-based performance awards to contain only service-based vestng conditons in line with our other RSU awards. As a result, there were no market-based RSUs outstanding as of December 31, 2023 and 2022.</w:t>
      </w:r>
    </w:p>
    <w:p>
      <w:pPr>
        <w:spacing w:after="0" w:line="145" w:lineRule="exact"/>
        <w:rPr>
          <w:sz w:val="20"/>
          <w:szCs w:val="20"/>
          <w:color w:val="auto"/>
        </w:rPr>
      </w:pPr>
    </w:p>
    <w:p>
      <w:pPr>
        <w:jc w:val="both"/>
        <w:ind w:firstLine="511"/>
        <w:spacing w:after="0" w:line="312" w:lineRule="auto"/>
        <w:rPr>
          <w:sz w:val="20"/>
          <w:szCs w:val="20"/>
          <w:color w:val="auto"/>
        </w:rPr>
      </w:pPr>
      <w:r>
        <w:rPr>
          <w:rFonts w:ascii="MS PGothic" w:cs="MS PGothic" w:eastAsia="MS PGothic" w:hAnsi="MS PGothic"/>
          <w:sz w:val="15"/>
          <w:szCs w:val="15"/>
          <w:color w:val="auto"/>
        </w:rPr>
        <w:t>For stock optons granted, the fair value is determined on the date of grant using the Black‑Scholes opton‑pricing model. The determinaton of the fair value is afected by our stock price and a number of assumptons including expected dividend yield, expected volatlity, risk-free interest rate, and expected term. For expected volatlity, we use a blended volatlity to combine the historical volatlity of trading with the volatlity for a peer group of companies as we do not have historical stock prices for a period that is at least equal to the expected term. Stock optons granted generally have a term of ten years from the date of grant and generally vest over a four-year requisite service period.</w:t>
      </w:r>
    </w:p>
    <w:p>
      <w:pPr>
        <w:spacing w:after="0" w:line="140" w:lineRule="exact"/>
        <w:rPr>
          <w:sz w:val="20"/>
          <w:szCs w:val="20"/>
          <w:color w:val="auto"/>
        </w:rPr>
      </w:pPr>
    </w:p>
    <w:p>
      <w:pPr>
        <w:jc w:val="both"/>
        <w:ind w:firstLine="511"/>
        <w:spacing w:after="0" w:line="299" w:lineRule="auto"/>
        <w:rPr>
          <w:sz w:val="20"/>
          <w:szCs w:val="20"/>
          <w:color w:val="auto"/>
        </w:rPr>
      </w:pPr>
      <w:r>
        <w:rPr>
          <w:rFonts w:ascii="MS PGothic" w:cs="MS PGothic" w:eastAsia="MS PGothic" w:hAnsi="MS PGothic"/>
          <w:sz w:val="15"/>
          <w:szCs w:val="15"/>
          <w:color w:val="auto"/>
        </w:rPr>
        <w:t>For liability-classifed awards, the fair value was determined on the date of issuance using a Least Square Monte Carlo simulaton model. Liability-classifed awards are remeasured to fair value each period untl setlement. Untl March 31, 2022, the Least Square Monte Carlo simulaton model was used for remeasurement. During the three months ended June 30, 2022, we refned our model for determining the fair value of liability-classifed awards as a result of obtaining gross proft actuals through the trailing twelve-months ended June 30, 2022 measurement period for the frst call opton. Since March 31, 2022, the fair value has typically been determined using a Monte Carlo simulaton model. During the year ended December 31, 2022, we determined not to exercise our call right to acquire up to an additonal 25% of the fully diluted capitalizaton of CarOfer. The valuaton of these liability-classifed awards was previously derived from our 2024 call right and CarOfer’s 2024 put right. The determinaton of the fair value was afected by CarOfer’s equity value, EBITDA, and Excess Parent Capital (as defned in the Third Amended and Restated Limited Liability Company Agreement of CarOfer, dated as of November 23, 2021, included as Exhibit 10.27 to the Annual Report on Form 10-K for the year ended December 31, 2021, fled on February 25, 2022) that drove the exercise price of future call/put rights, as well as a number of assumptons including market price of risk, volatlity, correlaton, and risk-free interest rate. As a result of the EBITDA and Excess Parent Capital projectons for CarOfer as of December 31, 2022, a Monte Carlo simulaton model was not required as of December 31, 2022. As a result of the 2023 CarOfer Transacton, the liability-classifed awards were accelerated and redeemed as of December 31, 2023.</w:t>
      </w:r>
    </w:p>
    <w:p>
      <w:pPr>
        <w:spacing w:after="0" w:line="153" w:lineRule="exact"/>
        <w:rPr>
          <w:sz w:val="20"/>
          <w:szCs w:val="20"/>
          <w:color w:val="auto"/>
        </w:rPr>
      </w:pPr>
    </w:p>
    <w:p>
      <w:pPr>
        <w:jc w:val="center"/>
        <w:spacing w:after="0"/>
        <w:rPr>
          <w:sz w:val="20"/>
          <w:szCs w:val="20"/>
          <w:color w:val="auto"/>
        </w:rPr>
      </w:pPr>
      <w:r>
        <w:rPr>
          <w:rFonts w:ascii="MS PGothic" w:cs="MS PGothic" w:eastAsia="MS PGothic" w:hAnsi="MS PGothic"/>
          <w:sz w:val="15"/>
          <w:szCs w:val="15"/>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429895</wp:posOffset>
            </wp:positionV>
            <wp:extent cx="7178040" cy="400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4" w:right="319" w:bottom="1440" w:gutter="0" w:footer="0" w:header="0"/>
        </w:sectPr>
      </w:pPr>
    </w:p>
    <w:bookmarkStart w:id="76" w:name="page77"/>
    <w:bookmarkEnd w:id="76"/>
    <w:p>
      <w:pPr>
        <w:spacing w:after="0"/>
        <w:rPr>
          <w:sz w:val="20"/>
          <w:szCs w:val="20"/>
          <w:color w:val="auto"/>
        </w:rPr>
      </w:pPr>
      <w:r>
        <w:rPr>
          <w:rFonts w:ascii="Calibri" w:cs="Calibri" w:eastAsia="Calibri" w:hAnsi="Calibri"/>
          <w:sz w:val="15"/>
          <w:szCs w:val="15"/>
          <w:b w:val="1"/>
          <w:bCs w:val="1"/>
          <w:color w:val="auto"/>
        </w:rPr>
        <w:t>Recently Issued Accountng Pronouncements</w:t>
      </w:r>
    </w:p>
    <w:p>
      <w:pPr>
        <w:spacing w:after="0" w:line="185" w:lineRule="exact"/>
        <w:rPr>
          <w:sz w:val="20"/>
          <w:szCs w:val="20"/>
          <w:color w:val="auto"/>
        </w:rPr>
      </w:pPr>
    </w:p>
    <w:p>
      <w:pPr>
        <w:ind w:left="500"/>
        <w:spacing w:after="0"/>
        <w:rPr>
          <w:sz w:val="20"/>
          <w:szCs w:val="20"/>
          <w:color w:val="auto"/>
        </w:rPr>
      </w:pPr>
      <w:r>
        <w:rPr>
          <w:rFonts w:ascii="Calibri" w:cs="Calibri" w:eastAsia="Calibri" w:hAnsi="Calibri"/>
          <w:sz w:val="15"/>
          <w:szCs w:val="15"/>
          <w:color w:val="auto"/>
        </w:rPr>
        <w:t>Informaton concerning recently issued accountng pronouncements may be found in Note 2 to our consolidated fnancial statements included elsewhere in this Annual Report.</w:t>
      </w:r>
    </w:p>
    <w:p>
      <w:pPr>
        <w:spacing w:after="0" w:line="185" w:lineRule="exact"/>
        <w:rPr>
          <w:sz w:val="20"/>
          <w:szCs w:val="20"/>
          <w:color w:val="auto"/>
        </w:rPr>
      </w:pPr>
    </w:p>
    <w:p>
      <w:pPr>
        <w:jc w:val="center"/>
        <w:ind w:right="-119"/>
        <w:spacing w:after="0"/>
        <w:rPr>
          <w:sz w:val="20"/>
          <w:szCs w:val="20"/>
          <w:color w:val="auto"/>
        </w:rPr>
      </w:pPr>
      <w:r>
        <w:rPr>
          <w:rFonts w:ascii="Calibri" w:cs="Calibri" w:eastAsia="Calibri" w:hAnsi="Calibri"/>
          <w:sz w:val="15"/>
          <w:szCs w:val="15"/>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408940</wp:posOffset>
            </wp:positionV>
            <wp:extent cx="7178040" cy="400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120"/>
          </w:cols>
          <w:pgMar w:left="320" w:top="1133" w:right="459" w:bottom="1440" w:gutter="0" w:footer="0" w:header="0"/>
        </w:sectPr>
      </w:pPr>
    </w:p>
    <w:bookmarkStart w:id="77" w:name="page78"/>
    <w:bookmarkEnd w:id="77"/>
    <w:p>
      <w:pPr>
        <w:spacing w:after="0"/>
        <w:rPr>
          <w:sz w:val="20"/>
          <w:szCs w:val="20"/>
          <w:color w:val="auto"/>
        </w:rPr>
      </w:pPr>
      <w:r>
        <w:rPr>
          <w:rFonts w:ascii="Calibri" w:cs="Calibri" w:eastAsia="Calibri" w:hAnsi="Calibri"/>
          <w:sz w:val="15"/>
          <w:szCs w:val="15"/>
          <w:b w:val="1"/>
          <w:bCs w:val="1"/>
          <w:color w:val="auto"/>
        </w:rPr>
        <w:t>Item 7A. Quanttatve and Qualitatve Disclosures about Market Risk.</w:t>
      </w:r>
    </w:p>
    <w:p>
      <w:pPr>
        <w:spacing w:after="0" w:line="185" w:lineRule="exact"/>
        <w:rPr>
          <w:sz w:val="20"/>
          <w:szCs w:val="20"/>
          <w:color w:val="auto"/>
        </w:rPr>
      </w:pPr>
    </w:p>
    <w:p>
      <w:pPr>
        <w:jc w:val="both"/>
        <w:ind w:firstLine="511"/>
        <w:spacing w:after="0" w:line="347" w:lineRule="auto"/>
        <w:rPr>
          <w:sz w:val="20"/>
          <w:szCs w:val="20"/>
          <w:color w:val="auto"/>
        </w:rPr>
      </w:pPr>
      <w:r>
        <w:rPr>
          <w:rFonts w:ascii="MS PGothic" w:cs="MS PGothic" w:eastAsia="MS PGothic" w:hAnsi="MS PGothic"/>
          <w:sz w:val="15"/>
          <w:szCs w:val="15"/>
          <w:color w:val="auto"/>
        </w:rPr>
        <w:t>Market risk represents the risk of loss that may afect our fnancial positon due to adverse changes in fnancial market prices and rates. We are exposed to market risks as described below.</w:t>
      </w:r>
    </w:p>
    <w:p>
      <w:pPr>
        <w:spacing w:after="0" w:line="118" w:lineRule="exact"/>
        <w:rPr>
          <w:sz w:val="20"/>
          <w:szCs w:val="20"/>
          <w:color w:val="auto"/>
        </w:rPr>
      </w:pPr>
    </w:p>
    <w:p>
      <w:pPr>
        <w:spacing w:after="0"/>
        <w:rPr>
          <w:sz w:val="20"/>
          <w:szCs w:val="20"/>
          <w:color w:val="auto"/>
        </w:rPr>
      </w:pPr>
      <w:r>
        <w:rPr>
          <w:rFonts w:ascii="Calibri" w:cs="Calibri" w:eastAsia="Calibri" w:hAnsi="Calibri"/>
          <w:sz w:val="15"/>
          <w:szCs w:val="15"/>
          <w:b w:val="1"/>
          <w:bCs w:val="1"/>
          <w:i w:val="1"/>
          <w:iCs w:val="1"/>
          <w:color w:val="auto"/>
        </w:rPr>
        <w:t>Interest Rate Risk</w:t>
      </w:r>
    </w:p>
    <w:p>
      <w:pPr>
        <w:spacing w:after="0" w:line="185" w:lineRule="exact"/>
        <w:rPr>
          <w:sz w:val="20"/>
          <w:szCs w:val="20"/>
          <w:color w:val="auto"/>
        </w:rPr>
      </w:pPr>
    </w:p>
    <w:p>
      <w:pPr>
        <w:jc w:val="both"/>
        <w:ind w:firstLine="511"/>
        <w:spacing w:after="0" w:line="307" w:lineRule="auto"/>
        <w:rPr>
          <w:sz w:val="20"/>
          <w:szCs w:val="20"/>
          <w:color w:val="auto"/>
        </w:rPr>
      </w:pPr>
      <w:r>
        <w:rPr>
          <w:rFonts w:ascii="MS PGothic" w:cs="MS PGothic" w:eastAsia="MS PGothic" w:hAnsi="MS PGothic"/>
          <w:sz w:val="15"/>
          <w:szCs w:val="15"/>
          <w:color w:val="auto"/>
        </w:rPr>
        <w:t>As of December 31, 2023, our exposure to market risk associated with changes in interest rates relates primarily to the 2022 Revolver, which allows us to borrow up to $400.0 million. The applicable interest rate is, at our opton, based on a number of diferent benchmark rates and applicable spreads, as determined by the Consolidated Secured Net Leverage Rato (as defned in Note 9 to our consolidated fnancial statements included elsewhere in this Annual Report). A fuctuaton in interest rates does not have an impact on interest expense unless the 2022 Revolver is drawn upon. Such impact would also be dependent on the amount of the draw. As of December 31, 2023, there were no borrowings and $9.6 million in leters of credit outstanding under the 2022 Revolver, which reduces the borrowing capacity under the 2022 Revolver to $390.4 million.</w:t>
      </w:r>
    </w:p>
    <w:p>
      <w:pPr>
        <w:spacing w:after="0" w:line="145" w:lineRule="exact"/>
        <w:rPr>
          <w:sz w:val="20"/>
          <w:szCs w:val="20"/>
          <w:color w:val="auto"/>
        </w:rPr>
      </w:pPr>
    </w:p>
    <w:p>
      <w:pPr>
        <w:ind w:left="500"/>
        <w:spacing w:after="0"/>
        <w:rPr>
          <w:sz w:val="20"/>
          <w:szCs w:val="20"/>
          <w:color w:val="auto"/>
        </w:rPr>
      </w:pPr>
      <w:r>
        <w:rPr>
          <w:rFonts w:ascii="MS PGothic" w:cs="MS PGothic" w:eastAsia="MS PGothic" w:hAnsi="MS PGothic"/>
          <w:sz w:val="15"/>
          <w:szCs w:val="15"/>
          <w:color w:val="auto"/>
        </w:rPr>
        <w:t>As of December 31, 2022, there were no borrowings and no leters of credit outstanding under the 2022 Revolver.</w:t>
      </w:r>
    </w:p>
    <w:p>
      <w:pPr>
        <w:spacing w:after="0" w:line="218" w:lineRule="exact"/>
        <w:rPr>
          <w:sz w:val="20"/>
          <w:szCs w:val="20"/>
          <w:color w:val="auto"/>
        </w:rPr>
      </w:pPr>
    </w:p>
    <w:p>
      <w:pPr>
        <w:jc w:val="both"/>
        <w:ind w:firstLine="511"/>
        <w:spacing w:after="0" w:line="347" w:lineRule="auto"/>
        <w:rPr>
          <w:sz w:val="20"/>
          <w:szCs w:val="20"/>
          <w:color w:val="auto"/>
        </w:rPr>
      </w:pPr>
      <w:r>
        <w:rPr>
          <w:rFonts w:ascii="MS PGothic" w:cs="MS PGothic" w:eastAsia="MS PGothic" w:hAnsi="MS PGothic"/>
          <w:sz w:val="15"/>
          <w:szCs w:val="15"/>
          <w:color w:val="auto"/>
        </w:rPr>
        <w:t>As of December 31, 2023, we had cash, cash equivalents, and short-term investments of $312.1 million, which consisted of bank deposits, money market accounts, and mutual funds. As of December 31, 2022, we had cash and cash equivalents of $469.5 million, which consisted of bank deposits, money market accounts, and mutual funds.</w:t>
      </w:r>
    </w:p>
    <w:p>
      <w:pPr>
        <w:spacing w:after="0" w:line="119" w:lineRule="exact"/>
        <w:rPr>
          <w:sz w:val="20"/>
          <w:szCs w:val="20"/>
          <w:color w:val="auto"/>
        </w:rPr>
      </w:pPr>
    </w:p>
    <w:p>
      <w:pPr>
        <w:jc w:val="both"/>
        <w:ind w:firstLine="511"/>
        <w:spacing w:after="0" w:line="320" w:lineRule="auto"/>
        <w:rPr>
          <w:sz w:val="20"/>
          <w:szCs w:val="20"/>
          <w:color w:val="auto"/>
        </w:rPr>
      </w:pPr>
      <w:r>
        <w:rPr>
          <w:rFonts w:ascii="MS PGothic" w:cs="MS PGothic" w:eastAsia="MS PGothic" w:hAnsi="MS PGothic"/>
          <w:sz w:val="15"/>
          <w:szCs w:val="15"/>
          <w:color w:val="auto"/>
        </w:rPr>
        <w:t>Such interest-earning instruments carry a degree of interest rate risk. Given recent changes in the interest rate environment and in an efort to ensure liquidity, we expect variable returns from our cash equivalents for the foreseeable future. To date, fuctuatons resultng from changes in the interest rate environment in interest income have not been material to the operatons of the business.</w:t>
      </w:r>
    </w:p>
    <w:p>
      <w:pPr>
        <w:spacing w:after="0" w:line="136" w:lineRule="exact"/>
        <w:rPr>
          <w:sz w:val="20"/>
          <w:szCs w:val="20"/>
          <w:color w:val="auto"/>
        </w:rPr>
      </w:pPr>
    </w:p>
    <w:p>
      <w:pPr>
        <w:ind w:left="500"/>
        <w:spacing w:after="0"/>
        <w:rPr>
          <w:sz w:val="20"/>
          <w:szCs w:val="20"/>
          <w:color w:val="auto"/>
        </w:rPr>
      </w:pPr>
      <w:r>
        <w:rPr>
          <w:rFonts w:ascii="MS PGothic" w:cs="MS PGothic" w:eastAsia="MS PGothic" w:hAnsi="MS PGothic"/>
          <w:sz w:val="15"/>
          <w:szCs w:val="15"/>
          <w:color w:val="auto"/>
        </w:rPr>
        <w:t>We do not enter into investments for trading or speculatve purposes and have not used any derivatve fnancial instruments to manage our interest rate risk exposure.</w:t>
      </w:r>
    </w:p>
    <w:p>
      <w:pPr>
        <w:spacing w:after="0" w:line="218" w:lineRule="exact"/>
        <w:rPr>
          <w:sz w:val="20"/>
          <w:szCs w:val="20"/>
          <w:color w:val="auto"/>
        </w:rPr>
      </w:pPr>
    </w:p>
    <w:p>
      <w:pPr>
        <w:spacing w:after="0"/>
        <w:rPr>
          <w:sz w:val="20"/>
          <w:szCs w:val="20"/>
          <w:color w:val="auto"/>
        </w:rPr>
      </w:pPr>
      <w:r>
        <w:rPr>
          <w:rFonts w:ascii="Calibri" w:cs="Calibri" w:eastAsia="Calibri" w:hAnsi="Calibri"/>
          <w:sz w:val="15"/>
          <w:szCs w:val="15"/>
          <w:b w:val="1"/>
          <w:bCs w:val="1"/>
          <w:i w:val="1"/>
          <w:iCs w:val="1"/>
          <w:color w:val="auto"/>
        </w:rPr>
        <w:t>Infaton Risk</w:t>
      </w:r>
    </w:p>
    <w:p>
      <w:pPr>
        <w:spacing w:after="0" w:line="185" w:lineRule="exact"/>
        <w:rPr>
          <w:sz w:val="20"/>
          <w:szCs w:val="20"/>
          <w:color w:val="auto"/>
        </w:rPr>
      </w:pPr>
    </w:p>
    <w:p>
      <w:pPr>
        <w:jc w:val="both"/>
        <w:ind w:right="20" w:firstLine="511"/>
        <w:spacing w:after="0" w:line="320" w:lineRule="auto"/>
        <w:rPr>
          <w:sz w:val="20"/>
          <w:szCs w:val="20"/>
          <w:color w:val="auto"/>
        </w:rPr>
      </w:pPr>
      <w:r>
        <w:rPr>
          <w:rFonts w:ascii="MS PGothic" w:cs="MS PGothic" w:eastAsia="MS PGothic" w:hAnsi="MS PGothic"/>
          <w:sz w:val="15"/>
          <w:szCs w:val="15"/>
          <w:color w:val="auto"/>
        </w:rPr>
        <w:t>We do not believe that infaton has had a material efect on our business, fnancial conditon, or results of operatons to date. However, if our costs were to become subject to signifcant infatonary pressures, we may not be able to fully ofset such higher costs through price increases. Our inability or failure to do so could harm our business, operatng results, and fnancial conditon. Additonally, infatonary pressures could negatvely impact vehicle purchasing behavior, which could have an adverse impact on our fnancial results.</w:t>
      </w:r>
    </w:p>
    <w:p>
      <w:pPr>
        <w:spacing w:after="0" w:line="136" w:lineRule="exact"/>
        <w:rPr>
          <w:sz w:val="20"/>
          <w:szCs w:val="20"/>
          <w:color w:val="auto"/>
        </w:rPr>
      </w:pPr>
    </w:p>
    <w:p>
      <w:pPr>
        <w:spacing w:after="0"/>
        <w:rPr>
          <w:sz w:val="20"/>
          <w:szCs w:val="20"/>
          <w:color w:val="auto"/>
        </w:rPr>
      </w:pPr>
      <w:r>
        <w:rPr>
          <w:rFonts w:ascii="Calibri" w:cs="Calibri" w:eastAsia="Calibri" w:hAnsi="Calibri"/>
          <w:sz w:val="15"/>
          <w:szCs w:val="15"/>
          <w:b w:val="1"/>
          <w:bCs w:val="1"/>
          <w:i w:val="1"/>
          <w:iCs w:val="1"/>
          <w:color w:val="auto"/>
        </w:rPr>
        <w:t>Foreign Currency Exchange Risk</w:t>
      </w:r>
    </w:p>
    <w:p>
      <w:pPr>
        <w:spacing w:after="0" w:line="185" w:lineRule="exact"/>
        <w:rPr>
          <w:sz w:val="20"/>
          <w:szCs w:val="20"/>
          <w:color w:val="auto"/>
        </w:rPr>
      </w:pPr>
    </w:p>
    <w:p>
      <w:pPr>
        <w:jc w:val="both"/>
        <w:ind w:firstLine="511"/>
        <w:spacing w:after="0" w:line="347" w:lineRule="auto"/>
        <w:rPr>
          <w:sz w:val="20"/>
          <w:szCs w:val="20"/>
          <w:color w:val="auto"/>
        </w:rPr>
      </w:pPr>
      <w:r>
        <w:rPr>
          <w:rFonts w:ascii="MS PGothic" w:cs="MS PGothic" w:eastAsia="MS PGothic" w:hAnsi="MS PGothic"/>
          <w:sz w:val="15"/>
          <w:szCs w:val="15"/>
          <w:color w:val="auto"/>
        </w:rPr>
        <w:t>Historically, because our operatons and sales have been primarily in the U.S., we have not faced any signifcant foreign currency risk. As of December 31, 2023 and 2022, we had foreign currency exposures in the Britsh pound, the Euro, and the Canadian dollar, although such exposure was immaterial.</w:t>
      </w:r>
    </w:p>
    <w:p>
      <w:pPr>
        <w:spacing w:after="0" w:line="119" w:lineRule="exact"/>
        <w:rPr>
          <w:sz w:val="20"/>
          <w:szCs w:val="20"/>
          <w:color w:val="auto"/>
        </w:rPr>
      </w:pPr>
    </w:p>
    <w:p>
      <w:pPr>
        <w:jc w:val="both"/>
        <w:ind w:right="20" w:firstLine="511"/>
        <w:spacing w:after="0" w:line="320" w:lineRule="auto"/>
        <w:rPr>
          <w:sz w:val="20"/>
          <w:szCs w:val="20"/>
          <w:color w:val="auto"/>
        </w:rPr>
      </w:pPr>
      <w:r>
        <w:rPr>
          <w:rFonts w:ascii="MS PGothic" w:cs="MS PGothic" w:eastAsia="MS PGothic" w:hAnsi="MS PGothic"/>
          <w:sz w:val="15"/>
          <w:szCs w:val="15"/>
          <w:color w:val="auto"/>
        </w:rPr>
        <w:t>Our foreign subsidiaries have intercompany transactons that are eliminated upon consolidaton, and these transactons expose us to foreign currency exchange rate fuctuatons. Exchange rate fuctuatons on short‑term intercompany transactons are recognized within other expense, net in the consolidated income statements. Exchange rate fuctuatons on long-term intercompany transactons are recognized within accumulated other comprehensive (loss) income in the consolidated balance sheets.</w:t>
      </w:r>
    </w:p>
    <w:p>
      <w:pPr>
        <w:spacing w:after="0" w:line="136" w:lineRule="exact"/>
        <w:rPr>
          <w:sz w:val="20"/>
          <w:szCs w:val="20"/>
          <w:color w:val="auto"/>
        </w:rPr>
      </w:pPr>
    </w:p>
    <w:p>
      <w:pPr>
        <w:jc w:val="both"/>
        <w:ind w:firstLine="511"/>
        <w:spacing w:after="0" w:line="347" w:lineRule="auto"/>
        <w:rPr>
          <w:sz w:val="20"/>
          <w:szCs w:val="20"/>
          <w:color w:val="auto"/>
        </w:rPr>
      </w:pPr>
      <w:r>
        <w:rPr>
          <w:rFonts w:ascii="MS PGothic" w:cs="MS PGothic" w:eastAsia="MS PGothic" w:hAnsi="MS PGothic"/>
          <w:sz w:val="15"/>
          <w:szCs w:val="15"/>
          <w:color w:val="auto"/>
        </w:rPr>
        <w:t>As we seek to grow our internatonal operatons in Canada and the U.K., our risks associated with fuctuaton in currency rates may become greater, and we will contnue to reassess our approach to managing these risks.</w:t>
      </w:r>
    </w:p>
    <w:p>
      <w:pPr>
        <w:spacing w:after="0" w:line="119" w:lineRule="exact"/>
        <w:rPr>
          <w:sz w:val="20"/>
          <w:szCs w:val="20"/>
          <w:color w:val="auto"/>
        </w:rPr>
      </w:pPr>
    </w:p>
    <w:p>
      <w:pPr>
        <w:jc w:val="center"/>
        <w:spacing w:after="0"/>
        <w:rPr>
          <w:sz w:val="20"/>
          <w:szCs w:val="20"/>
          <w:color w:val="auto"/>
        </w:rPr>
      </w:pPr>
      <w:r>
        <w:rPr>
          <w:rFonts w:ascii="MS PGothic" w:cs="MS PGothic" w:eastAsia="MS PGothic" w:hAnsi="MS PGothic"/>
          <w:sz w:val="15"/>
          <w:szCs w:val="15"/>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429895</wp:posOffset>
            </wp:positionV>
            <wp:extent cx="7178040" cy="400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3" w:right="319" w:bottom="1440" w:gutter="0" w:footer="0" w:header="0"/>
        </w:sectPr>
      </w:pPr>
    </w:p>
    <w:bookmarkStart w:id="78" w:name="page79"/>
    <w:bookmarkEnd w:id="78"/>
    <w:p>
      <w:pPr>
        <w:spacing w:after="0"/>
        <w:rPr>
          <w:sz w:val="20"/>
          <w:szCs w:val="20"/>
          <w:color w:val="auto"/>
        </w:rPr>
      </w:pPr>
      <w:r>
        <w:rPr>
          <w:rFonts w:ascii="Calibri" w:cs="Calibri" w:eastAsia="Calibri" w:hAnsi="Calibri"/>
          <w:sz w:val="15"/>
          <w:szCs w:val="15"/>
          <w:b w:val="1"/>
          <w:bCs w:val="1"/>
          <w:color w:val="auto"/>
        </w:rPr>
        <w:t>Item 8. Financial Statements and Supplementary Data.</w:t>
      </w:r>
    </w:p>
    <w:p>
      <w:pPr>
        <w:spacing w:after="0" w:line="93" w:lineRule="exact"/>
        <w:rPr>
          <w:sz w:val="20"/>
          <w:szCs w:val="20"/>
          <w:color w:val="auto"/>
        </w:rPr>
      </w:pPr>
    </w:p>
    <w:p>
      <w:pPr>
        <w:spacing w:after="0"/>
        <w:rPr>
          <w:sz w:val="20"/>
          <w:szCs w:val="20"/>
          <w:color w:val="auto"/>
        </w:rPr>
      </w:pPr>
      <w:r>
        <w:rPr>
          <w:rFonts w:ascii="Calibri" w:cs="Calibri" w:eastAsia="Calibri" w:hAnsi="Calibri"/>
          <w:sz w:val="15"/>
          <w:szCs w:val="15"/>
          <w:b w:val="1"/>
          <w:bCs w:val="1"/>
          <w:color w:val="auto"/>
        </w:rPr>
        <w:t>CarGurus, Inc.</w:t>
      </w:r>
    </w:p>
    <w:p>
      <w:pPr>
        <w:spacing w:after="0" w:line="93" w:lineRule="exact"/>
        <w:rPr>
          <w:sz w:val="20"/>
          <w:szCs w:val="20"/>
          <w:color w:val="auto"/>
        </w:rPr>
      </w:pPr>
    </w:p>
    <w:p>
      <w:pPr>
        <w:spacing w:after="0"/>
        <w:rPr>
          <w:sz w:val="20"/>
          <w:szCs w:val="20"/>
          <w:color w:val="auto"/>
        </w:rPr>
      </w:pPr>
      <w:r>
        <w:rPr>
          <w:rFonts w:ascii="Calibri" w:cs="Calibri" w:eastAsia="Calibri" w:hAnsi="Calibri"/>
          <w:sz w:val="15"/>
          <w:szCs w:val="15"/>
          <w:b w:val="1"/>
          <w:bCs w:val="1"/>
          <w:color w:val="auto"/>
        </w:rPr>
        <w:t>Index to Consolidated Financial Statements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Calibri" w:cs="Calibri" w:eastAsia="Calibri" w:hAnsi="Calibri"/>
                <w:sz w:val="12"/>
                <w:szCs w:val="12"/>
                <w:b w:val="1"/>
                <w:bCs w:val="1"/>
                <w:color w:val="auto"/>
                <w:w w:val="99"/>
              </w:rPr>
              <w:t>Page No</w:t>
            </w:r>
            <w:r>
              <w:rPr>
                <w:rFonts w:ascii="Times New Roman" w:cs="Times New Roman" w:eastAsia="Times New Roman" w:hAnsi="Times New Roman"/>
                <w:sz w:val="12"/>
                <w:szCs w:val="12"/>
                <w:b w:val="1"/>
                <w:bCs w:val="1"/>
                <w:color w:val="auto"/>
                <w:w w:val="99"/>
              </w:rPr>
              <w:t>.</w:t>
            </w:r>
          </w:p>
        </w:tc>
        <w:tc>
          <w:tcPr>
            <w:tcW w:w="0" w:type="dxa"/>
            <w:vAlign w:val="bottom"/>
          </w:tcPr>
          <w:p>
            <w:pPr>
              <w:spacing w:after="0"/>
              <w:rPr>
                <w:sz w:val="1"/>
                <w:szCs w:val="1"/>
                <w:color w:val="auto"/>
              </w:rPr>
            </w:pPr>
          </w:p>
        </w:tc>
      </w:tr>
      <w:tr>
        <w:trPr>
          <w:trHeight w:val="22"/>
        </w:trPr>
        <w:tc>
          <w:tcPr>
            <w:tcW w:w="10580" w:type="dxa"/>
            <w:vAlign w:val="bottom"/>
            <w:gridSpan w:val="8"/>
            <w:vMerge w:val="restart"/>
          </w:tcPr>
          <w:p>
            <w:pPr>
              <w:spacing w:after="0"/>
              <w:rPr>
                <w:sz w:val="20"/>
                <w:szCs w:val="20"/>
                <w:color w:val="auto"/>
              </w:rPr>
            </w:pPr>
            <w:r>
              <w:rPr>
                <w:rFonts w:ascii="Calibri" w:cs="Calibri" w:eastAsia="Calibri" w:hAnsi="Calibri"/>
                <w:sz w:val="15"/>
                <w:szCs w:val="15"/>
                <w:color w:val="0000FF"/>
              </w:rPr>
              <w:t>Report of Independent Registered Public Accountng Firm (PCAOB ID: 42)</w:t>
            </w: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1"/>
        </w:trPr>
        <w:tc>
          <w:tcPr>
            <w:tcW w:w="10580" w:type="dxa"/>
            <w:vAlign w:val="bottom"/>
            <w:gridSpan w:val="8"/>
            <w:vMerge w:val="continue"/>
          </w:tcPr>
          <w:p>
            <w:pPr>
              <w:spacing w:after="0"/>
              <w:rPr>
                <w:sz w:val="12"/>
                <w:szCs w:val="12"/>
                <w:color w:val="auto"/>
              </w:rPr>
            </w:pPr>
          </w:p>
        </w:tc>
        <w:tc>
          <w:tcPr>
            <w:tcW w:w="680" w:type="dxa"/>
            <w:vAlign w:val="bottom"/>
          </w:tcPr>
          <w:p>
            <w:pPr>
              <w:jc w:val="center"/>
              <w:spacing w:after="0" w:line="141" w:lineRule="exact"/>
              <w:rPr>
                <w:sz w:val="20"/>
                <w:szCs w:val="20"/>
                <w:color w:val="auto"/>
              </w:rPr>
            </w:pPr>
            <w:r>
              <w:rPr>
                <w:rFonts w:ascii="Calibri" w:cs="Calibri" w:eastAsia="Calibri" w:hAnsi="Calibri"/>
                <w:sz w:val="15"/>
                <w:szCs w:val="15"/>
                <w:color w:val="auto"/>
              </w:rPr>
              <w:t>78</w:t>
            </w:r>
          </w:p>
        </w:tc>
        <w:tc>
          <w:tcPr>
            <w:tcW w:w="0" w:type="dxa"/>
            <w:vAlign w:val="bottom"/>
          </w:tcPr>
          <w:p>
            <w:pPr>
              <w:spacing w:after="0"/>
              <w:rPr>
                <w:sz w:val="1"/>
                <w:szCs w:val="1"/>
                <w:color w:val="auto"/>
              </w:rPr>
            </w:pPr>
          </w:p>
        </w:tc>
      </w:tr>
      <w:tr>
        <w:trPr>
          <w:trHeight w:val="187"/>
        </w:trPr>
        <w:tc>
          <w:tcPr>
            <w:tcW w:w="4420" w:type="dxa"/>
            <w:vAlign w:val="bottom"/>
            <w:tcBorders>
              <w:top w:val="single" w:sz="8" w:color="0000EE"/>
            </w:tcBorders>
            <w:gridSpan w:val="3"/>
          </w:tcPr>
          <w:p>
            <w:pPr>
              <w:spacing w:after="0" w:line="176" w:lineRule="exact"/>
              <w:rPr>
                <w:sz w:val="20"/>
                <w:szCs w:val="20"/>
                <w:color w:val="auto"/>
              </w:rPr>
            </w:pPr>
            <w:r>
              <w:rPr>
                <w:rFonts w:ascii="Calibri" w:cs="Calibri" w:eastAsia="Calibri" w:hAnsi="Calibri"/>
                <w:sz w:val="15"/>
                <w:szCs w:val="15"/>
                <w:color w:val="0000FF"/>
              </w:rPr>
              <w:t>Consolidated Balance Sheets as of December 31, 2023 and 2022</w:t>
            </w:r>
          </w:p>
        </w:tc>
        <w:tc>
          <w:tcPr>
            <w:tcW w:w="6160" w:type="dxa"/>
            <w:vAlign w:val="bottom"/>
            <w:gridSpan w:val="5"/>
          </w:tcPr>
          <w:p>
            <w:pPr>
              <w:spacing w:after="0"/>
              <w:rPr>
                <w:sz w:val="16"/>
                <w:szCs w:val="16"/>
                <w:color w:val="auto"/>
              </w:rPr>
            </w:pPr>
          </w:p>
        </w:tc>
        <w:tc>
          <w:tcPr>
            <w:tcW w:w="680" w:type="dxa"/>
            <w:vAlign w:val="bottom"/>
          </w:tcPr>
          <w:p>
            <w:pPr>
              <w:jc w:val="center"/>
              <w:spacing w:after="0" w:line="176" w:lineRule="exact"/>
              <w:rPr>
                <w:sz w:val="20"/>
                <w:szCs w:val="20"/>
                <w:color w:val="auto"/>
              </w:rPr>
            </w:pPr>
            <w:r>
              <w:rPr>
                <w:rFonts w:ascii="Calibri" w:cs="Calibri" w:eastAsia="Calibri" w:hAnsi="Calibri"/>
                <w:sz w:val="15"/>
                <w:szCs w:val="15"/>
                <w:color w:val="auto"/>
              </w:rPr>
              <w:t>80</w:t>
            </w:r>
          </w:p>
        </w:tc>
        <w:tc>
          <w:tcPr>
            <w:tcW w:w="0" w:type="dxa"/>
            <w:vAlign w:val="bottom"/>
          </w:tcPr>
          <w:p>
            <w:pPr>
              <w:spacing w:after="0"/>
              <w:rPr>
                <w:sz w:val="1"/>
                <w:szCs w:val="1"/>
                <w:color w:val="auto"/>
              </w:rPr>
            </w:pPr>
          </w:p>
        </w:tc>
      </w:tr>
      <w:tr>
        <w:trPr>
          <w:trHeight w:val="20"/>
        </w:trPr>
        <w:tc>
          <w:tcPr>
            <w:tcW w:w="26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460" w:type="dxa"/>
            <w:vAlign w:val="bottom"/>
            <w:tcBorders>
              <w:bottom w:val="single" w:sz="8" w:color="0000EE"/>
            </w:tcBorders>
            <w:gridSpan w:val="4"/>
          </w:tcPr>
          <w:p>
            <w:pPr>
              <w:spacing w:after="0"/>
              <w:rPr>
                <w:sz w:val="20"/>
                <w:szCs w:val="20"/>
                <w:color w:val="auto"/>
              </w:rPr>
            </w:pPr>
            <w:r>
              <w:rPr>
                <w:rFonts w:ascii="Calibri" w:cs="Calibri" w:eastAsia="Calibri" w:hAnsi="Calibri"/>
                <w:sz w:val="15"/>
                <w:szCs w:val="15"/>
                <w:color w:val="0000FF"/>
                <w:w w:val="99"/>
              </w:rPr>
              <w:t>Consolidated Income Statements for the Years Ended December 31, 2023, 2022, and 2021</w:t>
            </w:r>
          </w:p>
        </w:tc>
        <w:tc>
          <w:tcPr>
            <w:tcW w:w="5120" w:type="dxa"/>
            <w:vAlign w:val="bottom"/>
            <w:gridSpan w:val="4"/>
          </w:tcPr>
          <w:p>
            <w:pPr>
              <w:spacing w:after="0"/>
              <w:rPr>
                <w:sz w:val="17"/>
                <w:szCs w:val="17"/>
                <w:color w:val="auto"/>
              </w:rPr>
            </w:pPr>
          </w:p>
        </w:tc>
        <w:tc>
          <w:tcPr>
            <w:tcW w:w="680" w:type="dxa"/>
            <w:vAlign w:val="bottom"/>
          </w:tcPr>
          <w:p>
            <w:pPr>
              <w:jc w:val="center"/>
              <w:spacing w:after="0"/>
              <w:rPr>
                <w:sz w:val="20"/>
                <w:szCs w:val="20"/>
                <w:color w:val="auto"/>
              </w:rPr>
            </w:pPr>
            <w:r>
              <w:rPr>
                <w:rFonts w:ascii="Calibri" w:cs="Calibri" w:eastAsia="Calibri" w:hAnsi="Calibri"/>
                <w:sz w:val="15"/>
                <w:szCs w:val="15"/>
                <w:color w:val="auto"/>
              </w:rPr>
              <w:t>81</w:t>
            </w:r>
          </w:p>
        </w:tc>
        <w:tc>
          <w:tcPr>
            <w:tcW w:w="0" w:type="dxa"/>
            <w:vAlign w:val="bottom"/>
          </w:tcPr>
          <w:p>
            <w:pPr>
              <w:spacing w:after="0"/>
              <w:rPr>
                <w:sz w:val="1"/>
                <w:szCs w:val="1"/>
                <w:color w:val="auto"/>
              </w:rPr>
            </w:pPr>
          </w:p>
        </w:tc>
      </w:tr>
      <w:tr>
        <w:trPr>
          <w:trHeight w:val="199"/>
        </w:trPr>
        <w:tc>
          <w:tcPr>
            <w:tcW w:w="6600" w:type="dxa"/>
            <w:vAlign w:val="bottom"/>
            <w:tcBorders>
              <w:bottom w:val="single" w:sz="8" w:color="0000EE"/>
            </w:tcBorders>
            <w:gridSpan w:val="6"/>
          </w:tcPr>
          <w:p>
            <w:pPr>
              <w:spacing w:after="0"/>
              <w:rPr>
                <w:sz w:val="20"/>
                <w:szCs w:val="20"/>
                <w:color w:val="auto"/>
              </w:rPr>
            </w:pPr>
            <w:r>
              <w:rPr>
                <w:rFonts w:ascii="Calibri" w:cs="Calibri" w:eastAsia="Calibri" w:hAnsi="Calibri"/>
                <w:sz w:val="15"/>
                <w:szCs w:val="15"/>
                <w:color w:val="0000FF"/>
                <w:w w:val="99"/>
              </w:rPr>
              <w:t>Consolidated Statements of Comprehensive Income for the Years Ended December 31, 2023, 2022, and 2021</w:t>
            </w:r>
          </w:p>
        </w:tc>
        <w:tc>
          <w:tcPr>
            <w:tcW w:w="3980" w:type="dxa"/>
            <w:vAlign w:val="bottom"/>
            <w:gridSpan w:val="2"/>
          </w:tcPr>
          <w:p>
            <w:pPr>
              <w:spacing w:after="0"/>
              <w:rPr>
                <w:sz w:val="17"/>
                <w:szCs w:val="17"/>
                <w:color w:val="auto"/>
              </w:rPr>
            </w:pPr>
          </w:p>
        </w:tc>
        <w:tc>
          <w:tcPr>
            <w:tcW w:w="680" w:type="dxa"/>
            <w:vAlign w:val="bottom"/>
          </w:tcPr>
          <w:p>
            <w:pPr>
              <w:jc w:val="center"/>
              <w:spacing w:after="0"/>
              <w:rPr>
                <w:sz w:val="20"/>
                <w:szCs w:val="20"/>
                <w:color w:val="auto"/>
              </w:rPr>
            </w:pPr>
            <w:r>
              <w:rPr>
                <w:rFonts w:ascii="Calibri" w:cs="Calibri" w:eastAsia="Calibri" w:hAnsi="Calibri"/>
                <w:sz w:val="15"/>
                <w:szCs w:val="15"/>
                <w:color w:val="auto"/>
              </w:rPr>
              <w:t>82</w:t>
            </w:r>
          </w:p>
        </w:tc>
        <w:tc>
          <w:tcPr>
            <w:tcW w:w="0" w:type="dxa"/>
            <w:vAlign w:val="bottom"/>
          </w:tcPr>
          <w:p>
            <w:pPr>
              <w:spacing w:after="0"/>
              <w:rPr>
                <w:sz w:val="1"/>
                <w:szCs w:val="1"/>
                <w:color w:val="auto"/>
              </w:rPr>
            </w:pPr>
          </w:p>
        </w:tc>
      </w:tr>
      <w:tr>
        <w:trPr>
          <w:trHeight w:val="187"/>
        </w:trPr>
        <w:tc>
          <w:tcPr>
            <w:tcW w:w="10580" w:type="dxa"/>
            <w:vAlign w:val="bottom"/>
            <w:gridSpan w:val="8"/>
          </w:tcPr>
          <w:p>
            <w:pPr>
              <w:spacing w:after="0"/>
              <w:rPr>
                <w:sz w:val="20"/>
                <w:szCs w:val="20"/>
                <w:color w:val="auto"/>
              </w:rPr>
            </w:pPr>
            <w:r>
              <w:rPr>
                <w:rFonts w:ascii="Calibri" w:cs="Calibri" w:eastAsia="Calibri" w:hAnsi="Calibri"/>
                <w:sz w:val="15"/>
                <w:szCs w:val="15"/>
                <w:color w:val="0000FF"/>
              </w:rPr>
              <w:t>Consolidated Statements of Redeemable Noncontrolling Interest and Stockholders’ Equity for the Years Ended December 31, 2023, 2022, and 2021</w:t>
            </w:r>
          </w:p>
        </w:tc>
        <w:tc>
          <w:tcPr>
            <w:tcW w:w="680" w:type="dxa"/>
            <w:vAlign w:val="bottom"/>
          </w:tcPr>
          <w:p>
            <w:pPr>
              <w:jc w:val="center"/>
              <w:spacing w:after="0"/>
              <w:rPr>
                <w:sz w:val="20"/>
                <w:szCs w:val="20"/>
                <w:color w:val="auto"/>
              </w:rPr>
            </w:pPr>
            <w:r>
              <w:rPr>
                <w:rFonts w:ascii="Calibri" w:cs="Calibri" w:eastAsia="Calibri" w:hAnsi="Calibri"/>
                <w:sz w:val="15"/>
                <w:szCs w:val="15"/>
                <w:color w:val="auto"/>
              </w:rPr>
              <w:t>83</w:t>
            </w:r>
          </w:p>
        </w:tc>
        <w:tc>
          <w:tcPr>
            <w:tcW w:w="0" w:type="dxa"/>
            <w:vAlign w:val="bottom"/>
          </w:tcPr>
          <w:p>
            <w:pPr>
              <w:spacing w:after="0"/>
              <w:rPr>
                <w:sz w:val="1"/>
                <w:szCs w:val="1"/>
                <w:color w:val="auto"/>
              </w:rPr>
            </w:pPr>
          </w:p>
        </w:tc>
      </w:tr>
      <w:tr>
        <w:trPr>
          <w:trHeight w:val="187"/>
        </w:trPr>
        <w:tc>
          <w:tcPr>
            <w:tcW w:w="8880" w:type="dxa"/>
            <w:vAlign w:val="bottom"/>
            <w:tcBorders>
              <w:top w:val="single" w:sz="8" w:color="0000EE"/>
            </w:tcBorders>
            <w:gridSpan w:val="7"/>
          </w:tcPr>
          <w:p>
            <w:pPr>
              <w:spacing w:after="0"/>
              <w:rPr>
                <w:sz w:val="20"/>
                <w:szCs w:val="20"/>
                <w:color w:val="auto"/>
              </w:rPr>
            </w:pPr>
            <w:r>
              <w:rPr>
                <w:rFonts w:ascii="Calibri" w:cs="Calibri" w:eastAsia="Calibri" w:hAnsi="Calibri"/>
                <w:sz w:val="15"/>
                <w:szCs w:val="15"/>
                <w:color w:val="0000FF"/>
              </w:rPr>
              <w:t>Consolidated Statements of Cash Flows for the Years Ended December 31, 2023, 2022, and 2021</w:t>
            </w:r>
          </w:p>
        </w:tc>
        <w:tc>
          <w:tcPr>
            <w:tcW w:w="170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Calibri" w:cs="Calibri" w:eastAsia="Calibri" w:hAnsi="Calibri"/>
                <w:sz w:val="15"/>
                <w:szCs w:val="15"/>
                <w:color w:val="auto"/>
              </w:rPr>
              <w:t>84</w:t>
            </w:r>
          </w:p>
        </w:tc>
        <w:tc>
          <w:tcPr>
            <w:tcW w:w="0" w:type="dxa"/>
            <w:vAlign w:val="bottom"/>
          </w:tcPr>
          <w:p>
            <w:pPr>
              <w:spacing w:after="0"/>
              <w:rPr>
                <w:sz w:val="1"/>
                <w:szCs w:val="1"/>
                <w:color w:val="auto"/>
              </w:rPr>
            </w:pPr>
          </w:p>
        </w:tc>
      </w:tr>
      <w:tr>
        <w:trPr>
          <w:trHeight w:val="187"/>
        </w:trPr>
        <w:tc>
          <w:tcPr>
            <w:tcW w:w="5820" w:type="dxa"/>
            <w:vAlign w:val="bottom"/>
            <w:tcBorders>
              <w:top w:val="single" w:sz="8" w:color="0000EE"/>
            </w:tcBorders>
            <w:gridSpan w:val="5"/>
          </w:tcPr>
          <w:p>
            <w:pPr>
              <w:spacing w:after="0"/>
              <w:rPr>
                <w:sz w:val="20"/>
                <w:szCs w:val="20"/>
                <w:color w:val="auto"/>
              </w:rPr>
            </w:pPr>
            <w:r>
              <w:rPr>
                <w:rFonts w:ascii="Calibri" w:cs="Calibri" w:eastAsia="Calibri" w:hAnsi="Calibri"/>
                <w:sz w:val="15"/>
                <w:szCs w:val="15"/>
                <w:color w:val="0000FF"/>
              </w:rPr>
              <w:t>Notes to Consolidated Financial Statements</w:t>
            </w:r>
          </w:p>
        </w:tc>
        <w:tc>
          <w:tcPr>
            <w:tcW w:w="4760" w:type="dxa"/>
            <w:vAlign w:val="bottom"/>
            <w:gridSpan w:val="3"/>
          </w:tcPr>
          <w:p>
            <w:pPr>
              <w:spacing w:after="0"/>
              <w:rPr>
                <w:sz w:val="16"/>
                <w:szCs w:val="16"/>
                <w:color w:val="auto"/>
              </w:rPr>
            </w:pPr>
          </w:p>
        </w:tc>
        <w:tc>
          <w:tcPr>
            <w:tcW w:w="680" w:type="dxa"/>
            <w:vAlign w:val="bottom"/>
          </w:tcPr>
          <w:p>
            <w:pPr>
              <w:jc w:val="center"/>
              <w:spacing w:after="0"/>
              <w:rPr>
                <w:sz w:val="20"/>
                <w:szCs w:val="20"/>
                <w:color w:val="auto"/>
              </w:rPr>
            </w:pPr>
            <w:r>
              <w:rPr>
                <w:rFonts w:ascii="Calibri" w:cs="Calibri" w:eastAsia="Calibri" w:hAnsi="Calibri"/>
                <w:sz w:val="15"/>
                <w:szCs w:val="15"/>
                <w:color w:val="auto"/>
              </w:rPr>
              <w:t>85</w:t>
            </w:r>
          </w:p>
        </w:tc>
        <w:tc>
          <w:tcPr>
            <w:tcW w:w="0" w:type="dxa"/>
            <w:vAlign w:val="bottom"/>
          </w:tcPr>
          <w:p>
            <w:pPr>
              <w:spacing w:after="0"/>
              <w:rPr>
                <w:sz w:val="1"/>
                <w:szCs w:val="1"/>
                <w:color w:val="auto"/>
              </w:rPr>
            </w:pPr>
          </w:p>
        </w:tc>
      </w:tr>
      <w:tr>
        <w:trPr>
          <w:trHeight w:val="570"/>
        </w:trPr>
        <w:tc>
          <w:tcPr>
            <w:tcW w:w="2640" w:type="dxa"/>
            <w:vAlign w:val="bottom"/>
            <w:tcBorders>
              <w:top w:val="single" w:sz="8" w:color="0000EE"/>
            </w:tcBorders>
          </w:tcPr>
          <w:p>
            <w:pPr>
              <w:spacing w:after="0"/>
              <w:rPr>
                <w:sz w:val="24"/>
                <w:szCs w:val="24"/>
                <w:color w:val="auto"/>
              </w:rPr>
            </w:pPr>
          </w:p>
        </w:tc>
        <w:tc>
          <w:tcPr>
            <w:tcW w:w="3180" w:type="dxa"/>
            <w:vAlign w:val="bottom"/>
            <w:gridSpan w:val="4"/>
          </w:tcPr>
          <w:p>
            <w:pPr>
              <w:jc w:val="right"/>
              <w:ind w:right="120"/>
              <w:spacing w:after="0"/>
              <w:rPr>
                <w:sz w:val="20"/>
                <w:szCs w:val="20"/>
                <w:color w:val="auto"/>
              </w:rPr>
            </w:pPr>
            <w:r>
              <w:rPr>
                <w:rFonts w:ascii="Calibri" w:cs="Calibri" w:eastAsia="Calibri" w:hAnsi="Calibri"/>
                <w:sz w:val="15"/>
                <w:szCs w:val="15"/>
                <w:color w:val="auto"/>
              </w:rPr>
              <w:t>77</w:t>
            </w:r>
          </w:p>
        </w:tc>
        <w:tc>
          <w:tcPr>
            <w:tcW w:w="7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7"/>
        </w:trPr>
        <w:tc>
          <w:tcPr>
            <w:tcW w:w="26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-26670</wp:posOffset>
            </wp:positionV>
            <wp:extent cx="33020" cy="400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949" w:right="319" w:bottom="1440" w:gutter="0" w:footer="0" w:header="0"/>
        </w:sectPr>
      </w:pPr>
    </w:p>
    <w:bookmarkStart w:id="79" w:name="page80"/>
    <w:bookmarkEnd w:id="79"/>
    <w:p>
      <w:pPr>
        <w:spacing w:after="0"/>
        <w:rPr>
          <w:sz w:val="20"/>
          <w:szCs w:val="20"/>
          <w:color w:val="auto"/>
        </w:rPr>
      </w:pPr>
      <w:r>
        <w:rPr>
          <w:rFonts w:ascii="Calibri" w:cs="Calibri" w:eastAsia="Calibri" w:hAnsi="Calibri"/>
          <w:sz w:val="15"/>
          <w:szCs w:val="15"/>
          <w:b w:val="1"/>
          <w:bCs w:val="1"/>
          <w:color w:val="auto"/>
        </w:rPr>
        <w:t>Report of Independent Registered Public Accountng Firm</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color w:val="auto"/>
        </w:rPr>
        <w:t>To the Stockholders and the Board of Directors of CarGurus, Inc.</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b w:val="1"/>
          <w:bCs w:val="1"/>
          <w:color w:val="auto"/>
        </w:rPr>
        <w:t>Opinion on the Financial Statements</w:t>
      </w:r>
    </w:p>
    <w:p>
      <w:pPr>
        <w:spacing w:after="0" w:line="185" w:lineRule="exact"/>
        <w:rPr>
          <w:sz w:val="20"/>
          <w:szCs w:val="20"/>
          <w:color w:val="auto"/>
        </w:rPr>
      </w:pPr>
    </w:p>
    <w:p>
      <w:pPr>
        <w:ind w:right="60"/>
        <w:spacing w:after="0" w:line="241" w:lineRule="auto"/>
        <w:rPr>
          <w:sz w:val="20"/>
          <w:szCs w:val="20"/>
          <w:color w:val="auto"/>
        </w:rPr>
      </w:pPr>
      <w:r>
        <w:rPr>
          <w:rFonts w:ascii="Calibri" w:cs="Calibri" w:eastAsia="Calibri" w:hAnsi="Calibri"/>
          <w:sz w:val="15"/>
          <w:szCs w:val="15"/>
          <w:color w:val="auto"/>
        </w:rPr>
        <w:t>We have audited the accompanying consolidated balance sheets of CarGurus, Inc. (the Company) as of December 31, 2023 and 2022, the related consolidated statements of income, comprehensive income, redeemable noncontrolling interest and stockholders' equity and cash fows for each of the three years in the period ended December 31, 2023, and the related notes (collectvely referred to as the “consolidated fnancial statements”). In our opinion, the consolidated fnancial statements present fairly, in all material respects, the fnancial positon of the Company at December 31, 2023 and 2022, and the results of its operatons and its cash fows for each of the three years in the period ended December 31, 2023, in conformity with U.S. generally accepted accountng principles.</w:t>
      </w:r>
    </w:p>
    <w:p>
      <w:pPr>
        <w:spacing w:after="0" w:line="185" w:lineRule="exact"/>
        <w:rPr>
          <w:sz w:val="20"/>
          <w:szCs w:val="20"/>
          <w:color w:val="auto"/>
        </w:rPr>
      </w:pPr>
    </w:p>
    <w:p>
      <w:pPr>
        <w:jc w:val="both"/>
        <w:ind w:right="460"/>
        <w:spacing w:after="0" w:line="241" w:lineRule="auto"/>
        <w:rPr>
          <w:sz w:val="20"/>
          <w:szCs w:val="20"/>
          <w:color w:val="auto"/>
        </w:rPr>
      </w:pPr>
      <w:r>
        <w:rPr>
          <w:rFonts w:ascii="Calibri" w:cs="Calibri" w:eastAsia="Calibri" w:hAnsi="Calibri"/>
          <w:sz w:val="15"/>
          <w:szCs w:val="15"/>
          <w:color w:val="auto"/>
        </w:rPr>
        <w:t>We also have audited, in accordance with the standards of the Public Company Accountng Oversight Board (United States) (PCAOB), the Company's internal control over fnancial reportng as of December 31, 2023, based on criteria established in Internal Control–Integrated Framework issued by the Commitee of Sponsoring Organizatons of the Treadway Commission (2013 framework), and our report dated February 26, 2024 expressed an adverse opinion thereon.</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b w:val="1"/>
          <w:bCs w:val="1"/>
          <w:color w:val="auto"/>
        </w:rPr>
        <w:t>Basis for Opinion</w:t>
      </w:r>
    </w:p>
    <w:p>
      <w:pPr>
        <w:spacing w:after="0" w:line="185" w:lineRule="exact"/>
        <w:rPr>
          <w:sz w:val="20"/>
          <w:szCs w:val="20"/>
          <w:color w:val="auto"/>
        </w:rPr>
      </w:pPr>
    </w:p>
    <w:p>
      <w:pPr>
        <w:jc w:val="both"/>
        <w:ind w:right="100"/>
        <w:spacing w:after="0" w:line="241" w:lineRule="auto"/>
        <w:rPr>
          <w:sz w:val="20"/>
          <w:szCs w:val="20"/>
          <w:color w:val="auto"/>
        </w:rPr>
      </w:pPr>
      <w:r>
        <w:rPr>
          <w:rFonts w:ascii="Calibri" w:cs="Calibri" w:eastAsia="Calibri" w:hAnsi="Calibri"/>
          <w:sz w:val="15"/>
          <w:szCs w:val="15"/>
          <w:color w:val="auto"/>
        </w:rPr>
        <w:t>These fnancial statements are the responsibility of the Company's management. Our responsibility is to express an opinion on the Company’s fnancial statements based on our audits. We are a public accountng frm registered with the PCAOB and are required to be independent with respect to the Company in accordance with the U.S. federal securites laws and the applicable rules and regulatons of the Securites and Exchange Commission and the PCAOB.</w:t>
      </w:r>
    </w:p>
    <w:p>
      <w:pPr>
        <w:spacing w:after="0" w:line="185" w:lineRule="exact"/>
        <w:rPr>
          <w:sz w:val="20"/>
          <w:szCs w:val="20"/>
          <w:color w:val="auto"/>
        </w:rPr>
      </w:pPr>
    </w:p>
    <w:p>
      <w:pPr>
        <w:spacing w:after="0" w:line="241" w:lineRule="auto"/>
        <w:rPr>
          <w:sz w:val="20"/>
          <w:szCs w:val="20"/>
          <w:color w:val="auto"/>
        </w:rPr>
      </w:pPr>
      <w:r>
        <w:rPr>
          <w:rFonts w:ascii="Calibri" w:cs="Calibri" w:eastAsia="Calibri" w:hAnsi="Calibri"/>
          <w:sz w:val="15"/>
          <w:szCs w:val="15"/>
          <w:color w:val="auto"/>
        </w:rPr>
        <w:t>We conducted our audits in accordance with the standards of the PCAOB. Those standards require that we plan and perform the audit to obtain reasonable assurance about whether the fnancial statements are free of material misstatement, whether due to error or fraud. Our audits included performing procedures to assess the risks of material misstatement of the fnancial statements, whether due to error or fraud, and performing procedures that respond to those risks. Such procedures included examining, on a test basis, evidence regarding the amounts and disclosures in the fnancial statements. Our audits also included evaluatng the accountng principles used and signifcant estmates made by management, as well as evaluatng the overall presentaton of the fnancial statements. We believe that our audits provide a reasonable basis for our opinion.</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b w:val="1"/>
          <w:bCs w:val="1"/>
          <w:color w:val="auto"/>
        </w:rPr>
        <w:t>Critcal Audit Mater</w:t>
      </w:r>
    </w:p>
    <w:p>
      <w:pPr>
        <w:spacing w:after="0" w:line="185" w:lineRule="exact"/>
        <w:rPr>
          <w:sz w:val="20"/>
          <w:szCs w:val="20"/>
          <w:color w:val="auto"/>
        </w:rPr>
      </w:pPr>
    </w:p>
    <w:p>
      <w:pPr>
        <w:ind w:right="180"/>
        <w:spacing w:after="0" w:line="241" w:lineRule="auto"/>
        <w:rPr>
          <w:sz w:val="20"/>
          <w:szCs w:val="20"/>
          <w:color w:val="auto"/>
        </w:rPr>
      </w:pPr>
      <w:r>
        <w:rPr>
          <w:rFonts w:ascii="Calibri" w:cs="Calibri" w:eastAsia="Calibri" w:hAnsi="Calibri"/>
          <w:sz w:val="15"/>
          <w:szCs w:val="15"/>
          <w:color w:val="auto"/>
        </w:rPr>
        <w:t>The critcal audit mater communicated below is a mater arising from the current period audit of the fnancial statements that was communicated or required to be communicated to the audit commitee and that: (1) relates to accounts or disclosures that are material to the fnancial statements and (2) involved our especially challenging, subjectve or complex judgments. The communicaton of the critcal audit mater does not alter in any way our opinion on the consolidated fnancial statements, taken as a whole, and we are not, by communicatng the critcal audit mater below, providing a separate opinion on the critcal audit mater or on the accounts or disclosures to which it relates.</w:t>
      </w:r>
    </w:p>
    <w:p>
      <w:pPr>
        <w:spacing w:after="0" w:line="196" w:lineRule="exact"/>
        <w:rPr>
          <w:sz w:val="20"/>
          <w:szCs w:val="20"/>
          <w:color w:val="auto"/>
        </w:rPr>
      </w:pPr>
    </w:p>
    <w:p>
      <w:pPr>
        <w:ind w:left="1960"/>
        <w:spacing w:after="0"/>
        <w:rPr>
          <w:sz w:val="20"/>
          <w:szCs w:val="20"/>
          <w:color w:val="auto"/>
        </w:rPr>
      </w:pPr>
      <w:r>
        <w:rPr>
          <w:rFonts w:ascii="Calibri" w:cs="Calibri" w:eastAsia="Calibri" w:hAnsi="Calibri"/>
          <w:sz w:val="15"/>
          <w:szCs w:val="15"/>
          <w:b w:val="1"/>
          <w:bCs w:val="1"/>
          <w:i w:val="1"/>
          <w:iCs w:val="1"/>
          <w:color w:val="auto"/>
        </w:rPr>
        <w:t>Revenue Recogniton</w:t>
      </w:r>
    </w:p>
    <w:p>
      <w:pPr>
        <w:spacing w:after="0" w:line="24" w:lineRule="exact"/>
        <w:rPr>
          <w:sz w:val="20"/>
          <w:szCs w:val="20"/>
          <w:color w:val="auto"/>
        </w:rPr>
      </w:pPr>
    </w:p>
    <w:p>
      <w:pPr>
        <w:ind w:left="1960" w:right="180" w:hanging="1955"/>
        <w:spacing w:after="0" w:line="241" w:lineRule="auto"/>
        <w:tabs>
          <w:tab w:leader="none" w:pos="1940" w:val="left"/>
        </w:tabs>
        <w:rPr>
          <w:sz w:val="20"/>
          <w:szCs w:val="20"/>
          <w:color w:val="auto"/>
        </w:rPr>
      </w:pPr>
      <w:r>
        <w:rPr>
          <w:rFonts w:ascii="Calibri" w:cs="Calibri" w:eastAsia="Calibri" w:hAnsi="Calibri"/>
          <w:sz w:val="15"/>
          <w:szCs w:val="15"/>
          <w:i w:val="1"/>
          <w:iCs w:val="1"/>
          <w:color w:val="auto"/>
        </w:rPr>
        <w:t>Descripton of the Mater</w:t>
      </w:r>
      <w:r>
        <w:rPr>
          <w:sz w:val="20"/>
          <w:szCs w:val="20"/>
          <w:color w:val="auto"/>
        </w:rPr>
        <w:tab/>
      </w:r>
      <w:r>
        <w:rPr>
          <w:rFonts w:ascii="Calibri" w:cs="Calibri" w:eastAsia="Calibri" w:hAnsi="Calibri"/>
          <w:sz w:val="15"/>
          <w:szCs w:val="15"/>
          <w:color w:val="auto"/>
        </w:rPr>
        <w:t xml:space="preserve">For the year ended December 31, 2023, the Company recognized revenue of $914.2 million. As explained in Note 2 to the consolidated fnancial statements, the Company recognizes revenue in accordance with Accountng Standard Codifcaton Topic 606, </w:t>
      </w:r>
      <w:r>
        <w:rPr>
          <w:rFonts w:ascii="Calibri" w:cs="Calibri" w:eastAsia="Calibri" w:hAnsi="Calibri"/>
          <w:sz w:val="15"/>
          <w:szCs w:val="15"/>
          <w:i w:val="1"/>
          <w:iCs w:val="1"/>
          <w:color w:val="auto"/>
        </w:rPr>
        <w:t>Revenue from Contracts with</w:t>
      </w:r>
      <w:r>
        <w:rPr>
          <w:rFonts w:ascii="Calibri" w:cs="Calibri" w:eastAsia="Calibri" w:hAnsi="Calibri"/>
          <w:sz w:val="15"/>
          <w:szCs w:val="15"/>
          <w:color w:val="auto"/>
        </w:rPr>
        <w:t xml:space="preserve"> </w:t>
      </w:r>
      <w:r>
        <w:rPr>
          <w:rFonts w:ascii="Calibri" w:cs="Calibri" w:eastAsia="Calibri" w:hAnsi="Calibri"/>
          <w:sz w:val="15"/>
          <w:szCs w:val="15"/>
          <w:i w:val="1"/>
          <w:iCs w:val="1"/>
          <w:color w:val="auto"/>
        </w:rPr>
        <w:t xml:space="preserve">Customers, </w:t>
      </w:r>
      <w:r>
        <w:rPr>
          <w:rFonts w:ascii="Calibri" w:cs="Calibri" w:eastAsia="Calibri" w:hAnsi="Calibri"/>
          <w:sz w:val="15"/>
          <w:szCs w:val="15"/>
          <w:color w:val="auto"/>
        </w:rPr>
        <w:t>upon transfer of control of promised services to customers in an amount that refects the consideraton the Company expects to receive in</w:t>
      </w:r>
      <w:r>
        <w:rPr>
          <w:rFonts w:ascii="Calibri" w:cs="Calibri" w:eastAsia="Calibri" w:hAnsi="Calibri"/>
          <w:sz w:val="15"/>
          <w:szCs w:val="15"/>
          <w:i w:val="1"/>
          <w:iCs w:val="1"/>
          <w:color w:val="auto"/>
        </w:rPr>
        <w:t xml:space="preserve"> </w:t>
      </w:r>
      <w:r>
        <w:rPr>
          <w:rFonts w:ascii="Calibri" w:cs="Calibri" w:eastAsia="Calibri" w:hAnsi="Calibri"/>
          <w:sz w:val="15"/>
          <w:szCs w:val="15"/>
          <w:color w:val="auto"/>
        </w:rPr>
        <w:t>exchange for those services.</w:t>
      </w:r>
    </w:p>
    <w:p>
      <w:pPr>
        <w:spacing w:after="0" w:line="185" w:lineRule="exact"/>
        <w:rPr>
          <w:sz w:val="20"/>
          <w:szCs w:val="20"/>
          <w:color w:val="auto"/>
        </w:rPr>
      </w:pPr>
    </w:p>
    <w:p>
      <w:pPr>
        <w:ind w:left="1960"/>
        <w:spacing w:after="0" w:line="241" w:lineRule="auto"/>
        <w:rPr>
          <w:sz w:val="20"/>
          <w:szCs w:val="20"/>
          <w:color w:val="auto"/>
        </w:rPr>
      </w:pPr>
      <w:r>
        <w:rPr>
          <w:rFonts w:ascii="Calibri" w:cs="Calibri" w:eastAsia="Calibri" w:hAnsi="Calibri"/>
          <w:sz w:val="15"/>
          <w:szCs w:val="15"/>
          <w:color w:val="auto"/>
        </w:rPr>
        <w:t>Auditng management’s recogniton of revenue was challenging because of the higher extent of audit efort and because the amounts are material to the consolidated fnancial statements and related disclosures. During our risk assessment process, we identfed a higher inherent risk related to revenue primarily due to the size of the account and the volume of actvity, as well as the focus on revenue from readers of the fnancial statements.</w:t>
      </w:r>
    </w:p>
    <w:p>
      <w:pPr>
        <w:spacing w:after="0" w:line="196" w:lineRule="exact"/>
        <w:rPr>
          <w:sz w:val="20"/>
          <w:szCs w:val="20"/>
          <w:color w:val="auto"/>
        </w:rPr>
      </w:pPr>
    </w:p>
    <w:p>
      <w:pPr>
        <w:jc w:val="center"/>
        <w:ind w:right="-19"/>
        <w:spacing w:after="0"/>
        <w:rPr>
          <w:sz w:val="20"/>
          <w:szCs w:val="20"/>
          <w:color w:val="auto"/>
        </w:rPr>
      </w:pPr>
      <w:r>
        <w:rPr>
          <w:rFonts w:ascii="Calibri" w:cs="Calibri" w:eastAsia="Calibri" w:hAnsi="Calibri"/>
          <w:sz w:val="15"/>
          <w:szCs w:val="15"/>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408940</wp:posOffset>
            </wp:positionV>
            <wp:extent cx="7178040" cy="400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20"/>
          </w:cols>
          <w:pgMar w:left="320" w:top="1133" w:right="359" w:bottom="1440" w:gutter="0" w:footer="0" w:header="0"/>
        </w:sectPr>
      </w:pPr>
    </w:p>
    <w:bookmarkStart w:id="80" w:name="page81"/>
    <w:bookmarkEnd w:id="80"/>
    <w:p>
      <w:pPr>
        <w:spacing w:after="0" w:line="241" w:lineRule="auto"/>
        <w:rPr>
          <w:sz w:val="20"/>
          <w:szCs w:val="20"/>
          <w:color w:val="auto"/>
        </w:rPr>
      </w:pPr>
      <w:r>
        <w:rPr>
          <w:rFonts w:ascii="Calibri" w:cs="Calibri" w:eastAsia="Calibri" w:hAnsi="Calibri"/>
          <w:sz w:val="15"/>
          <w:szCs w:val="15"/>
          <w:i w:val="1"/>
          <w:iCs w:val="1"/>
          <w:color w:val="auto"/>
        </w:rPr>
        <w:t>How We Addressed the Mater in Our Audit</w:t>
      </w:r>
    </w:p>
    <w:p>
      <w:pPr>
        <w:spacing w:after="0" w:line="20" w:lineRule="exact"/>
        <w:rPr>
          <w:sz w:val="20"/>
          <w:szCs w:val="20"/>
          <w:color w:val="auto"/>
        </w:rPr>
      </w:pPr>
      <w:r>
        <w:rPr>
          <w:sz w:val="20"/>
          <w:szCs w:val="20"/>
          <w:color w:val="auto"/>
        </w:rPr>
        <w:br w:type="column"/>
      </w:r>
    </w:p>
    <w:p>
      <w:pPr>
        <w:spacing w:after="0" w:line="241" w:lineRule="auto"/>
        <w:rPr>
          <w:sz w:val="20"/>
          <w:szCs w:val="20"/>
          <w:color w:val="auto"/>
        </w:rPr>
      </w:pPr>
      <w:r>
        <w:rPr>
          <w:rFonts w:ascii="Calibri" w:cs="Calibri" w:eastAsia="Calibri" w:hAnsi="Calibri"/>
          <w:sz w:val="15"/>
          <w:szCs w:val="15"/>
          <w:color w:val="auto"/>
        </w:rPr>
        <w:t>We obtained an understanding, evaluated the design and tested the operatng efectveness of controls over the Company’s revenue recogniton process, including controls designed to mitgate the risk of override of controls. This included testng controls over management’s review of manual journal entries and revenue related account reconciliatons.</w:t>
      </w:r>
    </w:p>
    <w:p>
      <w:pPr>
        <w:spacing w:after="0" w:line="185" w:lineRule="exact"/>
        <w:rPr>
          <w:sz w:val="20"/>
          <w:szCs w:val="20"/>
          <w:color w:val="auto"/>
        </w:rPr>
      </w:pPr>
    </w:p>
    <w:p>
      <w:pPr>
        <w:sectPr>
          <w:pgSz w:w="11900" w:h="16838" w:orient="portrait"/>
          <w:cols w:equalWidth="0" w:num="2">
            <w:col w:w="1400" w:space="560"/>
            <w:col w:w="9260"/>
          </w:cols>
          <w:pgMar w:left="320" w:top="1168" w:right="359" w:bottom="1440" w:gutter="0" w:footer="0" w:header="0"/>
        </w:sectPr>
      </w:pPr>
    </w:p>
    <w:p>
      <w:pPr>
        <w:ind w:left="1960" w:right="60"/>
        <w:spacing w:after="0" w:line="241" w:lineRule="auto"/>
        <w:rPr>
          <w:sz w:val="20"/>
          <w:szCs w:val="20"/>
          <w:color w:val="auto"/>
        </w:rPr>
      </w:pPr>
      <w:r>
        <w:rPr>
          <w:rFonts w:ascii="Calibri" w:cs="Calibri" w:eastAsia="Calibri" w:hAnsi="Calibri"/>
          <w:sz w:val="15"/>
          <w:szCs w:val="15"/>
          <w:color w:val="auto"/>
        </w:rPr>
        <w:t>We substantvely tested the Company’s revenue recognized for the year ended December 31, 2023, through a combinaton of data analytcs and tests of details. Our audit procedures included, among others, performing a correlaton analysis between the related accounts (i.e., revenue, deferred revenue, accounts receivable, and cash) and testng the existence of cash receipts ted to revenue recogniton. Additonally, we reconciled revenue recognized to the Company’s general ledger to test completeness and performed substantve test of details over signifcant customers deemed to be key items and a representatve sample of the remaining transactons.</w:t>
      </w:r>
    </w:p>
    <w:p>
      <w:pPr>
        <w:sectPr>
          <w:pgSz w:w="11900" w:h="16838" w:orient="portrait"/>
          <w:cols w:equalWidth="0" w:num="1">
            <w:col w:w="11220"/>
          </w:cols>
          <w:pgMar w:left="320" w:top="1168" w:right="359" w:bottom="1440" w:gutter="0" w:footer="0" w:header="0"/>
          <w:type w:val="continuous"/>
        </w:sect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Calibri" w:cs="Calibri" w:eastAsia="Calibri" w:hAnsi="Calibri"/>
          <w:sz w:val="15"/>
          <w:szCs w:val="15"/>
          <w:color w:val="auto"/>
        </w:rPr>
        <w:t>/s/ Ernst &amp; Young LLP</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color w:val="auto"/>
        </w:rPr>
        <w:t>We have served as the Company’s auditor since 2016.</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color w:val="auto"/>
        </w:rPr>
        <w:t>Boston, Massachusets</w:t>
      </w:r>
    </w:p>
    <w:p>
      <w:pPr>
        <w:spacing w:after="0" w:line="1" w:lineRule="exact"/>
        <w:rPr>
          <w:sz w:val="20"/>
          <w:szCs w:val="20"/>
          <w:color w:val="auto"/>
        </w:rPr>
      </w:pPr>
    </w:p>
    <w:p>
      <w:pPr>
        <w:spacing w:after="0"/>
        <w:rPr>
          <w:sz w:val="20"/>
          <w:szCs w:val="20"/>
          <w:color w:val="auto"/>
        </w:rPr>
      </w:pPr>
      <w:r>
        <w:rPr>
          <w:rFonts w:ascii="Calibri" w:cs="Calibri" w:eastAsia="Calibri" w:hAnsi="Calibri"/>
          <w:sz w:val="15"/>
          <w:szCs w:val="15"/>
          <w:color w:val="auto"/>
        </w:rPr>
        <w:t>February 26, 2024</w:t>
      </w:r>
    </w:p>
    <w:p>
      <w:pPr>
        <w:spacing w:after="0" w:line="185" w:lineRule="exact"/>
        <w:rPr>
          <w:sz w:val="20"/>
          <w:szCs w:val="20"/>
          <w:color w:val="auto"/>
        </w:rPr>
      </w:pPr>
    </w:p>
    <w:p>
      <w:pPr>
        <w:jc w:val="center"/>
        <w:ind w:right="-19"/>
        <w:spacing w:after="0"/>
        <w:rPr>
          <w:sz w:val="20"/>
          <w:szCs w:val="20"/>
          <w:color w:val="auto"/>
        </w:rPr>
      </w:pPr>
      <w:r>
        <w:rPr>
          <w:rFonts w:ascii="Calibri" w:cs="Calibri" w:eastAsia="Calibri" w:hAnsi="Calibri"/>
          <w:sz w:val="15"/>
          <w:szCs w:val="15"/>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408940</wp:posOffset>
            </wp:positionV>
            <wp:extent cx="7178040" cy="400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20"/>
          </w:cols>
          <w:pgMar w:left="320" w:top="1168" w:right="359" w:bottom="1440" w:gutter="0" w:footer="0" w:header="0"/>
          <w:type w:val="continuous"/>
        </w:sectPr>
      </w:pPr>
    </w:p>
    <w:bookmarkStart w:id="81" w:name="page82"/>
    <w:bookmarkEnd w:id="81"/>
    <w:tbl>
      <w:tblPr>
        <w:tblLayout w:type="fixed"/>
        <w:tblInd w:w="0" w:type="dxa"/>
        <w:tblCellMar>
          <w:top w:w="0" w:type="dxa"/>
          <w:left w:w="0" w:type="dxa"/>
          <w:bottom w:w="0" w:type="dxa"/>
          <w:right w:w="0" w:type="dxa"/>
        </w:tblCellMar>
      </w:tblPr>
      <w:tr>
        <w:trPr>
          <w:trHeight w:val="171"/>
        </w:trPr>
        <w:tc>
          <w:tcPr>
            <w:tcW w:w="7660" w:type="dxa"/>
            <w:vAlign w:val="bottom"/>
          </w:tcPr>
          <w:p>
            <w:pPr>
              <w:jc w:val="center"/>
              <w:ind w:left="3511"/>
              <w:spacing w:after="0"/>
              <w:rPr>
                <w:sz w:val="20"/>
                <w:szCs w:val="20"/>
                <w:color w:val="auto"/>
              </w:rPr>
            </w:pPr>
            <w:r>
              <w:rPr>
                <w:rFonts w:ascii="Calibri" w:cs="Calibri" w:eastAsia="Calibri" w:hAnsi="Calibri"/>
                <w:sz w:val="14"/>
                <w:szCs w:val="14"/>
                <w:b w:val="1"/>
                <w:bCs w:val="1"/>
                <w:color w:val="auto"/>
                <w:w w:val="98"/>
              </w:rPr>
              <w:t>CarGurus, Inc.</w:t>
            </w: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57"/>
        </w:trPr>
        <w:tc>
          <w:tcPr>
            <w:tcW w:w="7660" w:type="dxa"/>
            <w:vAlign w:val="bottom"/>
          </w:tcPr>
          <w:p>
            <w:pPr>
              <w:jc w:val="center"/>
              <w:ind w:left="3511"/>
              <w:spacing w:after="0"/>
              <w:rPr>
                <w:sz w:val="20"/>
                <w:szCs w:val="20"/>
                <w:color w:val="auto"/>
              </w:rPr>
            </w:pPr>
            <w:r>
              <w:rPr>
                <w:rFonts w:ascii="Calibri" w:cs="Calibri" w:eastAsia="Calibri" w:hAnsi="Calibri"/>
                <w:sz w:val="14"/>
                <w:szCs w:val="14"/>
                <w:b w:val="1"/>
                <w:bCs w:val="1"/>
                <w:color w:val="auto"/>
                <w:w w:val="98"/>
              </w:rPr>
              <w:t>Consolidated Balance Sheets</w:t>
            </w: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7"/>
        </w:trPr>
        <w:tc>
          <w:tcPr>
            <w:tcW w:w="7660" w:type="dxa"/>
            <w:vAlign w:val="bottom"/>
          </w:tcPr>
          <w:p>
            <w:pPr>
              <w:jc w:val="center"/>
              <w:ind w:left="3511"/>
              <w:spacing w:after="0"/>
              <w:rPr>
                <w:sz w:val="20"/>
                <w:szCs w:val="20"/>
                <w:color w:val="auto"/>
              </w:rPr>
            </w:pPr>
            <w:r>
              <w:rPr>
                <w:rFonts w:ascii="Calibri" w:cs="Calibri" w:eastAsia="Calibri" w:hAnsi="Calibri"/>
                <w:sz w:val="14"/>
                <w:szCs w:val="14"/>
                <w:b w:val="1"/>
                <w:bCs w:val="1"/>
                <w:color w:val="auto"/>
                <w:w w:val="98"/>
              </w:rPr>
              <w:t>(in thousands, except share and per share data)</w:t>
            </w: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8"/>
        </w:trPr>
        <w:tc>
          <w:tcPr>
            <w:tcW w:w="7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80" w:type="dxa"/>
            <w:vAlign w:val="bottom"/>
            <w:gridSpan w:val="3"/>
          </w:tcPr>
          <w:p>
            <w:pPr>
              <w:jc w:val="right"/>
              <w:ind w:right="51"/>
              <w:spacing w:after="0"/>
              <w:rPr>
                <w:sz w:val="20"/>
                <w:szCs w:val="20"/>
                <w:color w:val="auto"/>
              </w:rPr>
            </w:pPr>
            <w:r>
              <w:rPr>
                <w:rFonts w:ascii="Calibri" w:cs="Calibri" w:eastAsia="Calibri" w:hAnsi="Calibri"/>
                <w:sz w:val="14"/>
                <w:szCs w:val="14"/>
                <w:b w:val="1"/>
                <w:bCs w:val="1"/>
                <w:color w:val="auto"/>
              </w:rPr>
              <w:t>As of December 31,</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
        </w:trPr>
        <w:tc>
          <w:tcPr>
            <w:tcW w:w="766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155"/>
        </w:trPr>
        <w:tc>
          <w:tcPr>
            <w:tcW w:w="7660" w:type="dxa"/>
            <w:vAlign w:val="bottom"/>
          </w:tcPr>
          <w:p>
            <w:pPr>
              <w:spacing w:after="0"/>
              <w:rPr>
                <w:sz w:val="13"/>
                <w:szCs w:val="13"/>
                <w:color w:val="auto"/>
              </w:rPr>
            </w:pPr>
          </w:p>
        </w:tc>
        <w:tc>
          <w:tcPr>
            <w:tcW w:w="1040" w:type="dxa"/>
            <w:vAlign w:val="bottom"/>
          </w:tcPr>
          <w:p>
            <w:pPr>
              <w:jc w:val="right"/>
              <w:ind w:right="31"/>
              <w:spacing w:after="0" w:line="155" w:lineRule="exact"/>
              <w:rPr>
                <w:sz w:val="20"/>
                <w:szCs w:val="20"/>
                <w:color w:val="auto"/>
              </w:rPr>
            </w:pPr>
            <w:r>
              <w:rPr>
                <w:rFonts w:ascii="Calibri" w:cs="Calibri" w:eastAsia="Calibri" w:hAnsi="Calibri"/>
                <w:sz w:val="14"/>
                <w:szCs w:val="14"/>
                <w:b w:val="1"/>
                <w:bCs w:val="1"/>
                <w:color w:val="auto"/>
              </w:rPr>
              <w:t>2023</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80" w:type="dxa"/>
            <w:vAlign w:val="bottom"/>
          </w:tcPr>
          <w:p>
            <w:pPr>
              <w:jc w:val="right"/>
              <w:ind w:right="591"/>
              <w:spacing w:after="0" w:line="155" w:lineRule="exact"/>
              <w:rPr>
                <w:sz w:val="20"/>
                <w:szCs w:val="20"/>
                <w:color w:val="auto"/>
              </w:rPr>
            </w:pPr>
            <w:r>
              <w:rPr>
                <w:rFonts w:ascii="Calibri" w:cs="Calibri" w:eastAsia="Calibri" w:hAnsi="Calibri"/>
                <w:sz w:val="14"/>
                <w:szCs w:val="14"/>
                <w:b w:val="1"/>
                <w:bCs w:val="1"/>
                <w:color w:val="auto"/>
              </w:rPr>
              <w:t>2022</w:t>
            </w:r>
          </w:p>
        </w:tc>
        <w:tc>
          <w:tcPr>
            <w:tcW w:w="100" w:type="dxa"/>
            <w:vAlign w:val="bottom"/>
          </w:tcPr>
          <w:p>
            <w:pPr>
              <w:spacing w:after="0"/>
              <w:rPr>
                <w:sz w:val="13"/>
                <w:szCs w:val="13"/>
                <w:color w:val="auto"/>
              </w:rPr>
            </w:pPr>
          </w:p>
        </w:tc>
      </w:tr>
      <w:tr>
        <w:trPr>
          <w:trHeight w:val="32"/>
        </w:trPr>
        <w:tc>
          <w:tcPr>
            <w:tcW w:w="76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67"/>
        </w:trPr>
        <w:tc>
          <w:tcPr>
            <w:tcW w:w="7660" w:type="dxa"/>
            <w:vAlign w:val="bottom"/>
            <w:tcBorders>
              <w:bottom w:val="single" w:sz="8" w:color="CFF0FC"/>
            </w:tcBorders>
            <w:shd w:val="clear" w:color="auto" w:fill="CFF0FC"/>
          </w:tcPr>
          <w:p>
            <w:pPr>
              <w:spacing w:after="0" w:line="155" w:lineRule="exact"/>
              <w:rPr>
                <w:sz w:val="20"/>
                <w:szCs w:val="20"/>
                <w:color w:val="auto"/>
              </w:rPr>
            </w:pPr>
            <w:r>
              <w:rPr>
                <w:rFonts w:ascii="Calibri" w:cs="Calibri" w:eastAsia="Calibri" w:hAnsi="Calibri"/>
                <w:sz w:val="14"/>
                <w:szCs w:val="14"/>
                <w:b w:val="1"/>
                <w:bCs w:val="1"/>
                <w:color w:val="auto"/>
              </w:rPr>
              <w:t>Assets</w:t>
            </w:r>
          </w:p>
        </w:tc>
        <w:tc>
          <w:tcPr>
            <w:tcW w:w="1040" w:type="dxa"/>
            <w:vAlign w:val="bottom"/>
            <w:tcBorders>
              <w:bottom w:val="single" w:sz="8" w:color="CFF0FC"/>
            </w:tcBorders>
            <w:shd w:val="clear" w:color="auto" w:fill="CFF0FC"/>
          </w:tcPr>
          <w:p>
            <w:pPr>
              <w:spacing w:after="0"/>
              <w:rPr>
                <w:sz w:val="14"/>
                <w:szCs w:val="14"/>
                <w:color w:val="auto"/>
              </w:rPr>
            </w:pPr>
          </w:p>
        </w:tc>
        <w:tc>
          <w:tcPr>
            <w:tcW w:w="56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CFF0FC"/>
            </w:tcBorders>
            <w:shd w:val="clear" w:color="auto" w:fill="CFF0FC"/>
          </w:tcPr>
          <w:p>
            <w:pPr>
              <w:spacing w:after="0"/>
              <w:rPr>
                <w:sz w:val="14"/>
                <w:szCs w:val="14"/>
                <w:color w:val="auto"/>
              </w:rPr>
            </w:pPr>
          </w:p>
        </w:tc>
        <w:tc>
          <w:tcPr>
            <w:tcW w:w="520" w:type="dxa"/>
            <w:vAlign w:val="bottom"/>
            <w:tcBorders>
              <w:bottom w:val="single" w:sz="8" w:color="CFF0FC"/>
            </w:tcBorders>
            <w:shd w:val="clear" w:color="auto" w:fill="CFF0FC"/>
          </w:tcPr>
          <w:p>
            <w:pPr>
              <w:spacing w:after="0"/>
              <w:rPr>
                <w:sz w:val="14"/>
                <w:szCs w:val="14"/>
                <w:color w:val="auto"/>
              </w:rPr>
            </w:pPr>
          </w:p>
        </w:tc>
        <w:tc>
          <w:tcPr>
            <w:tcW w:w="10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r>
      <w:tr>
        <w:trPr>
          <w:trHeight w:val="164"/>
        </w:trPr>
        <w:tc>
          <w:tcPr>
            <w:tcW w:w="7660" w:type="dxa"/>
            <w:vAlign w:val="bottom"/>
          </w:tcPr>
          <w:p>
            <w:pPr>
              <w:spacing w:after="0" w:line="164" w:lineRule="exact"/>
              <w:rPr>
                <w:sz w:val="20"/>
                <w:szCs w:val="20"/>
                <w:color w:val="auto"/>
              </w:rPr>
            </w:pPr>
            <w:r>
              <w:rPr>
                <w:rFonts w:ascii="Calibri" w:cs="Calibri" w:eastAsia="Calibri" w:hAnsi="Calibri"/>
                <w:sz w:val="14"/>
                <w:szCs w:val="14"/>
                <w:color w:val="auto"/>
              </w:rPr>
              <w:t>Current assets:</w:t>
            </w: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2"/>
        </w:trPr>
        <w:tc>
          <w:tcPr>
            <w:tcW w:w="7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76"/>
        </w:trPr>
        <w:tc>
          <w:tcPr>
            <w:tcW w:w="7660" w:type="dxa"/>
            <w:vAlign w:val="bottom"/>
            <w:tcBorders>
              <w:bottom w:val="single" w:sz="8" w:color="CFF0FC"/>
            </w:tcBorders>
            <w:shd w:val="clear" w:color="auto" w:fill="CFF0FC"/>
          </w:tcPr>
          <w:p>
            <w:pPr>
              <w:ind w:left="160"/>
              <w:spacing w:after="0" w:line="164" w:lineRule="exact"/>
              <w:rPr>
                <w:sz w:val="20"/>
                <w:szCs w:val="20"/>
                <w:color w:val="auto"/>
              </w:rPr>
            </w:pPr>
            <w:r>
              <w:rPr>
                <w:rFonts w:ascii="Calibri" w:cs="Calibri" w:eastAsia="Calibri" w:hAnsi="Calibri"/>
                <w:sz w:val="14"/>
                <w:szCs w:val="14"/>
                <w:color w:val="auto"/>
              </w:rPr>
              <w:t>Cash and cash equivalents</w:t>
            </w:r>
          </w:p>
        </w:tc>
        <w:tc>
          <w:tcPr>
            <w:tcW w:w="1040" w:type="dxa"/>
            <w:vAlign w:val="bottom"/>
            <w:tcBorders>
              <w:bottom w:val="single" w:sz="8" w:color="CFF0FC"/>
            </w:tcBorders>
            <w:shd w:val="clear" w:color="auto" w:fill="CFF0FC"/>
          </w:tcPr>
          <w:p>
            <w:pPr>
              <w:jc w:val="right"/>
              <w:ind w:right="891"/>
              <w:spacing w:after="0" w:line="164" w:lineRule="exact"/>
              <w:rPr>
                <w:sz w:val="20"/>
                <w:szCs w:val="20"/>
                <w:color w:val="auto"/>
              </w:rPr>
            </w:pPr>
            <w:r>
              <w:rPr>
                <w:rFonts w:ascii="Calibri" w:cs="Calibri" w:eastAsia="Calibri" w:hAnsi="Calibri"/>
                <w:sz w:val="14"/>
                <w:szCs w:val="14"/>
                <w:color w:val="auto"/>
                <w:w w:val="83"/>
              </w:rPr>
              <w:t>$</w:t>
            </w:r>
          </w:p>
        </w:tc>
        <w:tc>
          <w:tcPr>
            <w:tcW w:w="560" w:type="dxa"/>
            <w:vAlign w:val="bottom"/>
            <w:tcBorders>
              <w:bottom w:val="single" w:sz="8" w:color="CFF0FC"/>
            </w:tcBorders>
            <w:shd w:val="clear" w:color="auto" w:fill="CFF0FC"/>
          </w:tcPr>
          <w:p>
            <w:pPr>
              <w:jc w:val="right"/>
              <w:spacing w:after="0" w:line="164" w:lineRule="exact"/>
              <w:rPr>
                <w:sz w:val="20"/>
                <w:szCs w:val="20"/>
                <w:color w:val="auto"/>
              </w:rPr>
            </w:pPr>
            <w:r>
              <w:rPr>
                <w:rFonts w:ascii="Calibri" w:cs="Calibri" w:eastAsia="Calibri" w:hAnsi="Calibri"/>
                <w:sz w:val="14"/>
                <w:szCs w:val="14"/>
                <w:color w:val="auto"/>
              </w:rPr>
              <w:t>291,363</w:t>
            </w:r>
          </w:p>
        </w:tc>
        <w:tc>
          <w:tcPr>
            <w:tcW w:w="300" w:type="dxa"/>
            <w:vAlign w:val="bottom"/>
            <w:tcBorders>
              <w:bottom w:val="single" w:sz="8" w:color="CFF0FC"/>
            </w:tcBorders>
            <w:shd w:val="clear" w:color="auto" w:fill="CFF0FC"/>
          </w:tcPr>
          <w:p>
            <w:pPr>
              <w:spacing w:after="0"/>
              <w:rPr>
                <w:sz w:val="15"/>
                <w:szCs w:val="15"/>
                <w:color w:val="auto"/>
              </w:rPr>
            </w:pPr>
          </w:p>
        </w:tc>
        <w:tc>
          <w:tcPr>
            <w:tcW w:w="520" w:type="dxa"/>
            <w:vAlign w:val="bottom"/>
            <w:tcBorders>
              <w:bottom w:val="single" w:sz="8" w:color="CFF0FC"/>
            </w:tcBorders>
            <w:shd w:val="clear" w:color="auto" w:fill="CFF0FC"/>
          </w:tcPr>
          <w:p>
            <w:pPr>
              <w:jc w:val="right"/>
              <w:ind w:right="371"/>
              <w:spacing w:after="0" w:line="164" w:lineRule="exact"/>
              <w:rPr>
                <w:sz w:val="20"/>
                <w:szCs w:val="20"/>
                <w:color w:val="auto"/>
              </w:rPr>
            </w:pPr>
            <w:r>
              <w:rPr>
                <w:rFonts w:ascii="Calibri" w:cs="Calibri" w:eastAsia="Calibri" w:hAnsi="Calibri"/>
                <w:sz w:val="14"/>
                <w:szCs w:val="14"/>
                <w:color w:val="auto"/>
                <w:w w:val="83"/>
              </w:rPr>
              <w:t>$</w:t>
            </w:r>
          </w:p>
        </w:tc>
        <w:tc>
          <w:tcPr>
            <w:tcW w:w="1080" w:type="dxa"/>
            <w:vAlign w:val="bottom"/>
            <w:tcBorders>
              <w:bottom w:val="single" w:sz="8" w:color="CFF0FC"/>
            </w:tcBorders>
            <w:shd w:val="clear" w:color="auto" w:fill="CFF0FC"/>
          </w:tcPr>
          <w:p>
            <w:pPr>
              <w:jc w:val="right"/>
              <w:spacing w:after="0" w:line="164" w:lineRule="exact"/>
              <w:rPr>
                <w:sz w:val="20"/>
                <w:szCs w:val="20"/>
                <w:color w:val="auto"/>
              </w:rPr>
            </w:pPr>
            <w:r>
              <w:rPr>
                <w:rFonts w:ascii="Calibri" w:cs="Calibri" w:eastAsia="Calibri" w:hAnsi="Calibri"/>
                <w:sz w:val="14"/>
                <w:szCs w:val="14"/>
                <w:color w:val="auto"/>
              </w:rPr>
              <w:t>469,517</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4"/>
        </w:trPr>
        <w:tc>
          <w:tcPr>
            <w:tcW w:w="7660" w:type="dxa"/>
            <w:vAlign w:val="bottom"/>
          </w:tcPr>
          <w:p>
            <w:pPr>
              <w:ind w:left="160"/>
              <w:spacing w:after="0" w:line="164" w:lineRule="exact"/>
              <w:rPr>
                <w:sz w:val="20"/>
                <w:szCs w:val="20"/>
                <w:color w:val="auto"/>
              </w:rPr>
            </w:pPr>
            <w:r>
              <w:rPr>
                <w:rFonts w:ascii="Calibri" w:cs="Calibri" w:eastAsia="Calibri" w:hAnsi="Calibri"/>
                <w:sz w:val="14"/>
                <w:szCs w:val="14"/>
                <w:color w:val="auto"/>
              </w:rPr>
              <w:t>Short-term investments</w:t>
            </w:r>
          </w:p>
        </w:tc>
        <w:tc>
          <w:tcPr>
            <w:tcW w:w="1040" w:type="dxa"/>
            <w:vAlign w:val="bottom"/>
          </w:tcPr>
          <w:p>
            <w:pPr>
              <w:spacing w:after="0"/>
              <w:rPr>
                <w:sz w:val="14"/>
                <w:szCs w:val="14"/>
                <w:color w:val="auto"/>
              </w:rPr>
            </w:pPr>
          </w:p>
        </w:tc>
        <w:tc>
          <w:tcPr>
            <w:tcW w:w="560" w:type="dxa"/>
            <w:vAlign w:val="bottom"/>
          </w:tcPr>
          <w:p>
            <w:pPr>
              <w:jc w:val="right"/>
              <w:spacing w:after="0" w:line="164" w:lineRule="exact"/>
              <w:rPr>
                <w:sz w:val="20"/>
                <w:szCs w:val="20"/>
                <w:color w:val="auto"/>
              </w:rPr>
            </w:pPr>
            <w:r>
              <w:rPr>
                <w:rFonts w:ascii="Calibri" w:cs="Calibri" w:eastAsia="Calibri" w:hAnsi="Calibri"/>
                <w:sz w:val="14"/>
                <w:szCs w:val="14"/>
                <w:color w:val="auto"/>
              </w:rPr>
              <w:t>20,724</w:t>
            </w: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80" w:type="dxa"/>
            <w:vAlign w:val="bottom"/>
            <w:gridSpan w:val="2"/>
          </w:tcPr>
          <w:p>
            <w:pPr>
              <w:jc w:val="right"/>
              <w:ind w:right="120"/>
              <w:spacing w:after="0" w:line="164" w:lineRule="exact"/>
              <w:rPr>
                <w:sz w:val="20"/>
                <w:szCs w:val="20"/>
                <w:color w:val="auto"/>
              </w:rPr>
            </w:pPr>
            <w:r>
              <w:rPr>
                <w:rFonts w:ascii="Calibri" w:cs="Calibri" w:eastAsia="Calibri" w:hAnsi="Calibri"/>
                <w:sz w:val="14"/>
                <w:szCs w:val="14"/>
                <w:color w:val="auto"/>
              </w:rPr>
              <w:t>—</w:t>
            </w:r>
          </w:p>
        </w:tc>
      </w:tr>
      <w:tr>
        <w:trPr>
          <w:trHeight w:val="32"/>
        </w:trPr>
        <w:tc>
          <w:tcPr>
            <w:tcW w:w="7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64"/>
        </w:trPr>
        <w:tc>
          <w:tcPr>
            <w:tcW w:w="7660" w:type="dxa"/>
            <w:vAlign w:val="bottom"/>
            <w:shd w:val="clear" w:color="auto" w:fill="CFF0FC"/>
          </w:tcPr>
          <w:p>
            <w:pPr>
              <w:ind w:left="160"/>
              <w:spacing w:after="0" w:line="164" w:lineRule="exact"/>
              <w:rPr>
                <w:sz w:val="20"/>
                <w:szCs w:val="20"/>
                <w:color w:val="auto"/>
              </w:rPr>
            </w:pPr>
            <w:r>
              <w:rPr>
                <w:rFonts w:ascii="Calibri" w:cs="Calibri" w:eastAsia="Calibri" w:hAnsi="Calibri"/>
                <w:sz w:val="14"/>
                <w:szCs w:val="14"/>
                <w:color w:val="auto"/>
              </w:rPr>
              <w:t>Accounts receivable, net of allowance for doubtul accounts of $610 and</w:t>
            </w:r>
          </w:p>
        </w:tc>
        <w:tc>
          <w:tcPr>
            <w:tcW w:w="10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5"/>
        </w:trPr>
        <w:tc>
          <w:tcPr>
            <w:tcW w:w="7660" w:type="dxa"/>
            <w:vAlign w:val="bottom"/>
            <w:tcBorders>
              <w:bottom w:val="single" w:sz="8" w:color="CFF0FC"/>
            </w:tcBorders>
            <w:shd w:val="clear" w:color="auto" w:fill="CFF0FC"/>
          </w:tcPr>
          <w:p>
            <w:pPr>
              <w:ind w:left="260"/>
              <w:spacing w:after="0" w:line="170" w:lineRule="exact"/>
              <w:rPr>
                <w:sz w:val="20"/>
                <w:szCs w:val="20"/>
                <w:color w:val="auto"/>
              </w:rPr>
            </w:pPr>
            <w:r>
              <w:rPr>
                <w:rFonts w:ascii="Calibri" w:cs="Calibri" w:eastAsia="Calibri" w:hAnsi="Calibri"/>
                <w:sz w:val="14"/>
                <w:szCs w:val="14"/>
                <w:color w:val="auto"/>
              </w:rPr>
              <w:t>$1,809, respectvely</w:t>
            </w:r>
          </w:p>
        </w:tc>
        <w:tc>
          <w:tcPr>
            <w:tcW w:w="1040" w:type="dxa"/>
            <w:vAlign w:val="bottom"/>
            <w:tcBorders>
              <w:bottom w:val="single" w:sz="8" w:color="CFF0FC"/>
            </w:tcBorders>
            <w:shd w:val="clear" w:color="auto" w:fill="CFF0FC"/>
          </w:tcPr>
          <w:p>
            <w:pPr>
              <w:spacing w:after="0"/>
              <w:rPr>
                <w:sz w:val="16"/>
                <w:szCs w:val="16"/>
                <w:color w:val="auto"/>
              </w:rPr>
            </w:pPr>
          </w:p>
        </w:tc>
        <w:tc>
          <w:tcPr>
            <w:tcW w:w="560" w:type="dxa"/>
            <w:vAlign w:val="bottom"/>
            <w:tcBorders>
              <w:bottom w:val="single" w:sz="8" w:color="CFF0FC"/>
            </w:tcBorders>
            <w:shd w:val="clear" w:color="auto" w:fill="CFF0FC"/>
          </w:tcPr>
          <w:p>
            <w:pPr>
              <w:jc w:val="right"/>
              <w:spacing w:after="0" w:line="170" w:lineRule="exact"/>
              <w:rPr>
                <w:sz w:val="20"/>
                <w:szCs w:val="20"/>
                <w:color w:val="auto"/>
              </w:rPr>
            </w:pPr>
            <w:r>
              <w:rPr>
                <w:rFonts w:ascii="Calibri" w:cs="Calibri" w:eastAsia="Calibri" w:hAnsi="Calibri"/>
                <w:sz w:val="14"/>
                <w:szCs w:val="14"/>
                <w:color w:val="auto"/>
              </w:rPr>
              <w:t>39,963</w:t>
            </w:r>
          </w:p>
        </w:tc>
        <w:tc>
          <w:tcPr>
            <w:tcW w:w="300" w:type="dxa"/>
            <w:vAlign w:val="bottom"/>
            <w:tcBorders>
              <w:bottom w:val="single" w:sz="8" w:color="CFF0FC"/>
            </w:tcBorders>
            <w:shd w:val="clear" w:color="auto" w:fill="CFF0FC"/>
          </w:tcPr>
          <w:p>
            <w:pPr>
              <w:spacing w:after="0"/>
              <w:rPr>
                <w:sz w:val="16"/>
                <w:szCs w:val="16"/>
                <w:color w:val="auto"/>
              </w:rPr>
            </w:pPr>
          </w:p>
        </w:tc>
        <w:tc>
          <w:tcPr>
            <w:tcW w:w="520" w:type="dxa"/>
            <w:vAlign w:val="bottom"/>
            <w:tcBorders>
              <w:bottom w:val="single" w:sz="8" w:color="CFF0FC"/>
            </w:tcBorders>
            <w:shd w:val="clear" w:color="auto" w:fill="CFF0FC"/>
          </w:tcPr>
          <w:p>
            <w:pPr>
              <w:spacing w:after="0"/>
              <w:rPr>
                <w:sz w:val="16"/>
                <w:szCs w:val="16"/>
                <w:color w:val="auto"/>
              </w:rPr>
            </w:pPr>
          </w:p>
        </w:tc>
        <w:tc>
          <w:tcPr>
            <w:tcW w:w="1080" w:type="dxa"/>
            <w:vAlign w:val="bottom"/>
            <w:tcBorders>
              <w:bottom w:val="single" w:sz="8" w:color="CFF0FC"/>
            </w:tcBorders>
            <w:shd w:val="clear" w:color="auto" w:fill="CFF0FC"/>
          </w:tcPr>
          <w:p>
            <w:pPr>
              <w:jc w:val="right"/>
              <w:spacing w:after="0" w:line="170" w:lineRule="exact"/>
              <w:rPr>
                <w:sz w:val="20"/>
                <w:szCs w:val="20"/>
                <w:color w:val="auto"/>
              </w:rPr>
            </w:pPr>
            <w:r>
              <w:rPr>
                <w:rFonts w:ascii="Calibri" w:cs="Calibri" w:eastAsia="Calibri" w:hAnsi="Calibri"/>
                <w:sz w:val="14"/>
                <w:szCs w:val="14"/>
                <w:color w:val="auto"/>
              </w:rPr>
              <w:t>46,817</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64"/>
        </w:trPr>
        <w:tc>
          <w:tcPr>
            <w:tcW w:w="7660" w:type="dxa"/>
            <w:vAlign w:val="bottom"/>
          </w:tcPr>
          <w:p>
            <w:pPr>
              <w:ind w:left="160"/>
              <w:spacing w:after="0" w:line="164" w:lineRule="exact"/>
              <w:rPr>
                <w:sz w:val="20"/>
                <w:szCs w:val="20"/>
                <w:color w:val="auto"/>
              </w:rPr>
            </w:pPr>
            <w:r>
              <w:rPr>
                <w:rFonts w:ascii="Calibri" w:cs="Calibri" w:eastAsia="Calibri" w:hAnsi="Calibri"/>
                <w:sz w:val="14"/>
                <w:szCs w:val="14"/>
                <w:color w:val="auto"/>
              </w:rPr>
              <w:t>Inventory</w:t>
            </w:r>
          </w:p>
        </w:tc>
        <w:tc>
          <w:tcPr>
            <w:tcW w:w="1040" w:type="dxa"/>
            <w:vAlign w:val="bottom"/>
          </w:tcPr>
          <w:p>
            <w:pPr>
              <w:spacing w:after="0"/>
              <w:rPr>
                <w:sz w:val="14"/>
                <w:szCs w:val="14"/>
                <w:color w:val="auto"/>
              </w:rPr>
            </w:pPr>
          </w:p>
        </w:tc>
        <w:tc>
          <w:tcPr>
            <w:tcW w:w="560" w:type="dxa"/>
            <w:vAlign w:val="bottom"/>
          </w:tcPr>
          <w:p>
            <w:pPr>
              <w:jc w:val="right"/>
              <w:spacing w:after="0" w:line="164" w:lineRule="exact"/>
              <w:rPr>
                <w:sz w:val="20"/>
                <w:szCs w:val="20"/>
                <w:color w:val="auto"/>
              </w:rPr>
            </w:pPr>
            <w:r>
              <w:rPr>
                <w:rFonts w:ascii="Calibri" w:cs="Calibri" w:eastAsia="Calibri" w:hAnsi="Calibri"/>
                <w:sz w:val="14"/>
                <w:szCs w:val="14"/>
                <w:color w:val="auto"/>
              </w:rPr>
              <w:t>331</w:t>
            </w: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jc w:val="right"/>
              <w:spacing w:after="0" w:line="164" w:lineRule="exact"/>
              <w:rPr>
                <w:sz w:val="20"/>
                <w:szCs w:val="20"/>
                <w:color w:val="auto"/>
              </w:rPr>
            </w:pPr>
            <w:r>
              <w:rPr>
                <w:rFonts w:ascii="Calibri" w:cs="Calibri" w:eastAsia="Calibri" w:hAnsi="Calibri"/>
                <w:sz w:val="14"/>
                <w:szCs w:val="14"/>
                <w:color w:val="auto"/>
              </w:rPr>
              <w:t>5,282</w:t>
            </w:r>
          </w:p>
        </w:tc>
        <w:tc>
          <w:tcPr>
            <w:tcW w:w="100" w:type="dxa"/>
            <w:vAlign w:val="bottom"/>
          </w:tcPr>
          <w:p>
            <w:pPr>
              <w:spacing w:after="0"/>
              <w:rPr>
                <w:sz w:val="14"/>
                <w:szCs w:val="14"/>
                <w:color w:val="auto"/>
              </w:rPr>
            </w:pPr>
          </w:p>
        </w:tc>
      </w:tr>
      <w:tr>
        <w:trPr>
          <w:trHeight w:val="32"/>
        </w:trPr>
        <w:tc>
          <w:tcPr>
            <w:tcW w:w="7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76"/>
        </w:trPr>
        <w:tc>
          <w:tcPr>
            <w:tcW w:w="7660" w:type="dxa"/>
            <w:vAlign w:val="bottom"/>
            <w:tcBorders>
              <w:bottom w:val="single" w:sz="8" w:color="CFF0FC"/>
            </w:tcBorders>
            <w:shd w:val="clear" w:color="auto" w:fill="CFF0FC"/>
          </w:tcPr>
          <w:p>
            <w:pPr>
              <w:ind w:left="160"/>
              <w:spacing w:after="0" w:line="164" w:lineRule="exact"/>
              <w:rPr>
                <w:sz w:val="20"/>
                <w:szCs w:val="20"/>
                <w:color w:val="auto"/>
              </w:rPr>
            </w:pPr>
            <w:r>
              <w:rPr>
                <w:rFonts w:ascii="Calibri" w:cs="Calibri" w:eastAsia="Calibri" w:hAnsi="Calibri"/>
                <w:sz w:val="14"/>
                <w:szCs w:val="14"/>
                <w:color w:val="auto"/>
              </w:rPr>
              <w:t>Prepaid expenses, prepaid income taxes and other current assets</w:t>
            </w:r>
          </w:p>
        </w:tc>
        <w:tc>
          <w:tcPr>
            <w:tcW w:w="104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CFF0FC"/>
            </w:tcBorders>
            <w:shd w:val="clear" w:color="auto" w:fill="CFF0FC"/>
          </w:tcPr>
          <w:p>
            <w:pPr>
              <w:jc w:val="right"/>
              <w:spacing w:after="0" w:line="164" w:lineRule="exact"/>
              <w:rPr>
                <w:sz w:val="20"/>
                <w:szCs w:val="20"/>
                <w:color w:val="auto"/>
              </w:rPr>
            </w:pPr>
            <w:r>
              <w:rPr>
                <w:rFonts w:ascii="Calibri" w:cs="Calibri" w:eastAsia="Calibri" w:hAnsi="Calibri"/>
                <w:sz w:val="14"/>
                <w:szCs w:val="14"/>
                <w:color w:val="auto"/>
              </w:rPr>
              <w:t>25,152</w:t>
            </w:r>
          </w:p>
        </w:tc>
        <w:tc>
          <w:tcPr>
            <w:tcW w:w="300" w:type="dxa"/>
            <w:vAlign w:val="bottom"/>
            <w:tcBorders>
              <w:bottom w:val="single" w:sz="8" w:color="CFF0FC"/>
            </w:tcBorders>
            <w:shd w:val="clear" w:color="auto" w:fill="CFF0FC"/>
          </w:tcPr>
          <w:p>
            <w:pPr>
              <w:spacing w:after="0"/>
              <w:rPr>
                <w:sz w:val="15"/>
                <w:szCs w:val="15"/>
                <w:color w:val="auto"/>
              </w:rPr>
            </w:pPr>
          </w:p>
        </w:tc>
        <w:tc>
          <w:tcPr>
            <w:tcW w:w="520" w:type="dxa"/>
            <w:vAlign w:val="bottom"/>
            <w:tcBorders>
              <w:bottom w:val="single" w:sz="8" w:color="CFF0FC"/>
            </w:tcBorders>
            <w:shd w:val="clear" w:color="auto" w:fill="CFF0FC"/>
          </w:tcPr>
          <w:p>
            <w:pPr>
              <w:spacing w:after="0"/>
              <w:rPr>
                <w:sz w:val="15"/>
                <w:szCs w:val="15"/>
                <w:color w:val="auto"/>
              </w:rPr>
            </w:pPr>
          </w:p>
        </w:tc>
        <w:tc>
          <w:tcPr>
            <w:tcW w:w="1080" w:type="dxa"/>
            <w:vAlign w:val="bottom"/>
            <w:tcBorders>
              <w:bottom w:val="single" w:sz="8" w:color="CFF0FC"/>
            </w:tcBorders>
            <w:shd w:val="clear" w:color="auto" w:fill="CFF0FC"/>
          </w:tcPr>
          <w:p>
            <w:pPr>
              <w:jc w:val="right"/>
              <w:spacing w:after="0" w:line="164" w:lineRule="exact"/>
              <w:rPr>
                <w:sz w:val="20"/>
                <w:szCs w:val="20"/>
                <w:color w:val="auto"/>
              </w:rPr>
            </w:pPr>
            <w:r>
              <w:rPr>
                <w:rFonts w:ascii="Calibri" w:cs="Calibri" w:eastAsia="Calibri" w:hAnsi="Calibri"/>
                <w:sz w:val="14"/>
                <w:szCs w:val="14"/>
                <w:color w:val="auto"/>
              </w:rPr>
              <w:t>21,972</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4"/>
        </w:trPr>
        <w:tc>
          <w:tcPr>
            <w:tcW w:w="7660" w:type="dxa"/>
            <w:vAlign w:val="bottom"/>
          </w:tcPr>
          <w:p>
            <w:pPr>
              <w:ind w:left="160"/>
              <w:spacing w:after="0" w:line="164" w:lineRule="exact"/>
              <w:rPr>
                <w:sz w:val="20"/>
                <w:szCs w:val="20"/>
                <w:color w:val="auto"/>
              </w:rPr>
            </w:pPr>
            <w:r>
              <w:rPr>
                <w:rFonts w:ascii="Calibri" w:cs="Calibri" w:eastAsia="Calibri" w:hAnsi="Calibri"/>
                <w:sz w:val="14"/>
                <w:szCs w:val="14"/>
                <w:color w:val="auto"/>
              </w:rPr>
              <w:t>Deferred contract costs</w:t>
            </w:r>
          </w:p>
        </w:tc>
        <w:tc>
          <w:tcPr>
            <w:tcW w:w="1040" w:type="dxa"/>
            <w:vAlign w:val="bottom"/>
          </w:tcPr>
          <w:p>
            <w:pPr>
              <w:spacing w:after="0"/>
              <w:rPr>
                <w:sz w:val="14"/>
                <w:szCs w:val="14"/>
                <w:color w:val="auto"/>
              </w:rPr>
            </w:pPr>
          </w:p>
        </w:tc>
        <w:tc>
          <w:tcPr>
            <w:tcW w:w="560" w:type="dxa"/>
            <w:vAlign w:val="bottom"/>
          </w:tcPr>
          <w:p>
            <w:pPr>
              <w:jc w:val="right"/>
              <w:spacing w:after="0" w:line="164" w:lineRule="exact"/>
              <w:rPr>
                <w:sz w:val="20"/>
                <w:szCs w:val="20"/>
                <w:color w:val="auto"/>
              </w:rPr>
            </w:pPr>
            <w:r>
              <w:rPr>
                <w:rFonts w:ascii="Calibri" w:cs="Calibri" w:eastAsia="Calibri" w:hAnsi="Calibri"/>
                <w:sz w:val="14"/>
                <w:szCs w:val="14"/>
                <w:color w:val="auto"/>
              </w:rPr>
              <w:t>11,095</w:t>
            </w: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jc w:val="right"/>
              <w:spacing w:after="0" w:line="164" w:lineRule="exact"/>
              <w:rPr>
                <w:sz w:val="20"/>
                <w:szCs w:val="20"/>
                <w:color w:val="auto"/>
              </w:rPr>
            </w:pPr>
            <w:r>
              <w:rPr>
                <w:rFonts w:ascii="Calibri" w:cs="Calibri" w:eastAsia="Calibri" w:hAnsi="Calibri"/>
                <w:sz w:val="14"/>
                <w:szCs w:val="14"/>
                <w:color w:val="auto"/>
              </w:rPr>
              <w:t>8,541</w:t>
            </w:r>
          </w:p>
        </w:tc>
        <w:tc>
          <w:tcPr>
            <w:tcW w:w="100" w:type="dxa"/>
            <w:vAlign w:val="bottom"/>
          </w:tcPr>
          <w:p>
            <w:pPr>
              <w:spacing w:after="0"/>
              <w:rPr>
                <w:sz w:val="14"/>
                <w:szCs w:val="14"/>
                <w:color w:val="auto"/>
              </w:rPr>
            </w:pPr>
          </w:p>
        </w:tc>
      </w:tr>
      <w:tr>
        <w:trPr>
          <w:trHeight w:val="32"/>
        </w:trPr>
        <w:tc>
          <w:tcPr>
            <w:tcW w:w="7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01"/>
        </w:trPr>
        <w:tc>
          <w:tcPr>
            <w:tcW w:w="7660" w:type="dxa"/>
            <w:vAlign w:val="bottom"/>
            <w:tcBorders>
              <w:bottom w:val="single" w:sz="8" w:color="CFF0FC"/>
            </w:tcBorders>
            <w:shd w:val="clear" w:color="auto" w:fill="CFF0FC"/>
          </w:tcPr>
          <w:p>
            <w:pPr>
              <w:ind w:left="160"/>
              <w:spacing w:after="0" w:line="164" w:lineRule="exact"/>
              <w:rPr>
                <w:sz w:val="20"/>
                <w:szCs w:val="20"/>
                <w:color w:val="auto"/>
              </w:rPr>
            </w:pPr>
            <w:r>
              <w:rPr>
                <w:rFonts w:ascii="Calibri" w:cs="Calibri" w:eastAsia="Calibri" w:hAnsi="Calibri"/>
                <w:sz w:val="14"/>
                <w:szCs w:val="14"/>
                <w:color w:val="auto"/>
              </w:rPr>
              <w:t>Restricted cash</w:t>
            </w:r>
          </w:p>
        </w:tc>
        <w:tc>
          <w:tcPr>
            <w:tcW w:w="104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CFF0FC"/>
            </w:tcBorders>
            <w:shd w:val="clear" w:color="auto" w:fill="CFF0FC"/>
          </w:tcPr>
          <w:p>
            <w:pPr>
              <w:jc w:val="right"/>
              <w:spacing w:after="0" w:line="164" w:lineRule="exact"/>
              <w:rPr>
                <w:sz w:val="20"/>
                <w:szCs w:val="20"/>
                <w:color w:val="auto"/>
              </w:rPr>
            </w:pPr>
            <w:r>
              <w:rPr>
                <w:rFonts w:ascii="Calibri" w:cs="Calibri" w:eastAsia="Calibri" w:hAnsi="Calibri"/>
                <w:sz w:val="14"/>
                <w:szCs w:val="14"/>
                <w:color w:val="auto"/>
              </w:rPr>
              <w:t>2,563</w:t>
            </w:r>
          </w:p>
        </w:tc>
        <w:tc>
          <w:tcPr>
            <w:tcW w:w="30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CFF0FC"/>
            </w:tcBorders>
            <w:shd w:val="clear" w:color="auto" w:fill="CFF0FC"/>
          </w:tcPr>
          <w:p>
            <w:pPr>
              <w:jc w:val="right"/>
              <w:spacing w:after="0" w:line="164" w:lineRule="exact"/>
              <w:rPr>
                <w:sz w:val="20"/>
                <w:szCs w:val="20"/>
                <w:color w:val="auto"/>
              </w:rPr>
            </w:pPr>
            <w:r>
              <w:rPr>
                <w:rFonts w:ascii="Calibri" w:cs="Calibri" w:eastAsia="Calibri" w:hAnsi="Calibri"/>
                <w:sz w:val="14"/>
                <w:szCs w:val="14"/>
                <w:color w:val="auto"/>
              </w:rPr>
              <w:t>5,237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55"/>
        </w:trPr>
        <w:tc>
          <w:tcPr>
            <w:tcW w:w="7660" w:type="dxa"/>
            <w:vAlign w:val="bottom"/>
            <w:tcBorders>
              <w:top w:val="single" w:sz="8" w:color="CFF0FC"/>
            </w:tcBorders>
          </w:tcPr>
          <w:p>
            <w:pPr>
              <w:spacing w:after="0" w:line="155" w:lineRule="exact"/>
              <w:rPr>
                <w:sz w:val="20"/>
                <w:szCs w:val="20"/>
                <w:color w:val="auto"/>
              </w:rPr>
            </w:pPr>
            <w:r>
              <w:rPr>
                <w:rFonts w:ascii="Calibri" w:cs="Calibri" w:eastAsia="Calibri" w:hAnsi="Calibri"/>
                <w:sz w:val="14"/>
                <w:szCs w:val="14"/>
                <w:color w:val="auto"/>
              </w:rPr>
              <w:t>Total current assets</w:t>
            </w:r>
          </w:p>
        </w:tc>
        <w:tc>
          <w:tcPr>
            <w:tcW w:w="10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Calibri" w:cs="Calibri" w:eastAsia="Calibri" w:hAnsi="Calibri"/>
                <w:sz w:val="14"/>
                <w:szCs w:val="14"/>
                <w:color w:val="auto"/>
              </w:rPr>
              <w:t>391,191</w:t>
            </w:r>
          </w:p>
        </w:tc>
        <w:tc>
          <w:tcPr>
            <w:tcW w:w="300" w:type="dxa"/>
            <w:vAlign w:val="bottom"/>
            <w:tcBorders>
              <w:top w:val="single" w:sz="8" w:color="CFF0FC"/>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spacing w:after="0" w:line="155" w:lineRule="exact"/>
              <w:rPr>
                <w:sz w:val="20"/>
                <w:szCs w:val="20"/>
                <w:color w:val="auto"/>
              </w:rPr>
            </w:pPr>
            <w:r>
              <w:rPr>
                <w:rFonts w:ascii="Calibri" w:cs="Calibri" w:eastAsia="Calibri" w:hAnsi="Calibri"/>
                <w:sz w:val="14"/>
                <w:szCs w:val="14"/>
                <w:color w:val="auto"/>
              </w:rPr>
              <w:t>557,366</w:t>
            </w:r>
          </w:p>
        </w:tc>
        <w:tc>
          <w:tcPr>
            <w:tcW w:w="100" w:type="dxa"/>
            <w:vAlign w:val="bottom"/>
            <w:tcBorders>
              <w:top w:val="single" w:sz="8" w:color="CFF0FC"/>
            </w:tcBorders>
          </w:tcPr>
          <w:p>
            <w:pPr>
              <w:spacing w:after="0"/>
              <w:rPr>
                <w:sz w:val="13"/>
                <w:szCs w:val="13"/>
                <w:color w:val="auto"/>
              </w:rPr>
            </w:pPr>
          </w:p>
        </w:tc>
      </w:tr>
      <w:tr>
        <w:trPr>
          <w:trHeight w:val="32"/>
        </w:trPr>
        <w:tc>
          <w:tcPr>
            <w:tcW w:w="7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76"/>
        </w:trPr>
        <w:tc>
          <w:tcPr>
            <w:tcW w:w="7660" w:type="dxa"/>
            <w:vAlign w:val="bottom"/>
            <w:tcBorders>
              <w:bottom w:val="single" w:sz="8" w:color="CFF0FC"/>
            </w:tcBorders>
            <w:shd w:val="clear" w:color="auto" w:fill="CFF0FC"/>
          </w:tcPr>
          <w:p>
            <w:pPr>
              <w:spacing w:after="0" w:line="164" w:lineRule="exact"/>
              <w:rPr>
                <w:sz w:val="20"/>
                <w:szCs w:val="20"/>
                <w:color w:val="auto"/>
              </w:rPr>
            </w:pPr>
            <w:r>
              <w:rPr>
                <w:rFonts w:ascii="Calibri" w:cs="Calibri" w:eastAsia="Calibri" w:hAnsi="Calibri"/>
                <w:sz w:val="14"/>
                <w:szCs w:val="14"/>
                <w:color w:val="auto"/>
              </w:rPr>
              <w:t>Property and equipment, net</w:t>
            </w:r>
          </w:p>
        </w:tc>
        <w:tc>
          <w:tcPr>
            <w:tcW w:w="104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CFF0FC"/>
            </w:tcBorders>
            <w:shd w:val="clear" w:color="auto" w:fill="CFF0FC"/>
          </w:tcPr>
          <w:p>
            <w:pPr>
              <w:jc w:val="right"/>
              <w:spacing w:after="0" w:line="164" w:lineRule="exact"/>
              <w:rPr>
                <w:sz w:val="20"/>
                <w:szCs w:val="20"/>
                <w:color w:val="auto"/>
              </w:rPr>
            </w:pPr>
            <w:r>
              <w:rPr>
                <w:rFonts w:ascii="Calibri" w:cs="Calibri" w:eastAsia="Calibri" w:hAnsi="Calibri"/>
                <w:sz w:val="14"/>
                <w:szCs w:val="14"/>
                <w:color w:val="auto"/>
              </w:rPr>
              <w:t>83,370</w:t>
            </w:r>
          </w:p>
        </w:tc>
        <w:tc>
          <w:tcPr>
            <w:tcW w:w="300" w:type="dxa"/>
            <w:vAlign w:val="bottom"/>
            <w:tcBorders>
              <w:bottom w:val="single" w:sz="8" w:color="CFF0FC"/>
            </w:tcBorders>
            <w:shd w:val="clear" w:color="auto" w:fill="CFF0FC"/>
          </w:tcPr>
          <w:p>
            <w:pPr>
              <w:spacing w:after="0"/>
              <w:rPr>
                <w:sz w:val="15"/>
                <w:szCs w:val="15"/>
                <w:color w:val="auto"/>
              </w:rPr>
            </w:pPr>
          </w:p>
        </w:tc>
        <w:tc>
          <w:tcPr>
            <w:tcW w:w="520" w:type="dxa"/>
            <w:vAlign w:val="bottom"/>
            <w:tcBorders>
              <w:bottom w:val="single" w:sz="8" w:color="CFF0FC"/>
            </w:tcBorders>
            <w:shd w:val="clear" w:color="auto" w:fill="CFF0FC"/>
          </w:tcPr>
          <w:p>
            <w:pPr>
              <w:spacing w:after="0"/>
              <w:rPr>
                <w:sz w:val="15"/>
                <w:szCs w:val="15"/>
                <w:color w:val="auto"/>
              </w:rPr>
            </w:pPr>
          </w:p>
        </w:tc>
        <w:tc>
          <w:tcPr>
            <w:tcW w:w="1080" w:type="dxa"/>
            <w:vAlign w:val="bottom"/>
            <w:tcBorders>
              <w:bottom w:val="single" w:sz="8" w:color="CFF0FC"/>
            </w:tcBorders>
            <w:shd w:val="clear" w:color="auto" w:fill="CFF0FC"/>
          </w:tcPr>
          <w:p>
            <w:pPr>
              <w:jc w:val="right"/>
              <w:spacing w:after="0" w:line="164" w:lineRule="exact"/>
              <w:rPr>
                <w:sz w:val="20"/>
                <w:szCs w:val="20"/>
                <w:color w:val="auto"/>
              </w:rPr>
            </w:pPr>
            <w:r>
              <w:rPr>
                <w:rFonts w:ascii="Calibri" w:cs="Calibri" w:eastAsia="Calibri" w:hAnsi="Calibri"/>
                <w:sz w:val="14"/>
                <w:szCs w:val="14"/>
                <w:color w:val="auto"/>
              </w:rPr>
              <w:t>40,128</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4"/>
        </w:trPr>
        <w:tc>
          <w:tcPr>
            <w:tcW w:w="7660" w:type="dxa"/>
            <w:vAlign w:val="bottom"/>
          </w:tcPr>
          <w:p>
            <w:pPr>
              <w:spacing w:after="0" w:line="164" w:lineRule="exact"/>
              <w:rPr>
                <w:sz w:val="20"/>
                <w:szCs w:val="20"/>
                <w:color w:val="auto"/>
              </w:rPr>
            </w:pPr>
            <w:r>
              <w:rPr>
                <w:rFonts w:ascii="Calibri" w:cs="Calibri" w:eastAsia="Calibri" w:hAnsi="Calibri"/>
                <w:sz w:val="14"/>
                <w:szCs w:val="14"/>
                <w:color w:val="auto"/>
              </w:rPr>
              <w:t>Intangible assets, net</w:t>
            </w:r>
          </w:p>
        </w:tc>
        <w:tc>
          <w:tcPr>
            <w:tcW w:w="1040" w:type="dxa"/>
            <w:vAlign w:val="bottom"/>
          </w:tcPr>
          <w:p>
            <w:pPr>
              <w:spacing w:after="0"/>
              <w:rPr>
                <w:sz w:val="14"/>
                <w:szCs w:val="14"/>
                <w:color w:val="auto"/>
              </w:rPr>
            </w:pPr>
          </w:p>
        </w:tc>
        <w:tc>
          <w:tcPr>
            <w:tcW w:w="560" w:type="dxa"/>
            <w:vAlign w:val="bottom"/>
          </w:tcPr>
          <w:p>
            <w:pPr>
              <w:jc w:val="right"/>
              <w:spacing w:after="0" w:line="164" w:lineRule="exact"/>
              <w:rPr>
                <w:sz w:val="20"/>
                <w:szCs w:val="20"/>
                <w:color w:val="auto"/>
              </w:rPr>
            </w:pPr>
            <w:r>
              <w:rPr>
                <w:rFonts w:ascii="Calibri" w:cs="Calibri" w:eastAsia="Calibri" w:hAnsi="Calibri"/>
                <w:sz w:val="14"/>
                <w:szCs w:val="14"/>
                <w:color w:val="auto"/>
              </w:rPr>
              <w:t>23,056</w:t>
            </w: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jc w:val="right"/>
              <w:spacing w:after="0" w:line="164" w:lineRule="exact"/>
              <w:rPr>
                <w:sz w:val="20"/>
                <w:szCs w:val="20"/>
                <w:color w:val="auto"/>
              </w:rPr>
            </w:pPr>
            <w:r>
              <w:rPr>
                <w:rFonts w:ascii="Calibri" w:cs="Calibri" w:eastAsia="Calibri" w:hAnsi="Calibri"/>
                <w:sz w:val="14"/>
                <w:szCs w:val="14"/>
                <w:color w:val="auto"/>
              </w:rPr>
              <w:t>53,054</w:t>
            </w:r>
          </w:p>
        </w:tc>
        <w:tc>
          <w:tcPr>
            <w:tcW w:w="100" w:type="dxa"/>
            <w:vAlign w:val="bottom"/>
          </w:tcPr>
          <w:p>
            <w:pPr>
              <w:spacing w:after="0"/>
              <w:rPr>
                <w:sz w:val="14"/>
                <w:szCs w:val="14"/>
                <w:color w:val="auto"/>
              </w:rPr>
            </w:pPr>
          </w:p>
        </w:tc>
      </w:tr>
      <w:tr>
        <w:trPr>
          <w:trHeight w:val="32"/>
        </w:trPr>
        <w:tc>
          <w:tcPr>
            <w:tcW w:w="7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76"/>
        </w:trPr>
        <w:tc>
          <w:tcPr>
            <w:tcW w:w="7660" w:type="dxa"/>
            <w:vAlign w:val="bottom"/>
            <w:tcBorders>
              <w:bottom w:val="single" w:sz="8" w:color="CFF0FC"/>
            </w:tcBorders>
            <w:shd w:val="clear" w:color="auto" w:fill="CFF0FC"/>
          </w:tcPr>
          <w:p>
            <w:pPr>
              <w:spacing w:after="0" w:line="164" w:lineRule="exact"/>
              <w:rPr>
                <w:sz w:val="20"/>
                <w:szCs w:val="20"/>
                <w:color w:val="auto"/>
              </w:rPr>
            </w:pPr>
            <w:r>
              <w:rPr>
                <w:rFonts w:ascii="Calibri" w:cs="Calibri" w:eastAsia="Calibri" w:hAnsi="Calibri"/>
                <w:sz w:val="14"/>
                <w:szCs w:val="14"/>
                <w:color w:val="auto"/>
              </w:rPr>
              <w:t>Goodwill</w:t>
            </w:r>
          </w:p>
        </w:tc>
        <w:tc>
          <w:tcPr>
            <w:tcW w:w="104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CFF0FC"/>
            </w:tcBorders>
            <w:shd w:val="clear" w:color="auto" w:fill="CFF0FC"/>
          </w:tcPr>
          <w:p>
            <w:pPr>
              <w:jc w:val="right"/>
              <w:spacing w:after="0" w:line="164" w:lineRule="exact"/>
              <w:rPr>
                <w:sz w:val="20"/>
                <w:szCs w:val="20"/>
                <w:color w:val="auto"/>
              </w:rPr>
            </w:pPr>
            <w:r>
              <w:rPr>
                <w:rFonts w:ascii="Calibri" w:cs="Calibri" w:eastAsia="Calibri" w:hAnsi="Calibri"/>
                <w:sz w:val="14"/>
                <w:szCs w:val="14"/>
                <w:color w:val="auto"/>
              </w:rPr>
              <w:t>157,898</w:t>
            </w:r>
          </w:p>
        </w:tc>
        <w:tc>
          <w:tcPr>
            <w:tcW w:w="300" w:type="dxa"/>
            <w:vAlign w:val="bottom"/>
            <w:tcBorders>
              <w:bottom w:val="single" w:sz="8" w:color="CFF0FC"/>
            </w:tcBorders>
            <w:shd w:val="clear" w:color="auto" w:fill="CFF0FC"/>
          </w:tcPr>
          <w:p>
            <w:pPr>
              <w:spacing w:after="0"/>
              <w:rPr>
                <w:sz w:val="15"/>
                <w:szCs w:val="15"/>
                <w:color w:val="auto"/>
              </w:rPr>
            </w:pPr>
          </w:p>
        </w:tc>
        <w:tc>
          <w:tcPr>
            <w:tcW w:w="520" w:type="dxa"/>
            <w:vAlign w:val="bottom"/>
            <w:tcBorders>
              <w:bottom w:val="single" w:sz="8" w:color="CFF0FC"/>
            </w:tcBorders>
            <w:shd w:val="clear" w:color="auto" w:fill="CFF0FC"/>
          </w:tcPr>
          <w:p>
            <w:pPr>
              <w:spacing w:after="0"/>
              <w:rPr>
                <w:sz w:val="15"/>
                <w:szCs w:val="15"/>
                <w:color w:val="auto"/>
              </w:rPr>
            </w:pPr>
          </w:p>
        </w:tc>
        <w:tc>
          <w:tcPr>
            <w:tcW w:w="1080" w:type="dxa"/>
            <w:vAlign w:val="bottom"/>
            <w:tcBorders>
              <w:bottom w:val="single" w:sz="8" w:color="CFF0FC"/>
            </w:tcBorders>
            <w:shd w:val="clear" w:color="auto" w:fill="CFF0FC"/>
          </w:tcPr>
          <w:p>
            <w:pPr>
              <w:jc w:val="right"/>
              <w:spacing w:after="0" w:line="164" w:lineRule="exact"/>
              <w:rPr>
                <w:sz w:val="20"/>
                <w:szCs w:val="20"/>
                <w:color w:val="auto"/>
              </w:rPr>
            </w:pPr>
            <w:r>
              <w:rPr>
                <w:rFonts w:ascii="Calibri" w:cs="Calibri" w:eastAsia="Calibri" w:hAnsi="Calibri"/>
                <w:sz w:val="14"/>
                <w:szCs w:val="14"/>
                <w:color w:val="auto"/>
              </w:rPr>
              <w:t>157,467</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4"/>
        </w:trPr>
        <w:tc>
          <w:tcPr>
            <w:tcW w:w="7660" w:type="dxa"/>
            <w:vAlign w:val="bottom"/>
          </w:tcPr>
          <w:p>
            <w:pPr>
              <w:spacing w:after="0" w:line="164" w:lineRule="exact"/>
              <w:rPr>
                <w:sz w:val="20"/>
                <w:szCs w:val="20"/>
                <w:color w:val="auto"/>
              </w:rPr>
            </w:pPr>
            <w:r>
              <w:rPr>
                <w:rFonts w:ascii="Calibri" w:cs="Calibri" w:eastAsia="Calibri" w:hAnsi="Calibri"/>
                <w:sz w:val="14"/>
                <w:szCs w:val="14"/>
                <w:color w:val="auto"/>
              </w:rPr>
              <w:t>Operatng lease right-of-use assets</w:t>
            </w:r>
          </w:p>
        </w:tc>
        <w:tc>
          <w:tcPr>
            <w:tcW w:w="1040" w:type="dxa"/>
            <w:vAlign w:val="bottom"/>
          </w:tcPr>
          <w:p>
            <w:pPr>
              <w:spacing w:after="0"/>
              <w:rPr>
                <w:sz w:val="14"/>
                <w:szCs w:val="14"/>
                <w:color w:val="auto"/>
              </w:rPr>
            </w:pPr>
          </w:p>
        </w:tc>
        <w:tc>
          <w:tcPr>
            <w:tcW w:w="560" w:type="dxa"/>
            <w:vAlign w:val="bottom"/>
          </w:tcPr>
          <w:p>
            <w:pPr>
              <w:jc w:val="right"/>
              <w:spacing w:after="0" w:line="164" w:lineRule="exact"/>
              <w:rPr>
                <w:sz w:val="20"/>
                <w:szCs w:val="20"/>
                <w:color w:val="auto"/>
              </w:rPr>
            </w:pPr>
            <w:r>
              <w:rPr>
                <w:rFonts w:ascii="Calibri" w:cs="Calibri" w:eastAsia="Calibri" w:hAnsi="Calibri"/>
                <w:sz w:val="14"/>
                <w:szCs w:val="14"/>
                <w:color w:val="auto"/>
              </w:rPr>
              <w:t>169,682</w:t>
            </w: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jc w:val="right"/>
              <w:spacing w:after="0" w:line="164" w:lineRule="exact"/>
              <w:rPr>
                <w:sz w:val="20"/>
                <w:szCs w:val="20"/>
                <w:color w:val="auto"/>
              </w:rPr>
            </w:pPr>
            <w:r>
              <w:rPr>
                <w:rFonts w:ascii="Calibri" w:cs="Calibri" w:eastAsia="Calibri" w:hAnsi="Calibri"/>
                <w:sz w:val="14"/>
                <w:szCs w:val="14"/>
                <w:color w:val="auto"/>
              </w:rPr>
              <w:t>56,869</w:t>
            </w:r>
          </w:p>
        </w:tc>
        <w:tc>
          <w:tcPr>
            <w:tcW w:w="100" w:type="dxa"/>
            <w:vAlign w:val="bottom"/>
          </w:tcPr>
          <w:p>
            <w:pPr>
              <w:spacing w:after="0"/>
              <w:rPr>
                <w:sz w:val="14"/>
                <w:szCs w:val="14"/>
                <w:color w:val="auto"/>
              </w:rPr>
            </w:pPr>
          </w:p>
        </w:tc>
      </w:tr>
      <w:tr>
        <w:trPr>
          <w:trHeight w:val="32"/>
        </w:trPr>
        <w:tc>
          <w:tcPr>
            <w:tcW w:w="7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76"/>
        </w:trPr>
        <w:tc>
          <w:tcPr>
            <w:tcW w:w="7660" w:type="dxa"/>
            <w:vAlign w:val="bottom"/>
            <w:tcBorders>
              <w:bottom w:val="single" w:sz="8" w:color="CFF0FC"/>
            </w:tcBorders>
            <w:shd w:val="clear" w:color="auto" w:fill="CFF0FC"/>
          </w:tcPr>
          <w:p>
            <w:pPr>
              <w:spacing w:after="0" w:line="164" w:lineRule="exact"/>
              <w:rPr>
                <w:sz w:val="20"/>
                <w:szCs w:val="20"/>
                <w:color w:val="auto"/>
              </w:rPr>
            </w:pPr>
            <w:r>
              <w:rPr>
                <w:rFonts w:ascii="Calibri" w:cs="Calibri" w:eastAsia="Calibri" w:hAnsi="Calibri"/>
                <w:sz w:val="14"/>
                <w:szCs w:val="14"/>
                <w:color w:val="auto"/>
              </w:rPr>
              <w:t>Restricted cash</w:t>
            </w:r>
          </w:p>
        </w:tc>
        <w:tc>
          <w:tcPr>
            <w:tcW w:w="104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gridSpan w:val="2"/>
            <w:shd w:val="clear" w:color="auto" w:fill="CFF0FC"/>
          </w:tcPr>
          <w:p>
            <w:pPr>
              <w:jc w:val="right"/>
              <w:ind w:right="300"/>
              <w:spacing w:after="0" w:line="164" w:lineRule="exact"/>
              <w:rPr>
                <w:sz w:val="20"/>
                <w:szCs w:val="20"/>
                <w:color w:val="auto"/>
              </w:rPr>
            </w:pPr>
            <w:r>
              <w:rPr>
                <w:rFonts w:ascii="Calibri" w:cs="Calibri" w:eastAsia="Calibri" w:hAnsi="Calibri"/>
                <w:sz w:val="14"/>
                <w:szCs w:val="14"/>
                <w:color w:val="auto"/>
              </w:rPr>
              <w:t>—</w:t>
            </w:r>
          </w:p>
        </w:tc>
        <w:tc>
          <w:tcPr>
            <w:tcW w:w="520" w:type="dxa"/>
            <w:vAlign w:val="bottom"/>
            <w:tcBorders>
              <w:bottom w:val="single" w:sz="8" w:color="CFF0FC"/>
            </w:tcBorders>
            <w:shd w:val="clear" w:color="auto" w:fill="CFF0FC"/>
          </w:tcPr>
          <w:p>
            <w:pPr>
              <w:spacing w:after="0"/>
              <w:rPr>
                <w:sz w:val="15"/>
                <w:szCs w:val="15"/>
                <w:color w:val="auto"/>
              </w:rPr>
            </w:pPr>
          </w:p>
        </w:tc>
        <w:tc>
          <w:tcPr>
            <w:tcW w:w="1080" w:type="dxa"/>
            <w:vAlign w:val="bottom"/>
            <w:tcBorders>
              <w:bottom w:val="single" w:sz="8" w:color="CFF0FC"/>
            </w:tcBorders>
            <w:shd w:val="clear" w:color="auto" w:fill="CFF0FC"/>
          </w:tcPr>
          <w:p>
            <w:pPr>
              <w:jc w:val="right"/>
              <w:spacing w:after="0" w:line="164" w:lineRule="exact"/>
              <w:rPr>
                <w:sz w:val="20"/>
                <w:szCs w:val="20"/>
                <w:color w:val="auto"/>
              </w:rPr>
            </w:pPr>
            <w:r>
              <w:rPr>
                <w:rFonts w:ascii="Calibri" w:cs="Calibri" w:eastAsia="Calibri" w:hAnsi="Calibri"/>
                <w:sz w:val="14"/>
                <w:szCs w:val="14"/>
                <w:color w:val="auto"/>
              </w:rPr>
              <w:t>9,378</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4"/>
        </w:trPr>
        <w:tc>
          <w:tcPr>
            <w:tcW w:w="7660" w:type="dxa"/>
            <w:vAlign w:val="bottom"/>
          </w:tcPr>
          <w:p>
            <w:pPr>
              <w:spacing w:after="0" w:line="164" w:lineRule="exact"/>
              <w:rPr>
                <w:sz w:val="20"/>
                <w:szCs w:val="20"/>
                <w:color w:val="auto"/>
              </w:rPr>
            </w:pPr>
            <w:r>
              <w:rPr>
                <w:rFonts w:ascii="Calibri" w:cs="Calibri" w:eastAsia="Calibri" w:hAnsi="Calibri"/>
                <w:sz w:val="14"/>
                <w:szCs w:val="14"/>
                <w:color w:val="auto"/>
              </w:rPr>
              <w:t>Deferred tax assets</w:t>
            </w:r>
          </w:p>
        </w:tc>
        <w:tc>
          <w:tcPr>
            <w:tcW w:w="1040" w:type="dxa"/>
            <w:vAlign w:val="bottom"/>
          </w:tcPr>
          <w:p>
            <w:pPr>
              <w:spacing w:after="0"/>
              <w:rPr>
                <w:sz w:val="14"/>
                <w:szCs w:val="14"/>
                <w:color w:val="auto"/>
              </w:rPr>
            </w:pPr>
          </w:p>
        </w:tc>
        <w:tc>
          <w:tcPr>
            <w:tcW w:w="560" w:type="dxa"/>
            <w:vAlign w:val="bottom"/>
          </w:tcPr>
          <w:p>
            <w:pPr>
              <w:jc w:val="right"/>
              <w:spacing w:after="0" w:line="164" w:lineRule="exact"/>
              <w:rPr>
                <w:sz w:val="20"/>
                <w:szCs w:val="20"/>
                <w:color w:val="auto"/>
              </w:rPr>
            </w:pPr>
            <w:r>
              <w:rPr>
                <w:rFonts w:ascii="Calibri" w:cs="Calibri" w:eastAsia="Calibri" w:hAnsi="Calibri"/>
                <w:sz w:val="14"/>
                <w:szCs w:val="14"/>
                <w:color w:val="auto"/>
              </w:rPr>
              <w:t>73,356</w:t>
            </w: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jc w:val="right"/>
              <w:spacing w:after="0" w:line="164" w:lineRule="exact"/>
              <w:rPr>
                <w:sz w:val="20"/>
                <w:szCs w:val="20"/>
                <w:color w:val="auto"/>
              </w:rPr>
            </w:pPr>
            <w:r>
              <w:rPr>
                <w:rFonts w:ascii="Calibri" w:cs="Calibri" w:eastAsia="Calibri" w:hAnsi="Calibri"/>
                <w:sz w:val="14"/>
                <w:szCs w:val="14"/>
                <w:color w:val="auto"/>
              </w:rPr>
              <w:t>35,488</w:t>
            </w:r>
          </w:p>
        </w:tc>
        <w:tc>
          <w:tcPr>
            <w:tcW w:w="100" w:type="dxa"/>
            <w:vAlign w:val="bottom"/>
          </w:tcPr>
          <w:p>
            <w:pPr>
              <w:spacing w:after="0"/>
              <w:rPr>
                <w:sz w:val="14"/>
                <w:szCs w:val="14"/>
                <w:color w:val="auto"/>
              </w:rPr>
            </w:pPr>
          </w:p>
        </w:tc>
      </w:tr>
      <w:tr>
        <w:trPr>
          <w:trHeight w:val="32"/>
        </w:trPr>
        <w:tc>
          <w:tcPr>
            <w:tcW w:w="7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76"/>
        </w:trPr>
        <w:tc>
          <w:tcPr>
            <w:tcW w:w="7660" w:type="dxa"/>
            <w:vAlign w:val="bottom"/>
            <w:tcBorders>
              <w:bottom w:val="single" w:sz="8" w:color="CFF0FC"/>
            </w:tcBorders>
            <w:shd w:val="clear" w:color="auto" w:fill="CFF0FC"/>
          </w:tcPr>
          <w:p>
            <w:pPr>
              <w:spacing w:after="0" w:line="164" w:lineRule="exact"/>
              <w:rPr>
                <w:sz w:val="20"/>
                <w:szCs w:val="20"/>
                <w:color w:val="auto"/>
              </w:rPr>
            </w:pPr>
            <w:r>
              <w:rPr>
                <w:rFonts w:ascii="Calibri" w:cs="Calibri" w:eastAsia="Calibri" w:hAnsi="Calibri"/>
                <w:sz w:val="14"/>
                <w:szCs w:val="14"/>
                <w:color w:val="auto"/>
              </w:rPr>
              <w:t>Deferred contract costs, net of current porton</w:t>
            </w:r>
          </w:p>
        </w:tc>
        <w:tc>
          <w:tcPr>
            <w:tcW w:w="104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CFF0FC"/>
            </w:tcBorders>
            <w:shd w:val="clear" w:color="auto" w:fill="CFF0FC"/>
          </w:tcPr>
          <w:p>
            <w:pPr>
              <w:jc w:val="right"/>
              <w:spacing w:after="0" w:line="164" w:lineRule="exact"/>
              <w:rPr>
                <w:sz w:val="20"/>
                <w:szCs w:val="20"/>
                <w:color w:val="auto"/>
              </w:rPr>
            </w:pPr>
            <w:r>
              <w:rPr>
                <w:rFonts w:ascii="Calibri" w:cs="Calibri" w:eastAsia="Calibri" w:hAnsi="Calibri"/>
                <w:sz w:val="14"/>
                <w:szCs w:val="14"/>
                <w:color w:val="auto"/>
              </w:rPr>
              <w:t>12,998</w:t>
            </w:r>
          </w:p>
        </w:tc>
        <w:tc>
          <w:tcPr>
            <w:tcW w:w="300" w:type="dxa"/>
            <w:vAlign w:val="bottom"/>
            <w:tcBorders>
              <w:bottom w:val="single" w:sz="8" w:color="CFF0FC"/>
            </w:tcBorders>
            <w:shd w:val="clear" w:color="auto" w:fill="CFF0FC"/>
          </w:tcPr>
          <w:p>
            <w:pPr>
              <w:spacing w:after="0"/>
              <w:rPr>
                <w:sz w:val="15"/>
                <w:szCs w:val="15"/>
                <w:color w:val="auto"/>
              </w:rPr>
            </w:pPr>
          </w:p>
        </w:tc>
        <w:tc>
          <w:tcPr>
            <w:tcW w:w="520" w:type="dxa"/>
            <w:vAlign w:val="bottom"/>
            <w:tcBorders>
              <w:bottom w:val="single" w:sz="8" w:color="CFF0FC"/>
            </w:tcBorders>
            <w:shd w:val="clear" w:color="auto" w:fill="CFF0FC"/>
          </w:tcPr>
          <w:p>
            <w:pPr>
              <w:spacing w:after="0"/>
              <w:rPr>
                <w:sz w:val="15"/>
                <w:szCs w:val="15"/>
                <w:color w:val="auto"/>
              </w:rPr>
            </w:pPr>
          </w:p>
        </w:tc>
        <w:tc>
          <w:tcPr>
            <w:tcW w:w="1080" w:type="dxa"/>
            <w:vAlign w:val="bottom"/>
            <w:tcBorders>
              <w:bottom w:val="single" w:sz="8" w:color="CFF0FC"/>
            </w:tcBorders>
            <w:shd w:val="clear" w:color="auto" w:fill="CFF0FC"/>
          </w:tcPr>
          <w:p>
            <w:pPr>
              <w:jc w:val="right"/>
              <w:spacing w:after="0" w:line="164" w:lineRule="exact"/>
              <w:rPr>
                <w:sz w:val="20"/>
                <w:szCs w:val="20"/>
                <w:color w:val="auto"/>
              </w:rPr>
            </w:pPr>
            <w:r>
              <w:rPr>
                <w:rFonts w:ascii="Calibri" w:cs="Calibri" w:eastAsia="Calibri" w:hAnsi="Calibri"/>
                <w:sz w:val="14"/>
                <w:szCs w:val="14"/>
                <w:color w:val="auto"/>
              </w:rPr>
              <w:t>8,853</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4"/>
        </w:trPr>
        <w:tc>
          <w:tcPr>
            <w:tcW w:w="7660" w:type="dxa"/>
            <w:vAlign w:val="bottom"/>
          </w:tcPr>
          <w:p>
            <w:pPr>
              <w:spacing w:after="0" w:line="164" w:lineRule="exact"/>
              <w:rPr>
                <w:sz w:val="20"/>
                <w:szCs w:val="20"/>
                <w:color w:val="auto"/>
              </w:rPr>
            </w:pPr>
            <w:r>
              <w:rPr>
                <w:rFonts w:ascii="Calibri" w:cs="Calibri" w:eastAsia="Calibri" w:hAnsi="Calibri"/>
                <w:sz w:val="14"/>
                <w:szCs w:val="14"/>
                <w:color w:val="auto"/>
              </w:rPr>
              <w:t>Other non-current assets</w:t>
            </w:r>
          </w:p>
        </w:tc>
        <w:tc>
          <w:tcPr>
            <w:tcW w:w="1040" w:type="dxa"/>
            <w:vAlign w:val="bottom"/>
          </w:tcPr>
          <w:p>
            <w:pPr>
              <w:spacing w:after="0"/>
              <w:rPr>
                <w:sz w:val="14"/>
                <w:szCs w:val="14"/>
                <w:color w:val="auto"/>
              </w:rPr>
            </w:pPr>
          </w:p>
        </w:tc>
        <w:tc>
          <w:tcPr>
            <w:tcW w:w="560" w:type="dxa"/>
            <w:vAlign w:val="bottom"/>
          </w:tcPr>
          <w:p>
            <w:pPr>
              <w:jc w:val="right"/>
              <w:spacing w:after="0" w:line="164" w:lineRule="exact"/>
              <w:rPr>
                <w:sz w:val="20"/>
                <w:szCs w:val="20"/>
                <w:color w:val="auto"/>
              </w:rPr>
            </w:pPr>
            <w:r>
              <w:rPr>
                <w:rFonts w:ascii="Calibri" w:cs="Calibri" w:eastAsia="Calibri" w:hAnsi="Calibri"/>
                <w:sz w:val="14"/>
                <w:szCs w:val="14"/>
                <w:color w:val="auto"/>
              </w:rPr>
              <w:t>7,376</w:t>
            </w: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jc w:val="right"/>
              <w:spacing w:after="0" w:line="164" w:lineRule="exact"/>
              <w:rPr>
                <w:sz w:val="20"/>
                <w:szCs w:val="20"/>
                <w:color w:val="auto"/>
              </w:rPr>
            </w:pPr>
            <w:r>
              <w:rPr>
                <w:rFonts w:ascii="Calibri" w:cs="Calibri" w:eastAsia="Calibri" w:hAnsi="Calibri"/>
                <w:sz w:val="14"/>
                <w:szCs w:val="14"/>
                <w:color w:val="auto"/>
              </w:rPr>
              <w:t>8,499</w:t>
            </w:r>
          </w:p>
        </w:tc>
        <w:tc>
          <w:tcPr>
            <w:tcW w:w="100" w:type="dxa"/>
            <w:vAlign w:val="bottom"/>
          </w:tcPr>
          <w:p>
            <w:pPr>
              <w:spacing w:after="0"/>
              <w:rPr>
                <w:sz w:val="14"/>
                <w:szCs w:val="14"/>
                <w:color w:val="auto"/>
              </w:rPr>
            </w:pPr>
          </w:p>
        </w:tc>
      </w:tr>
      <w:tr>
        <w:trPr>
          <w:trHeight w:val="32"/>
        </w:trPr>
        <w:tc>
          <w:tcPr>
            <w:tcW w:w="76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32"/>
        </w:trPr>
        <w:tc>
          <w:tcPr>
            <w:tcW w:w="7660" w:type="dxa"/>
            <w:vAlign w:val="bottom"/>
            <w:tcBorders>
              <w:bottom w:val="single" w:sz="8" w:color="CFF0FC"/>
            </w:tcBorders>
            <w:shd w:val="clear" w:color="auto" w:fill="CFF0FC"/>
          </w:tcPr>
          <w:p>
            <w:pPr>
              <w:spacing w:after="0" w:line="155" w:lineRule="exact"/>
              <w:rPr>
                <w:sz w:val="20"/>
                <w:szCs w:val="20"/>
                <w:color w:val="auto"/>
              </w:rPr>
            </w:pPr>
            <w:r>
              <w:rPr>
                <w:rFonts w:ascii="Calibri" w:cs="Calibri" w:eastAsia="Calibri" w:hAnsi="Calibri"/>
                <w:sz w:val="14"/>
                <w:szCs w:val="14"/>
                <w:color w:val="auto"/>
              </w:rPr>
              <w:t>Total assets</w:t>
            </w:r>
          </w:p>
        </w:tc>
        <w:tc>
          <w:tcPr>
            <w:tcW w:w="1040" w:type="dxa"/>
            <w:vAlign w:val="bottom"/>
            <w:tcBorders>
              <w:bottom w:val="single" w:sz="8" w:color="CFF0FC"/>
            </w:tcBorders>
            <w:shd w:val="clear" w:color="auto" w:fill="CFF0FC"/>
          </w:tcPr>
          <w:p>
            <w:pPr>
              <w:jc w:val="right"/>
              <w:ind w:right="891"/>
              <w:spacing w:after="0" w:line="155" w:lineRule="exact"/>
              <w:rPr>
                <w:sz w:val="20"/>
                <w:szCs w:val="20"/>
                <w:color w:val="auto"/>
              </w:rPr>
            </w:pPr>
            <w:r>
              <w:rPr>
                <w:rFonts w:ascii="Calibri" w:cs="Calibri" w:eastAsia="Calibri" w:hAnsi="Calibri"/>
                <w:sz w:val="14"/>
                <w:szCs w:val="14"/>
                <w:color w:val="auto"/>
                <w:w w:val="83"/>
              </w:rPr>
              <w:t>$</w:t>
            </w:r>
          </w:p>
        </w:tc>
        <w:tc>
          <w:tcPr>
            <w:tcW w:w="560" w:type="dxa"/>
            <w:vAlign w:val="bottom"/>
            <w:tcBorders>
              <w:bottom w:val="single" w:sz="8" w:color="CFF0FC"/>
            </w:tcBorders>
            <w:shd w:val="clear" w:color="auto" w:fill="CFF0FC"/>
          </w:tcPr>
          <w:p>
            <w:pPr>
              <w:jc w:val="right"/>
              <w:spacing w:after="0" w:line="155" w:lineRule="exact"/>
              <w:rPr>
                <w:sz w:val="20"/>
                <w:szCs w:val="20"/>
                <w:color w:val="auto"/>
              </w:rPr>
            </w:pPr>
            <w:r>
              <w:rPr>
                <w:rFonts w:ascii="Calibri" w:cs="Calibri" w:eastAsia="Calibri" w:hAnsi="Calibri"/>
                <w:sz w:val="14"/>
                <w:szCs w:val="14"/>
                <w:color w:val="auto"/>
              </w:rPr>
              <w:t>918,927</w:t>
            </w:r>
          </w:p>
        </w:tc>
        <w:tc>
          <w:tcPr>
            <w:tcW w:w="30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CFF0FC"/>
            </w:tcBorders>
            <w:shd w:val="clear" w:color="auto" w:fill="CFF0FC"/>
          </w:tcPr>
          <w:p>
            <w:pPr>
              <w:jc w:val="right"/>
              <w:ind w:right="371"/>
              <w:spacing w:after="0" w:line="155" w:lineRule="exact"/>
              <w:rPr>
                <w:sz w:val="20"/>
                <w:szCs w:val="20"/>
                <w:color w:val="auto"/>
              </w:rPr>
            </w:pPr>
            <w:r>
              <w:rPr>
                <w:rFonts w:ascii="Calibri" w:cs="Calibri" w:eastAsia="Calibri" w:hAnsi="Calibri"/>
                <w:sz w:val="14"/>
                <w:szCs w:val="14"/>
                <w:color w:val="auto"/>
                <w:w w:val="83"/>
              </w:rPr>
              <w:t>$</w:t>
            </w:r>
          </w:p>
        </w:tc>
        <w:tc>
          <w:tcPr>
            <w:tcW w:w="1080" w:type="dxa"/>
            <w:vAlign w:val="bottom"/>
            <w:tcBorders>
              <w:bottom w:val="single" w:sz="8" w:color="CFF0FC"/>
            </w:tcBorders>
            <w:shd w:val="clear" w:color="auto" w:fill="CFF0FC"/>
          </w:tcPr>
          <w:p>
            <w:pPr>
              <w:jc w:val="right"/>
              <w:spacing w:after="0" w:line="155" w:lineRule="exact"/>
              <w:rPr>
                <w:sz w:val="20"/>
                <w:szCs w:val="20"/>
                <w:color w:val="auto"/>
              </w:rPr>
            </w:pPr>
            <w:r>
              <w:rPr>
                <w:rFonts w:ascii="Calibri" w:cs="Calibri" w:eastAsia="Calibri" w:hAnsi="Calibri"/>
                <w:sz w:val="14"/>
                <w:szCs w:val="14"/>
                <w:color w:val="auto"/>
              </w:rPr>
              <w:t>927,102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138"/>
        </w:trPr>
        <w:tc>
          <w:tcPr>
            <w:tcW w:w="7660" w:type="dxa"/>
            <w:vAlign w:val="bottom"/>
            <w:tcBorders>
              <w:top w:val="single" w:sz="8" w:color="CFF0FC"/>
            </w:tcBorders>
          </w:tcPr>
          <w:p>
            <w:pPr>
              <w:spacing w:after="0" w:line="138" w:lineRule="exact"/>
              <w:rPr>
                <w:sz w:val="20"/>
                <w:szCs w:val="20"/>
                <w:color w:val="auto"/>
              </w:rPr>
            </w:pPr>
            <w:r>
              <w:rPr>
                <w:rFonts w:ascii="Calibri" w:cs="Calibri" w:eastAsia="Calibri" w:hAnsi="Calibri"/>
                <w:sz w:val="14"/>
                <w:szCs w:val="14"/>
                <w:b w:val="1"/>
                <w:bCs w:val="1"/>
                <w:color w:val="auto"/>
              </w:rPr>
              <w:t>Liabilites, redeemable noncontrolling interest and stockholders’ equity</w:t>
            </w:r>
          </w:p>
        </w:tc>
        <w:tc>
          <w:tcPr>
            <w:tcW w:w="10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00" w:type="dxa"/>
            <w:vAlign w:val="bottom"/>
            <w:tcBorders>
              <w:top w:val="single" w:sz="8" w:color="CFF0FC"/>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r>
      <w:tr>
        <w:trPr>
          <w:trHeight w:val="32"/>
        </w:trPr>
        <w:tc>
          <w:tcPr>
            <w:tcW w:w="7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76"/>
        </w:trPr>
        <w:tc>
          <w:tcPr>
            <w:tcW w:w="7660" w:type="dxa"/>
            <w:vAlign w:val="bottom"/>
            <w:tcBorders>
              <w:bottom w:val="single" w:sz="8" w:color="CFF0FC"/>
            </w:tcBorders>
            <w:shd w:val="clear" w:color="auto" w:fill="CFF0FC"/>
          </w:tcPr>
          <w:p>
            <w:pPr>
              <w:spacing w:after="0" w:line="164" w:lineRule="exact"/>
              <w:rPr>
                <w:sz w:val="20"/>
                <w:szCs w:val="20"/>
                <w:color w:val="auto"/>
              </w:rPr>
            </w:pPr>
            <w:r>
              <w:rPr>
                <w:rFonts w:ascii="Calibri" w:cs="Calibri" w:eastAsia="Calibri" w:hAnsi="Calibri"/>
                <w:sz w:val="14"/>
                <w:szCs w:val="14"/>
                <w:color w:val="auto"/>
              </w:rPr>
              <w:t>Current liabilites:</w:t>
            </w:r>
          </w:p>
        </w:tc>
        <w:tc>
          <w:tcPr>
            <w:tcW w:w="104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spacing w:after="0"/>
              <w:rPr>
                <w:sz w:val="15"/>
                <w:szCs w:val="15"/>
                <w:color w:val="auto"/>
              </w:rPr>
            </w:pPr>
          </w:p>
        </w:tc>
        <w:tc>
          <w:tcPr>
            <w:tcW w:w="520" w:type="dxa"/>
            <w:vAlign w:val="bottom"/>
            <w:tcBorders>
              <w:bottom w:val="single" w:sz="8" w:color="CFF0FC"/>
            </w:tcBorders>
            <w:shd w:val="clear" w:color="auto" w:fill="CFF0FC"/>
          </w:tcPr>
          <w:p>
            <w:pPr>
              <w:spacing w:after="0"/>
              <w:rPr>
                <w:sz w:val="15"/>
                <w:szCs w:val="15"/>
                <w:color w:val="auto"/>
              </w:rPr>
            </w:pPr>
          </w:p>
        </w:tc>
        <w:tc>
          <w:tcPr>
            <w:tcW w:w="10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r>
      <w:tr>
        <w:trPr>
          <w:trHeight w:val="164"/>
        </w:trPr>
        <w:tc>
          <w:tcPr>
            <w:tcW w:w="7660" w:type="dxa"/>
            <w:vAlign w:val="bottom"/>
          </w:tcPr>
          <w:p>
            <w:pPr>
              <w:ind w:left="160"/>
              <w:spacing w:after="0" w:line="164" w:lineRule="exact"/>
              <w:rPr>
                <w:sz w:val="20"/>
                <w:szCs w:val="20"/>
                <w:color w:val="auto"/>
              </w:rPr>
            </w:pPr>
            <w:r>
              <w:rPr>
                <w:rFonts w:ascii="Calibri" w:cs="Calibri" w:eastAsia="Calibri" w:hAnsi="Calibri"/>
                <w:sz w:val="14"/>
                <w:szCs w:val="14"/>
                <w:color w:val="auto"/>
              </w:rPr>
              <w:t>Accounts payable</w:t>
            </w:r>
          </w:p>
        </w:tc>
        <w:tc>
          <w:tcPr>
            <w:tcW w:w="1040" w:type="dxa"/>
            <w:vAlign w:val="bottom"/>
          </w:tcPr>
          <w:p>
            <w:pPr>
              <w:jc w:val="right"/>
              <w:ind w:right="891"/>
              <w:spacing w:after="0" w:line="164" w:lineRule="exact"/>
              <w:rPr>
                <w:sz w:val="20"/>
                <w:szCs w:val="20"/>
                <w:color w:val="auto"/>
              </w:rPr>
            </w:pPr>
            <w:r>
              <w:rPr>
                <w:rFonts w:ascii="Calibri" w:cs="Calibri" w:eastAsia="Calibri" w:hAnsi="Calibri"/>
                <w:sz w:val="14"/>
                <w:szCs w:val="14"/>
                <w:color w:val="auto"/>
                <w:w w:val="83"/>
              </w:rPr>
              <w:t>$</w:t>
            </w:r>
          </w:p>
        </w:tc>
        <w:tc>
          <w:tcPr>
            <w:tcW w:w="560" w:type="dxa"/>
            <w:vAlign w:val="bottom"/>
          </w:tcPr>
          <w:p>
            <w:pPr>
              <w:jc w:val="right"/>
              <w:spacing w:after="0" w:line="164" w:lineRule="exact"/>
              <w:rPr>
                <w:sz w:val="20"/>
                <w:szCs w:val="20"/>
                <w:color w:val="auto"/>
              </w:rPr>
            </w:pPr>
            <w:r>
              <w:rPr>
                <w:rFonts w:ascii="Calibri" w:cs="Calibri" w:eastAsia="Calibri" w:hAnsi="Calibri"/>
                <w:sz w:val="14"/>
                <w:szCs w:val="14"/>
                <w:color w:val="auto"/>
              </w:rPr>
              <w:t>47,854</w:t>
            </w:r>
          </w:p>
        </w:tc>
        <w:tc>
          <w:tcPr>
            <w:tcW w:w="300" w:type="dxa"/>
            <w:vAlign w:val="bottom"/>
          </w:tcPr>
          <w:p>
            <w:pPr>
              <w:spacing w:after="0"/>
              <w:rPr>
                <w:sz w:val="14"/>
                <w:szCs w:val="14"/>
                <w:color w:val="auto"/>
              </w:rPr>
            </w:pPr>
          </w:p>
        </w:tc>
        <w:tc>
          <w:tcPr>
            <w:tcW w:w="520" w:type="dxa"/>
            <w:vAlign w:val="bottom"/>
          </w:tcPr>
          <w:p>
            <w:pPr>
              <w:jc w:val="right"/>
              <w:ind w:right="371"/>
              <w:spacing w:after="0" w:line="164" w:lineRule="exact"/>
              <w:rPr>
                <w:sz w:val="20"/>
                <w:szCs w:val="20"/>
                <w:color w:val="auto"/>
              </w:rPr>
            </w:pPr>
            <w:r>
              <w:rPr>
                <w:rFonts w:ascii="Calibri" w:cs="Calibri" w:eastAsia="Calibri" w:hAnsi="Calibri"/>
                <w:sz w:val="14"/>
                <w:szCs w:val="14"/>
                <w:color w:val="auto"/>
                <w:w w:val="83"/>
              </w:rPr>
              <w:t>$</w:t>
            </w:r>
          </w:p>
        </w:tc>
        <w:tc>
          <w:tcPr>
            <w:tcW w:w="1080" w:type="dxa"/>
            <w:vAlign w:val="bottom"/>
          </w:tcPr>
          <w:p>
            <w:pPr>
              <w:jc w:val="right"/>
              <w:spacing w:after="0" w:line="164" w:lineRule="exact"/>
              <w:rPr>
                <w:sz w:val="20"/>
                <w:szCs w:val="20"/>
                <w:color w:val="auto"/>
              </w:rPr>
            </w:pPr>
            <w:r>
              <w:rPr>
                <w:rFonts w:ascii="Calibri" w:cs="Calibri" w:eastAsia="Calibri" w:hAnsi="Calibri"/>
                <w:sz w:val="14"/>
                <w:szCs w:val="14"/>
                <w:color w:val="auto"/>
              </w:rPr>
              <w:t>32,529</w:t>
            </w:r>
          </w:p>
        </w:tc>
        <w:tc>
          <w:tcPr>
            <w:tcW w:w="100" w:type="dxa"/>
            <w:vAlign w:val="bottom"/>
          </w:tcPr>
          <w:p>
            <w:pPr>
              <w:spacing w:after="0"/>
              <w:rPr>
                <w:sz w:val="14"/>
                <w:szCs w:val="14"/>
                <w:color w:val="auto"/>
              </w:rPr>
            </w:pPr>
          </w:p>
        </w:tc>
      </w:tr>
      <w:tr>
        <w:trPr>
          <w:trHeight w:val="32"/>
        </w:trPr>
        <w:tc>
          <w:tcPr>
            <w:tcW w:w="7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76"/>
        </w:trPr>
        <w:tc>
          <w:tcPr>
            <w:tcW w:w="7660" w:type="dxa"/>
            <w:vAlign w:val="bottom"/>
            <w:tcBorders>
              <w:bottom w:val="single" w:sz="8" w:color="CFF0FC"/>
            </w:tcBorders>
            <w:shd w:val="clear" w:color="auto" w:fill="CFF0FC"/>
          </w:tcPr>
          <w:p>
            <w:pPr>
              <w:ind w:left="160"/>
              <w:spacing w:after="0" w:line="164" w:lineRule="exact"/>
              <w:rPr>
                <w:sz w:val="20"/>
                <w:szCs w:val="20"/>
                <w:color w:val="auto"/>
              </w:rPr>
            </w:pPr>
            <w:r>
              <w:rPr>
                <w:rFonts w:ascii="Calibri" w:cs="Calibri" w:eastAsia="Calibri" w:hAnsi="Calibri"/>
                <w:sz w:val="14"/>
                <w:szCs w:val="14"/>
                <w:color w:val="auto"/>
              </w:rPr>
              <w:t>Accrued expenses, accrued income taxes and other current liabilites</w:t>
            </w:r>
          </w:p>
        </w:tc>
        <w:tc>
          <w:tcPr>
            <w:tcW w:w="104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CFF0FC"/>
            </w:tcBorders>
            <w:shd w:val="clear" w:color="auto" w:fill="CFF0FC"/>
          </w:tcPr>
          <w:p>
            <w:pPr>
              <w:jc w:val="right"/>
              <w:spacing w:after="0" w:line="164" w:lineRule="exact"/>
              <w:rPr>
                <w:sz w:val="20"/>
                <w:szCs w:val="20"/>
                <w:color w:val="auto"/>
              </w:rPr>
            </w:pPr>
            <w:r>
              <w:rPr>
                <w:rFonts w:ascii="Calibri" w:cs="Calibri" w:eastAsia="Calibri" w:hAnsi="Calibri"/>
                <w:sz w:val="14"/>
                <w:szCs w:val="14"/>
                <w:color w:val="auto"/>
              </w:rPr>
              <w:t>33,718</w:t>
            </w:r>
          </w:p>
        </w:tc>
        <w:tc>
          <w:tcPr>
            <w:tcW w:w="300" w:type="dxa"/>
            <w:vAlign w:val="bottom"/>
            <w:tcBorders>
              <w:bottom w:val="single" w:sz="8" w:color="CFF0FC"/>
            </w:tcBorders>
            <w:shd w:val="clear" w:color="auto" w:fill="CFF0FC"/>
          </w:tcPr>
          <w:p>
            <w:pPr>
              <w:spacing w:after="0"/>
              <w:rPr>
                <w:sz w:val="15"/>
                <w:szCs w:val="15"/>
                <w:color w:val="auto"/>
              </w:rPr>
            </w:pPr>
          </w:p>
        </w:tc>
        <w:tc>
          <w:tcPr>
            <w:tcW w:w="520" w:type="dxa"/>
            <w:vAlign w:val="bottom"/>
            <w:tcBorders>
              <w:bottom w:val="single" w:sz="8" w:color="CFF0FC"/>
            </w:tcBorders>
            <w:shd w:val="clear" w:color="auto" w:fill="CFF0FC"/>
          </w:tcPr>
          <w:p>
            <w:pPr>
              <w:spacing w:after="0"/>
              <w:rPr>
                <w:sz w:val="15"/>
                <w:szCs w:val="15"/>
                <w:color w:val="auto"/>
              </w:rPr>
            </w:pPr>
          </w:p>
        </w:tc>
        <w:tc>
          <w:tcPr>
            <w:tcW w:w="1080" w:type="dxa"/>
            <w:vAlign w:val="bottom"/>
            <w:tcBorders>
              <w:bottom w:val="single" w:sz="8" w:color="CFF0FC"/>
            </w:tcBorders>
            <w:shd w:val="clear" w:color="auto" w:fill="CFF0FC"/>
          </w:tcPr>
          <w:p>
            <w:pPr>
              <w:jc w:val="right"/>
              <w:spacing w:after="0" w:line="164" w:lineRule="exact"/>
              <w:rPr>
                <w:sz w:val="20"/>
                <w:szCs w:val="20"/>
                <w:color w:val="auto"/>
              </w:rPr>
            </w:pPr>
            <w:r>
              <w:rPr>
                <w:rFonts w:ascii="Calibri" w:cs="Calibri" w:eastAsia="Calibri" w:hAnsi="Calibri"/>
                <w:sz w:val="14"/>
                <w:szCs w:val="14"/>
                <w:color w:val="auto"/>
              </w:rPr>
              <w:t>39,193</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4"/>
        </w:trPr>
        <w:tc>
          <w:tcPr>
            <w:tcW w:w="7660" w:type="dxa"/>
            <w:vAlign w:val="bottom"/>
          </w:tcPr>
          <w:p>
            <w:pPr>
              <w:ind w:left="160"/>
              <w:spacing w:after="0" w:line="164" w:lineRule="exact"/>
              <w:rPr>
                <w:sz w:val="20"/>
                <w:szCs w:val="20"/>
                <w:color w:val="auto"/>
              </w:rPr>
            </w:pPr>
            <w:r>
              <w:rPr>
                <w:rFonts w:ascii="Calibri" w:cs="Calibri" w:eastAsia="Calibri" w:hAnsi="Calibri"/>
                <w:sz w:val="14"/>
                <w:szCs w:val="14"/>
                <w:color w:val="auto"/>
              </w:rPr>
              <w:t>Deferred revenue</w:t>
            </w:r>
          </w:p>
        </w:tc>
        <w:tc>
          <w:tcPr>
            <w:tcW w:w="1040" w:type="dxa"/>
            <w:vAlign w:val="bottom"/>
          </w:tcPr>
          <w:p>
            <w:pPr>
              <w:spacing w:after="0"/>
              <w:rPr>
                <w:sz w:val="14"/>
                <w:szCs w:val="14"/>
                <w:color w:val="auto"/>
              </w:rPr>
            </w:pPr>
          </w:p>
        </w:tc>
        <w:tc>
          <w:tcPr>
            <w:tcW w:w="560" w:type="dxa"/>
            <w:vAlign w:val="bottom"/>
          </w:tcPr>
          <w:p>
            <w:pPr>
              <w:jc w:val="right"/>
              <w:spacing w:after="0" w:line="164" w:lineRule="exact"/>
              <w:rPr>
                <w:sz w:val="20"/>
                <w:szCs w:val="20"/>
                <w:color w:val="auto"/>
              </w:rPr>
            </w:pPr>
            <w:r>
              <w:rPr>
                <w:rFonts w:ascii="Calibri" w:cs="Calibri" w:eastAsia="Calibri" w:hAnsi="Calibri"/>
                <w:sz w:val="14"/>
                <w:szCs w:val="14"/>
                <w:color w:val="auto"/>
              </w:rPr>
              <w:t>21,322</w:t>
            </w: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jc w:val="right"/>
              <w:spacing w:after="0" w:line="164" w:lineRule="exact"/>
              <w:rPr>
                <w:sz w:val="20"/>
                <w:szCs w:val="20"/>
                <w:color w:val="auto"/>
              </w:rPr>
            </w:pPr>
            <w:r>
              <w:rPr>
                <w:rFonts w:ascii="Calibri" w:cs="Calibri" w:eastAsia="Calibri" w:hAnsi="Calibri"/>
                <w:sz w:val="14"/>
                <w:szCs w:val="14"/>
                <w:color w:val="auto"/>
              </w:rPr>
              <w:t>12,249</w:t>
            </w:r>
          </w:p>
        </w:tc>
        <w:tc>
          <w:tcPr>
            <w:tcW w:w="100" w:type="dxa"/>
            <w:vAlign w:val="bottom"/>
          </w:tcPr>
          <w:p>
            <w:pPr>
              <w:spacing w:after="0"/>
              <w:rPr>
                <w:sz w:val="14"/>
                <w:szCs w:val="14"/>
                <w:color w:val="auto"/>
              </w:rPr>
            </w:pPr>
          </w:p>
        </w:tc>
      </w:tr>
      <w:tr>
        <w:trPr>
          <w:trHeight w:val="32"/>
        </w:trPr>
        <w:tc>
          <w:tcPr>
            <w:tcW w:w="7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01"/>
        </w:trPr>
        <w:tc>
          <w:tcPr>
            <w:tcW w:w="7660" w:type="dxa"/>
            <w:vAlign w:val="bottom"/>
            <w:tcBorders>
              <w:bottom w:val="single" w:sz="8" w:color="CFF0FC"/>
            </w:tcBorders>
            <w:shd w:val="clear" w:color="auto" w:fill="CFF0FC"/>
          </w:tcPr>
          <w:p>
            <w:pPr>
              <w:ind w:left="160"/>
              <w:spacing w:after="0" w:line="164" w:lineRule="exact"/>
              <w:rPr>
                <w:sz w:val="20"/>
                <w:szCs w:val="20"/>
                <w:color w:val="auto"/>
              </w:rPr>
            </w:pPr>
            <w:r>
              <w:rPr>
                <w:rFonts w:ascii="Calibri" w:cs="Calibri" w:eastAsia="Calibri" w:hAnsi="Calibri"/>
                <w:sz w:val="14"/>
                <w:szCs w:val="14"/>
                <w:color w:val="auto"/>
              </w:rPr>
              <w:t>Operatng lease liabilites</w:t>
            </w:r>
          </w:p>
        </w:tc>
        <w:tc>
          <w:tcPr>
            <w:tcW w:w="104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CFF0FC"/>
            </w:tcBorders>
            <w:shd w:val="clear" w:color="auto" w:fill="CFF0FC"/>
          </w:tcPr>
          <w:p>
            <w:pPr>
              <w:jc w:val="right"/>
              <w:spacing w:after="0" w:line="164" w:lineRule="exact"/>
              <w:rPr>
                <w:sz w:val="20"/>
                <w:szCs w:val="20"/>
                <w:color w:val="auto"/>
              </w:rPr>
            </w:pPr>
            <w:r>
              <w:rPr>
                <w:rFonts w:ascii="Calibri" w:cs="Calibri" w:eastAsia="Calibri" w:hAnsi="Calibri"/>
                <w:sz w:val="14"/>
                <w:szCs w:val="14"/>
                <w:color w:val="auto"/>
              </w:rPr>
              <w:t>12,284</w:t>
            </w:r>
          </w:p>
        </w:tc>
        <w:tc>
          <w:tcPr>
            <w:tcW w:w="30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CFF0FC"/>
            </w:tcBorders>
            <w:shd w:val="clear" w:color="auto" w:fill="CFF0FC"/>
          </w:tcPr>
          <w:p>
            <w:pPr>
              <w:jc w:val="right"/>
              <w:spacing w:after="0" w:line="164" w:lineRule="exact"/>
              <w:rPr>
                <w:sz w:val="20"/>
                <w:szCs w:val="20"/>
                <w:color w:val="auto"/>
              </w:rPr>
            </w:pPr>
            <w:r>
              <w:rPr>
                <w:rFonts w:ascii="Calibri" w:cs="Calibri" w:eastAsia="Calibri" w:hAnsi="Calibri"/>
                <w:sz w:val="14"/>
                <w:szCs w:val="14"/>
                <w:color w:val="auto"/>
              </w:rPr>
              <w:t>14,762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55"/>
        </w:trPr>
        <w:tc>
          <w:tcPr>
            <w:tcW w:w="7660" w:type="dxa"/>
            <w:vAlign w:val="bottom"/>
            <w:tcBorders>
              <w:top w:val="single" w:sz="8" w:color="CFF0FC"/>
            </w:tcBorders>
          </w:tcPr>
          <w:p>
            <w:pPr>
              <w:spacing w:after="0" w:line="155" w:lineRule="exact"/>
              <w:rPr>
                <w:sz w:val="20"/>
                <w:szCs w:val="20"/>
                <w:color w:val="auto"/>
              </w:rPr>
            </w:pPr>
            <w:r>
              <w:rPr>
                <w:rFonts w:ascii="Calibri" w:cs="Calibri" w:eastAsia="Calibri" w:hAnsi="Calibri"/>
                <w:sz w:val="14"/>
                <w:szCs w:val="14"/>
                <w:color w:val="auto"/>
              </w:rPr>
              <w:t>Total current liabilites</w:t>
            </w:r>
          </w:p>
        </w:tc>
        <w:tc>
          <w:tcPr>
            <w:tcW w:w="10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Calibri" w:cs="Calibri" w:eastAsia="Calibri" w:hAnsi="Calibri"/>
                <w:sz w:val="14"/>
                <w:szCs w:val="14"/>
                <w:color w:val="auto"/>
              </w:rPr>
              <w:t>115,178</w:t>
            </w:r>
          </w:p>
        </w:tc>
        <w:tc>
          <w:tcPr>
            <w:tcW w:w="300" w:type="dxa"/>
            <w:vAlign w:val="bottom"/>
            <w:tcBorders>
              <w:top w:val="single" w:sz="8" w:color="CFF0FC"/>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spacing w:after="0" w:line="155" w:lineRule="exact"/>
              <w:rPr>
                <w:sz w:val="20"/>
                <w:szCs w:val="20"/>
                <w:color w:val="auto"/>
              </w:rPr>
            </w:pPr>
            <w:r>
              <w:rPr>
                <w:rFonts w:ascii="Calibri" w:cs="Calibri" w:eastAsia="Calibri" w:hAnsi="Calibri"/>
                <w:sz w:val="14"/>
                <w:szCs w:val="14"/>
                <w:color w:val="auto"/>
              </w:rPr>
              <w:t>98,733</w:t>
            </w:r>
          </w:p>
        </w:tc>
        <w:tc>
          <w:tcPr>
            <w:tcW w:w="100" w:type="dxa"/>
            <w:vAlign w:val="bottom"/>
            <w:tcBorders>
              <w:top w:val="single" w:sz="8" w:color="CFF0FC"/>
            </w:tcBorders>
          </w:tcPr>
          <w:p>
            <w:pPr>
              <w:spacing w:after="0"/>
              <w:rPr>
                <w:sz w:val="13"/>
                <w:szCs w:val="13"/>
                <w:color w:val="auto"/>
              </w:rPr>
            </w:pPr>
          </w:p>
        </w:tc>
      </w:tr>
      <w:tr>
        <w:trPr>
          <w:trHeight w:val="32"/>
        </w:trPr>
        <w:tc>
          <w:tcPr>
            <w:tcW w:w="7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76"/>
        </w:trPr>
        <w:tc>
          <w:tcPr>
            <w:tcW w:w="7660" w:type="dxa"/>
            <w:vAlign w:val="bottom"/>
            <w:tcBorders>
              <w:bottom w:val="single" w:sz="8" w:color="CFF0FC"/>
            </w:tcBorders>
            <w:shd w:val="clear" w:color="auto" w:fill="CFF0FC"/>
          </w:tcPr>
          <w:p>
            <w:pPr>
              <w:spacing w:after="0" w:line="164" w:lineRule="exact"/>
              <w:rPr>
                <w:sz w:val="20"/>
                <w:szCs w:val="20"/>
                <w:color w:val="auto"/>
              </w:rPr>
            </w:pPr>
            <w:r>
              <w:rPr>
                <w:rFonts w:ascii="Calibri" w:cs="Calibri" w:eastAsia="Calibri" w:hAnsi="Calibri"/>
                <w:sz w:val="14"/>
                <w:szCs w:val="14"/>
                <w:color w:val="auto"/>
              </w:rPr>
              <w:t>Operatng lease liabilites</w:t>
            </w:r>
          </w:p>
        </w:tc>
        <w:tc>
          <w:tcPr>
            <w:tcW w:w="104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CFF0FC"/>
            </w:tcBorders>
            <w:shd w:val="clear" w:color="auto" w:fill="CFF0FC"/>
          </w:tcPr>
          <w:p>
            <w:pPr>
              <w:jc w:val="right"/>
              <w:spacing w:after="0" w:line="164" w:lineRule="exact"/>
              <w:rPr>
                <w:sz w:val="20"/>
                <w:szCs w:val="20"/>
                <w:color w:val="auto"/>
              </w:rPr>
            </w:pPr>
            <w:r>
              <w:rPr>
                <w:rFonts w:ascii="Calibri" w:cs="Calibri" w:eastAsia="Calibri" w:hAnsi="Calibri"/>
                <w:sz w:val="14"/>
                <w:szCs w:val="14"/>
                <w:color w:val="auto"/>
              </w:rPr>
              <w:t>182,106</w:t>
            </w:r>
          </w:p>
        </w:tc>
        <w:tc>
          <w:tcPr>
            <w:tcW w:w="300" w:type="dxa"/>
            <w:vAlign w:val="bottom"/>
            <w:tcBorders>
              <w:bottom w:val="single" w:sz="8" w:color="CFF0FC"/>
            </w:tcBorders>
            <w:shd w:val="clear" w:color="auto" w:fill="CFF0FC"/>
          </w:tcPr>
          <w:p>
            <w:pPr>
              <w:spacing w:after="0"/>
              <w:rPr>
                <w:sz w:val="15"/>
                <w:szCs w:val="15"/>
                <w:color w:val="auto"/>
              </w:rPr>
            </w:pPr>
          </w:p>
        </w:tc>
        <w:tc>
          <w:tcPr>
            <w:tcW w:w="520" w:type="dxa"/>
            <w:vAlign w:val="bottom"/>
            <w:tcBorders>
              <w:bottom w:val="single" w:sz="8" w:color="CFF0FC"/>
            </w:tcBorders>
            <w:shd w:val="clear" w:color="auto" w:fill="CFF0FC"/>
          </w:tcPr>
          <w:p>
            <w:pPr>
              <w:spacing w:after="0"/>
              <w:rPr>
                <w:sz w:val="15"/>
                <w:szCs w:val="15"/>
                <w:color w:val="auto"/>
              </w:rPr>
            </w:pPr>
          </w:p>
        </w:tc>
        <w:tc>
          <w:tcPr>
            <w:tcW w:w="1080" w:type="dxa"/>
            <w:vAlign w:val="bottom"/>
            <w:tcBorders>
              <w:bottom w:val="single" w:sz="8" w:color="CFF0FC"/>
            </w:tcBorders>
            <w:shd w:val="clear" w:color="auto" w:fill="CFF0FC"/>
          </w:tcPr>
          <w:p>
            <w:pPr>
              <w:jc w:val="right"/>
              <w:spacing w:after="0" w:line="164" w:lineRule="exact"/>
              <w:rPr>
                <w:sz w:val="20"/>
                <w:szCs w:val="20"/>
                <w:color w:val="auto"/>
              </w:rPr>
            </w:pPr>
            <w:r>
              <w:rPr>
                <w:rFonts w:ascii="Calibri" w:cs="Calibri" w:eastAsia="Calibri" w:hAnsi="Calibri"/>
                <w:sz w:val="14"/>
                <w:szCs w:val="14"/>
                <w:color w:val="auto"/>
              </w:rPr>
              <w:t>51,656</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4"/>
        </w:trPr>
        <w:tc>
          <w:tcPr>
            <w:tcW w:w="7660" w:type="dxa"/>
            <w:vAlign w:val="bottom"/>
          </w:tcPr>
          <w:p>
            <w:pPr>
              <w:spacing w:after="0" w:line="164" w:lineRule="exact"/>
              <w:rPr>
                <w:sz w:val="20"/>
                <w:szCs w:val="20"/>
                <w:color w:val="auto"/>
              </w:rPr>
            </w:pPr>
            <w:r>
              <w:rPr>
                <w:rFonts w:ascii="Calibri" w:cs="Calibri" w:eastAsia="Calibri" w:hAnsi="Calibri"/>
                <w:sz w:val="14"/>
                <w:szCs w:val="14"/>
                <w:color w:val="auto"/>
              </w:rPr>
              <w:t>Deferred tax liabilites</w:t>
            </w:r>
          </w:p>
        </w:tc>
        <w:tc>
          <w:tcPr>
            <w:tcW w:w="1040" w:type="dxa"/>
            <w:vAlign w:val="bottom"/>
          </w:tcPr>
          <w:p>
            <w:pPr>
              <w:spacing w:after="0"/>
              <w:rPr>
                <w:sz w:val="14"/>
                <w:szCs w:val="14"/>
                <w:color w:val="auto"/>
              </w:rPr>
            </w:pPr>
          </w:p>
        </w:tc>
        <w:tc>
          <w:tcPr>
            <w:tcW w:w="560" w:type="dxa"/>
            <w:vAlign w:val="bottom"/>
          </w:tcPr>
          <w:p>
            <w:pPr>
              <w:jc w:val="right"/>
              <w:spacing w:after="0" w:line="164" w:lineRule="exact"/>
              <w:rPr>
                <w:sz w:val="20"/>
                <w:szCs w:val="20"/>
                <w:color w:val="auto"/>
              </w:rPr>
            </w:pPr>
            <w:r>
              <w:rPr>
                <w:rFonts w:ascii="Calibri" w:cs="Calibri" w:eastAsia="Calibri" w:hAnsi="Calibri"/>
                <w:sz w:val="14"/>
                <w:szCs w:val="14"/>
                <w:color w:val="auto"/>
              </w:rPr>
              <w:t>58</w:t>
            </w: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jc w:val="right"/>
              <w:spacing w:after="0" w:line="164" w:lineRule="exact"/>
              <w:rPr>
                <w:sz w:val="20"/>
                <w:szCs w:val="20"/>
                <w:color w:val="auto"/>
              </w:rPr>
            </w:pPr>
            <w:r>
              <w:rPr>
                <w:rFonts w:ascii="Calibri" w:cs="Calibri" w:eastAsia="Calibri" w:hAnsi="Calibri"/>
                <w:sz w:val="14"/>
                <w:szCs w:val="14"/>
                <w:color w:val="auto"/>
              </w:rPr>
              <w:t>54</w:t>
            </w:r>
          </w:p>
        </w:tc>
        <w:tc>
          <w:tcPr>
            <w:tcW w:w="100" w:type="dxa"/>
            <w:vAlign w:val="bottom"/>
          </w:tcPr>
          <w:p>
            <w:pPr>
              <w:spacing w:after="0"/>
              <w:rPr>
                <w:sz w:val="14"/>
                <w:szCs w:val="14"/>
                <w:color w:val="auto"/>
              </w:rPr>
            </w:pPr>
          </w:p>
        </w:tc>
      </w:tr>
      <w:tr>
        <w:trPr>
          <w:trHeight w:val="32"/>
        </w:trPr>
        <w:tc>
          <w:tcPr>
            <w:tcW w:w="7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01"/>
        </w:trPr>
        <w:tc>
          <w:tcPr>
            <w:tcW w:w="7660" w:type="dxa"/>
            <w:vAlign w:val="bottom"/>
            <w:tcBorders>
              <w:bottom w:val="single" w:sz="8" w:color="CFF0FC"/>
            </w:tcBorders>
            <w:shd w:val="clear" w:color="auto" w:fill="CFF0FC"/>
          </w:tcPr>
          <w:p>
            <w:pPr>
              <w:spacing w:after="0" w:line="164" w:lineRule="exact"/>
              <w:rPr>
                <w:sz w:val="20"/>
                <w:szCs w:val="20"/>
                <w:color w:val="auto"/>
              </w:rPr>
            </w:pPr>
            <w:r>
              <w:rPr>
                <w:rFonts w:ascii="Calibri" w:cs="Calibri" w:eastAsia="Calibri" w:hAnsi="Calibri"/>
                <w:sz w:val="14"/>
                <w:szCs w:val="14"/>
                <w:color w:val="auto"/>
              </w:rPr>
              <w:t>Other non–current liabilites</w:t>
            </w:r>
          </w:p>
        </w:tc>
        <w:tc>
          <w:tcPr>
            <w:tcW w:w="104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CFF0FC"/>
            </w:tcBorders>
            <w:shd w:val="clear" w:color="auto" w:fill="CFF0FC"/>
          </w:tcPr>
          <w:p>
            <w:pPr>
              <w:jc w:val="right"/>
              <w:spacing w:after="0" w:line="164" w:lineRule="exact"/>
              <w:rPr>
                <w:sz w:val="20"/>
                <w:szCs w:val="20"/>
                <w:color w:val="auto"/>
              </w:rPr>
            </w:pPr>
            <w:r>
              <w:rPr>
                <w:rFonts w:ascii="Calibri" w:cs="Calibri" w:eastAsia="Calibri" w:hAnsi="Calibri"/>
                <w:sz w:val="14"/>
                <w:szCs w:val="14"/>
                <w:color w:val="auto"/>
              </w:rPr>
              <w:t>4,733</w:t>
            </w:r>
          </w:p>
        </w:tc>
        <w:tc>
          <w:tcPr>
            <w:tcW w:w="30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CFF0FC"/>
            </w:tcBorders>
            <w:shd w:val="clear" w:color="auto" w:fill="CFF0FC"/>
          </w:tcPr>
          <w:p>
            <w:pPr>
              <w:jc w:val="right"/>
              <w:spacing w:after="0" w:line="164" w:lineRule="exact"/>
              <w:rPr>
                <w:sz w:val="20"/>
                <w:szCs w:val="20"/>
                <w:color w:val="auto"/>
              </w:rPr>
            </w:pPr>
            <w:r>
              <w:rPr>
                <w:rFonts w:ascii="Calibri" w:cs="Calibri" w:eastAsia="Calibri" w:hAnsi="Calibri"/>
                <w:sz w:val="14"/>
                <w:szCs w:val="14"/>
                <w:color w:val="auto"/>
              </w:rPr>
              <w:t>5,301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55"/>
        </w:trPr>
        <w:tc>
          <w:tcPr>
            <w:tcW w:w="7660" w:type="dxa"/>
            <w:vAlign w:val="bottom"/>
            <w:tcBorders>
              <w:top w:val="single" w:sz="8" w:color="CFF0FC"/>
            </w:tcBorders>
          </w:tcPr>
          <w:p>
            <w:pPr>
              <w:spacing w:after="0" w:line="155" w:lineRule="exact"/>
              <w:rPr>
                <w:sz w:val="20"/>
                <w:szCs w:val="20"/>
                <w:color w:val="auto"/>
              </w:rPr>
            </w:pPr>
            <w:r>
              <w:rPr>
                <w:rFonts w:ascii="Calibri" w:cs="Calibri" w:eastAsia="Calibri" w:hAnsi="Calibri"/>
                <w:sz w:val="14"/>
                <w:szCs w:val="14"/>
                <w:color w:val="auto"/>
              </w:rPr>
              <w:t>Total liabilites</w:t>
            </w:r>
          </w:p>
        </w:tc>
        <w:tc>
          <w:tcPr>
            <w:tcW w:w="10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Calibri" w:cs="Calibri" w:eastAsia="Calibri" w:hAnsi="Calibri"/>
                <w:sz w:val="14"/>
                <w:szCs w:val="14"/>
                <w:color w:val="auto"/>
              </w:rPr>
              <w:t>302,075</w:t>
            </w:r>
          </w:p>
        </w:tc>
        <w:tc>
          <w:tcPr>
            <w:tcW w:w="300" w:type="dxa"/>
            <w:vAlign w:val="bottom"/>
            <w:tcBorders>
              <w:top w:val="single" w:sz="8" w:color="CFF0FC"/>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spacing w:after="0" w:line="155" w:lineRule="exact"/>
              <w:rPr>
                <w:sz w:val="20"/>
                <w:szCs w:val="20"/>
                <w:color w:val="auto"/>
              </w:rPr>
            </w:pPr>
            <w:r>
              <w:rPr>
                <w:rFonts w:ascii="Calibri" w:cs="Calibri" w:eastAsia="Calibri" w:hAnsi="Calibri"/>
                <w:sz w:val="14"/>
                <w:szCs w:val="14"/>
                <w:color w:val="auto"/>
              </w:rPr>
              <w:t>155,744</w:t>
            </w:r>
          </w:p>
        </w:tc>
        <w:tc>
          <w:tcPr>
            <w:tcW w:w="100" w:type="dxa"/>
            <w:vAlign w:val="bottom"/>
            <w:tcBorders>
              <w:top w:val="single" w:sz="8" w:color="CFF0FC"/>
            </w:tcBorders>
          </w:tcPr>
          <w:p>
            <w:pPr>
              <w:spacing w:after="0"/>
              <w:rPr>
                <w:sz w:val="13"/>
                <w:szCs w:val="13"/>
                <w:color w:val="auto"/>
              </w:rPr>
            </w:pPr>
          </w:p>
        </w:tc>
      </w:tr>
      <w:tr>
        <w:trPr>
          <w:trHeight w:val="32"/>
        </w:trPr>
        <w:tc>
          <w:tcPr>
            <w:tcW w:w="7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76"/>
        </w:trPr>
        <w:tc>
          <w:tcPr>
            <w:tcW w:w="7660" w:type="dxa"/>
            <w:vAlign w:val="bottom"/>
            <w:tcBorders>
              <w:bottom w:val="single" w:sz="8" w:color="CFF0FC"/>
            </w:tcBorders>
            <w:shd w:val="clear" w:color="auto" w:fill="CFF0FC"/>
          </w:tcPr>
          <w:p>
            <w:pPr>
              <w:spacing w:after="0" w:line="164" w:lineRule="exact"/>
              <w:rPr>
                <w:sz w:val="20"/>
                <w:szCs w:val="20"/>
                <w:color w:val="auto"/>
              </w:rPr>
            </w:pPr>
            <w:r>
              <w:rPr>
                <w:rFonts w:ascii="Calibri" w:cs="Calibri" w:eastAsia="Calibri" w:hAnsi="Calibri"/>
                <w:sz w:val="14"/>
                <w:szCs w:val="14"/>
                <w:color w:val="auto"/>
              </w:rPr>
              <w:t>Commitments and contngencies (Note 10)</w:t>
            </w:r>
          </w:p>
        </w:tc>
        <w:tc>
          <w:tcPr>
            <w:tcW w:w="104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spacing w:after="0"/>
              <w:rPr>
                <w:sz w:val="15"/>
                <w:szCs w:val="15"/>
                <w:color w:val="auto"/>
              </w:rPr>
            </w:pPr>
          </w:p>
        </w:tc>
        <w:tc>
          <w:tcPr>
            <w:tcW w:w="520" w:type="dxa"/>
            <w:vAlign w:val="bottom"/>
            <w:tcBorders>
              <w:bottom w:val="single" w:sz="8" w:color="CFF0FC"/>
            </w:tcBorders>
            <w:shd w:val="clear" w:color="auto" w:fill="CFF0FC"/>
          </w:tcPr>
          <w:p>
            <w:pPr>
              <w:spacing w:after="0"/>
              <w:rPr>
                <w:sz w:val="15"/>
                <w:szCs w:val="15"/>
                <w:color w:val="auto"/>
              </w:rPr>
            </w:pPr>
          </w:p>
        </w:tc>
        <w:tc>
          <w:tcPr>
            <w:tcW w:w="10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r>
      <w:tr>
        <w:trPr>
          <w:trHeight w:val="164"/>
        </w:trPr>
        <w:tc>
          <w:tcPr>
            <w:tcW w:w="7660" w:type="dxa"/>
            <w:vAlign w:val="bottom"/>
          </w:tcPr>
          <w:p>
            <w:pPr>
              <w:spacing w:after="0" w:line="164" w:lineRule="exact"/>
              <w:rPr>
                <w:sz w:val="20"/>
                <w:szCs w:val="20"/>
                <w:color w:val="auto"/>
              </w:rPr>
            </w:pPr>
            <w:r>
              <w:rPr>
                <w:rFonts w:ascii="Calibri" w:cs="Calibri" w:eastAsia="Calibri" w:hAnsi="Calibri"/>
                <w:sz w:val="14"/>
                <w:szCs w:val="14"/>
                <w:color w:val="auto"/>
              </w:rPr>
              <w:t>Redeemable noncontrolling interest</w:t>
            </w:r>
          </w:p>
        </w:tc>
        <w:tc>
          <w:tcPr>
            <w:tcW w:w="1040" w:type="dxa"/>
            <w:vAlign w:val="bottom"/>
          </w:tcPr>
          <w:p>
            <w:pPr>
              <w:spacing w:after="0"/>
              <w:rPr>
                <w:sz w:val="14"/>
                <w:szCs w:val="14"/>
                <w:color w:val="auto"/>
              </w:rPr>
            </w:pPr>
          </w:p>
        </w:tc>
        <w:tc>
          <w:tcPr>
            <w:tcW w:w="860" w:type="dxa"/>
            <w:vAlign w:val="bottom"/>
            <w:gridSpan w:val="2"/>
          </w:tcPr>
          <w:p>
            <w:pPr>
              <w:jc w:val="right"/>
              <w:ind w:right="300"/>
              <w:spacing w:after="0" w:line="164" w:lineRule="exact"/>
              <w:rPr>
                <w:sz w:val="20"/>
                <w:szCs w:val="20"/>
                <w:color w:val="auto"/>
              </w:rPr>
            </w:pPr>
            <w:r>
              <w:rPr>
                <w:rFonts w:ascii="Calibri" w:cs="Calibri" w:eastAsia="Calibri" w:hAnsi="Calibri"/>
                <w:sz w:val="14"/>
                <w:szCs w:val="14"/>
                <w:color w:val="auto"/>
              </w:rPr>
              <w:t>—</w:t>
            </w:r>
          </w:p>
        </w:tc>
        <w:tc>
          <w:tcPr>
            <w:tcW w:w="520" w:type="dxa"/>
            <w:vAlign w:val="bottom"/>
          </w:tcPr>
          <w:p>
            <w:pPr>
              <w:spacing w:after="0"/>
              <w:rPr>
                <w:sz w:val="14"/>
                <w:szCs w:val="14"/>
                <w:color w:val="auto"/>
              </w:rPr>
            </w:pPr>
          </w:p>
        </w:tc>
        <w:tc>
          <w:tcPr>
            <w:tcW w:w="1080" w:type="dxa"/>
            <w:vAlign w:val="bottom"/>
          </w:tcPr>
          <w:p>
            <w:pPr>
              <w:jc w:val="right"/>
              <w:spacing w:after="0" w:line="164" w:lineRule="exact"/>
              <w:rPr>
                <w:sz w:val="20"/>
                <w:szCs w:val="20"/>
                <w:color w:val="auto"/>
              </w:rPr>
            </w:pPr>
            <w:r>
              <w:rPr>
                <w:rFonts w:ascii="Calibri" w:cs="Calibri" w:eastAsia="Calibri" w:hAnsi="Calibri"/>
                <w:sz w:val="14"/>
                <w:szCs w:val="14"/>
                <w:color w:val="auto"/>
              </w:rPr>
              <w:t>36,749</w:t>
            </w:r>
          </w:p>
        </w:tc>
        <w:tc>
          <w:tcPr>
            <w:tcW w:w="100" w:type="dxa"/>
            <w:vAlign w:val="bottom"/>
          </w:tcPr>
          <w:p>
            <w:pPr>
              <w:spacing w:after="0"/>
              <w:rPr>
                <w:sz w:val="14"/>
                <w:szCs w:val="14"/>
                <w:color w:val="auto"/>
              </w:rPr>
            </w:pPr>
          </w:p>
        </w:tc>
      </w:tr>
      <w:tr>
        <w:trPr>
          <w:trHeight w:val="32"/>
        </w:trPr>
        <w:tc>
          <w:tcPr>
            <w:tcW w:w="7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76"/>
        </w:trPr>
        <w:tc>
          <w:tcPr>
            <w:tcW w:w="7660" w:type="dxa"/>
            <w:vAlign w:val="bottom"/>
            <w:tcBorders>
              <w:bottom w:val="single" w:sz="8" w:color="CFF0FC"/>
            </w:tcBorders>
            <w:shd w:val="clear" w:color="auto" w:fill="CFF0FC"/>
          </w:tcPr>
          <w:p>
            <w:pPr>
              <w:spacing w:after="0" w:line="164" w:lineRule="exact"/>
              <w:rPr>
                <w:sz w:val="20"/>
                <w:szCs w:val="20"/>
                <w:color w:val="auto"/>
              </w:rPr>
            </w:pPr>
            <w:r>
              <w:rPr>
                <w:rFonts w:ascii="Calibri" w:cs="Calibri" w:eastAsia="Calibri" w:hAnsi="Calibri"/>
                <w:sz w:val="14"/>
                <w:szCs w:val="14"/>
                <w:color w:val="auto"/>
              </w:rPr>
              <w:t>Stockholders’ equity:</w:t>
            </w:r>
          </w:p>
        </w:tc>
        <w:tc>
          <w:tcPr>
            <w:tcW w:w="104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spacing w:after="0"/>
              <w:rPr>
                <w:sz w:val="15"/>
                <w:szCs w:val="15"/>
                <w:color w:val="auto"/>
              </w:rPr>
            </w:pPr>
          </w:p>
        </w:tc>
        <w:tc>
          <w:tcPr>
            <w:tcW w:w="520" w:type="dxa"/>
            <w:vAlign w:val="bottom"/>
            <w:tcBorders>
              <w:bottom w:val="single" w:sz="8" w:color="CFF0FC"/>
            </w:tcBorders>
            <w:shd w:val="clear" w:color="auto" w:fill="CFF0FC"/>
          </w:tcPr>
          <w:p>
            <w:pPr>
              <w:spacing w:after="0"/>
              <w:rPr>
                <w:sz w:val="15"/>
                <w:szCs w:val="15"/>
                <w:color w:val="auto"/>
              </w:rPr>
            </w:pPr>
          </w:p>
        </w:tc>
        <w:tc>
          <w:tcPr>
            <w:tcW w:w="10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r>
      <w:tr>
        <w:trPr>
          <w:trHeight w:val="164"/>
        </w:trPr>
        <w:tc>
          <w:tcPr>
            <w:tcW w:w="7660" w:type="dxa"/>
            <w:vAlign w:val="bottom"/>
          </w:tcPr>
          <w:p>
            <w:pPr>
              <w:ind w:left="160"/>
              <w:spacing w:after="0" w:line="164" w:lineRule="exact"/>
              <w:rPr>
                <w:sz w:val="20"/>
                <w:szCs w:val="20"/>
                <w:color w:val="auto"/>
              </w:rPr>
            </w:pPr>
            <w:r>
              <w:rPr>
                <w:rFonts w:ascii="Calibri" w:cs="Calibri" w:eastAsia="Calibri" w:hAnsi="Calibri"/>
                <w:sz w:val="14"/>
                <w:szCs w:val="14"/>
                <w:color w:val="auto"/>
              </w:rPr>
              <w:t>Preferred stock, $0.001 par value per share; 10,000,000 shares authorized;</w:t>
            </w: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7660" w:type="dxa"/>
            <w:vAlign w:val="bottom"/>
          </w:tcPr>
          <w:p>
            <w:pPr>
              <w:ind w:left="260"/>
              <w:spacing w:after="0" w:line="170" w:lineRule="exact"/>
              <w:rPr>
                <w:sz w:val="20"/>
                <w:szCs w:val="20"/>
                <w:color w:val="auto"/>
              </w:rPr>
            </w:pPr>
            <w:r>
              <w:rPr>
                <w:rFonts w:ascii="Calibri" w:cs="Calibri" w:eastAsia="Calibri" w:hAnsi="Calibri"/>
                <w:sz w:val="14"/>
                <w:szCs w:val="14"/>
                <w:color w:val="auto"/>
              </w:rPr>
              <w:t>no shares issued and outstanding</w:t>
            </w:r>
          </w:p>
        </w:tc>
        <w:tc>
          <w:tcPr>
            <w:tcW w:w="1040" w:type="dxa"/>
            <w:vAlign w:val="bottom"/>
          </w:tcPr>
          <w:p>
            <w:pPr>
              <w:spacing w:after="0"/>
              <w:rPr>
                <w:sz w:val="14"/>
                <w:szCs w:val="14"/>
                <w:color w:val="auto"/>
              </w:rPr>
            </w:pPr>
          </w:p>
        </w:tc>
        <w:tc>
          <w:tcPr>
            <w:tcW w:w="860" w:type="dxa"/>
            <w:vAlign w:val="bottom"/>
            <w:gridSpan w:val="2"/>
          </w:tcPr>
          <w:p>
            <w:pPr>
              <w:jc w:val="right"/>
              <w:ind w:right="300"/>
              <w:spacing w:after="0" w:line="170" w:lineRule="exact"/>
              <w:rPr>
                <w:sz w:val="20"/>
                <w:szCs w:val="20"/>
                <w:color w:val="auto"/>
              </w:rPr>
            </w:pPr>
            <w:r>
              <w:rPr>
                <w:rFonts w:ascii="Calibri" w:cs="Calibri" w:eastAsia="Calibri" w:hAnsi="Calibri"/>
                <w:sz w:val="14"/>
                <w:szCs w:val="14"/>
                <w:color w:val="auto"/>
              </w:rPr>
              <w:t>—</w:t>
            </w:r>
          </w:p>
        </w:tc>
        <w:tc>
          <w:tcPr>
            <w:tcW w:w="520" w:type="dxa"/>
            <w:vAlign w:val="bottom"/>
          </w:tcPr>
          <w:p>
            <w:pPr>
              <w:spacing w:after="0"/>
              <w:rPr>
                <w:sz w:val="14"/>
                <w:szCs w:val="14"/>
                <w:color w:val="auto"/>
              </w:rPr>
            </w:pPr>
          </w:p>
        </w:tc>
        <w:tc>
          <w:tcPr>
            <w:tcW w:w="1180" w:type="dxa"/>
            <w:vAlign w:val="bottom"/>
            <w:gridSpan w:val="2"/>
          </w:tcPr>
          <w:p>
            <w:pPr>
              <w:jc w:val="right"/>
              <w:ind w:right="120"/>
              <w:spacing w:after="0" w:line="170" w:lineRule="exact"/>
              <w:rPr>
                <w:sz w:val="20"/>
                <w:szCs w:val="20"/>
                <w:color w:val="auto"/>
              </w:rPr>
            </w:pPr>
            <w:r>
              <w:rPr>
                <w:rFonts w:ascii="Calibri" w:cs="Calibri" w:eastAsia="Calibri" w:hAnsi="Calibri"/>
                <w:sz w:val="14"/>
                <w:szCs w:val="14"/>
                <w:color w:val="auto"/>
              </w:rPr>
              <w:t>—</w:t>
            </w:r>
          </w:p>
        </w:tc>
      </w:tr>
      <w:tr>
        <w:trPr>
          <w:trHeight w:val="35"/>
        </w:trPr>
        <w:tc>
          <w:tcPr>
            <w:tcW w:w="76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164"/>
        </w:trPr>
        <w:tc>
          <w:tcPr>
            <w:tcW w:w="7660" w:type="dxa"/>
            <w:vAlign w:val="bottom"/>
            <w:shd w:val="clear" w:color="auto" w:fill="CFF0FC"/>
          </w:tcPr>
          <w:p>
            <w:pPr>
              <w:ind w:left="160"/>
              <w:spacing w:after="0" w:line="164" w:lineRule="exact"/>
              <w:rPr>
                <w:sz w:val="20"/>
                <w:szCs w:val="20"/>
                <w:color w:val="auto"/>
              </w:rPr>
            </w:pPr>
            <w:r>
              <w:rPr>
                <w:rFonts w:ascii="Calibri" w:cs="Calibri" w:eastAsia="Calibri" w:hAnsi="Calibri"/>
                <w:sz w:val="14"/>
                <w:szCs w:val="14"/>
                <w:color w:val="auto"/>
              </w:rPr>
              <w:t>Class A common stock, $0.001 par value per share; 500,000,000 shares</w:t>
            </w:r>
          </w:p>
        </w:tc>
        <w:tc>
          <w:tcPr>
            <w:tcW w:w="10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0"/>
        </w:trPr>
        <w:tc>
          <w:tcPr>
            <w:tcW w:w="7660" w:type="dxa"/>
            <w:vAlign w:val="bottom"/>
            <w:shd w:val="clear" w:color="auto" w:fill="CFF0FC"/>
          </w:tcPr>
          <w:p>
            <w:pPr>
              <w:ind w:left="260"/>
              <w:spacing w:after="0" w:line="170" w:lineRule="exact"/>
              <w:rPr>
                <w:sz w:val="20"/>
                <w:szCs w:val="20"/>
                <w:color w:val="auto"/>
              </w:rPr>
            </w:pPr>
            <w:r>
              <w:rPr>
                <w:rFonts w:ascii="Calibri" w:cs="Calibri" w:eastAsia="Calibri" w:hAnsi="Calibri"/>
                <w:sz w:val="14"/>
                <w:szCs w:val="14"/>
                <w:color w:val="auto"/>
              </w:rPr>
              <w:t>authorized; 92,175,243 and 101,636,649 shares issued and outstanding at</w:t>
            </w:r>
          </w:p>
        </w:tc>
        <w:tc>
          <w:tcPr>
            <w:tcW w:w="10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8"/>
        </w:trPr>
        <w:tc>
          <w:tcPr>
            <w:tcW w:w="7660" w:type="dxa"/>
            <w:vAlign w:val="bottom"/>
            <w:tcBorders>
              <w:bottom w:val="single" w:sz="8" w:color="CFF0FC"/>
            </w:tcBorders>
            <w:shd w:val="clear" w:color="auto" w:fill="CFF0FC"/>
          </w:tcPr>
          <w:p>
            <w:pPr>
              <w:ind w:left="260"/>
              <w:spacing w:after="0"/>
              <w:rPr>
                <w:sz w:val="20"/>
                <w:szCs w:val="20"/>
                <w:color w:val="auto"/>
              </w:rPr>
            </w:pPr>
            <w:r>
              <w:rPr>
                <w:rFonts w:ascii="Calibri" w:cs="Calibri" w:eastAsia="Calibri" w:hAnsi="Calibri"/>
                <w:sz w:val="14"/>
                <w:szCs w:val="14"/>
                <w:color w:val="auto"/>
              </w:rPr>
              <w:t>December 31, 2023 and 2022, respectvely</w:t>
            </w:r>
          </w:p>
        </w:tc>
        <w:tc>
          <w:tcPr>
            <w:tcW w:w="1040" w:type="dxa"/>
            <w:vAlign w:val="bottom"/>
            <w:tcBorders>
              <w:bottom w:val="single" w:sz="8" w:color="CFF0FC"/>
            </w:tcBorders>
            <w:shd w:val="clear" w:color="auto" w:fill="CFF0FC"/>
          </w:tcPr>
          <w:p>
            <w:pPr>
              <w:spacing w:after="0"/>
              <w:rPr>
                <w:sz w:val="16"/>
                <w:szCs w:val="16"/>
                <w:color w:val="auto"/>
              </w:rPr>
            </w:pPr>
          </w:p>
        </w:tc>
        <w:tc>
          <w:tcPr>
            <w:tcW w:w="56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92</w:t>
            </w:r>
          </w:p>
        </w:tc>
        <w:tc>
          <w:tcPr>
            <w:tcW w:w="300" w:type="dxa"/>
            <w:vAlign w:val="bottom"/>
            <w:tcBorders>
              <w:bottom w:val="single" w:sz="8" w:color="CFF0FC"/>
            </w:tcBorders>
            <w:shd w:val="clear" w:color="auto" w:fill="CFF0FC"/>
          </w:tcPr>
          <w:p>
            <w:pPr>
              <w:spacing w:after="0"/>
              <w:rPr>
                <w:sz w:val="16"/>
                <w:szCs w:val="16"/>
                <w:color w:val="auto"/>
              </w:rPr>
            </w:pPr>
          </w:p>
        </w:tc>
        <w:tc>
          <w:tcPr>
            <w:tcW w:w="520" w:type="dxa"/>
            <w:vAlign w:val="bottom"/>
            <w:tcBorders>
              <w:bottom w:val="single" w:sz="8" w:color="CFF0FC"/>
            </w:tcBorders>
            <w:shd w:val="clear" w:color="auto" w:fill="CFF0FC"/>
          </w:tcPr>
          <w:p>
            <w:pPr>
              <w:spacing w:after="0"/>
              <w:rPr>
                <w:sz w:val="16"/>
                <w:szCs w:val="16"/>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4"/>
                <w:szCs w:val="14"/>
                <w:color w:val="auto"/>
              </w:rPr>
              <w:t>102</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64"/>
        </w:trPr>
        <w:tc>
          <w:tcPr>
            <w:tcW w:w="7660" w:type="dxa"/>
            <w:vAlign w:val="bottom"/>
          </w:tcPr>
          <w:p>
            <w:pPr>
              <w:ind w:left="160"/>
              <w:spacing w:after="0" w:line="164" w:lineRule="exact"/>
              <w:rPr>
                <w:sz w:val="20"/>
                <w:szCs w:val="20"/>
                <w:color w:val="auto"/>
              </w:rPr>
            </w:pPr>
            <w:r>
              <w:rPr>
                <w:rFonts w:ascii="Calibri" w:cs="Calibri" w:eastAsia="Calibri" w:hAnsi="Calibri"/>
                <w:sz w:val="14"/>
                <w:szCs w:val="14"/>
                <w:color w:val="auto"/>
              </w:rPr>
              <w:t>Class B common stock, $0.001 par value per share; 100,000,000 shares</w:t>
            </w: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0"/>
        </w:trPr>
        <w:tc>
          <w:tcPr>
            <w:tcW w:w="7660" w:type="dxa"/>
            <w:vAlign w:val="bottom"/>
          </w:tcPr>
          <w:p>
            <w:pPr>
              <w:ind w:left="260"/>
              <w:spacing w:after="0" w:line="170" w:lineRule="exact"/>
              <w:rPr>
                <w:sz w:val="20"/>
                <w:szCs w:val="20"/>
                <w:color w:val="auto"/>
              </w:rPr>
            </w:pPr>
            <w:r>
              <w:rPr>
                <w:rFonts w:ascii="Calibri" w:cs="Calibri" w:eastAsia="Calibri" w:hAnsi="Calibri"/>
                <w:sz w:val="14"/>
                <w:szCs w:val="14"/>
                <w:color w:val="auto"/>
              </w:rPr>
              <w:t>authorized; 15,999,173 and 15,999,173 shares issued and outstanding at</w:t>
            </w: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3"/>
        </w:trPr>
        <w:tc>
          <w:tcPr>
            <w:tcW w:w="7660" w:type="dxa"/>
            <w:vAlign w:val="bottom"/>
          </w:tcPr>
          <w:p>
            <w:pPr>
              <w:ind w:left="260"/>
              <w:spacing w:after="0"/>
              <w:rPr>
                <w:sz w:val="20"/>
                <w:szCs w:val="20"/>
                <w:color w:val="auto"/>
              </w:rPr>
            </w:pPr>
            <w:r>
              <w:rPr>
                <w:rFonts w:ascii="Calibri" w:cs="Calibri" w:eastAsia="Calibri" w:hAnsi="Calibri"/>
                <w:sz w:val="14"/>
                <w:szCs w:val="14"/>
                <w:color w:val="auto"/>
              </w:rPr>
              <w:t>December 31, 2023 and 2022, respectvely</w:t>
            </w: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alibri" w:cs="Calibri" w:eastAsia="Calibri" w:hAnsi="Calibri"/>
                <w:sz w:val="14"/>
                <w:szCs w:val="14"/>
                <w:color w:val="auto"/>
              </w:rPr>
              <w:t>16</w:t>
            </w: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alibri" w:cs="Calibri" w:eastAsia="Calibri" w:hAnsi="Calibri"/>
                <w:sz w:val="14"/>
                <w:szCs w:val="14"/>
                <w:color w:val="auto"/>
              </w:rPr>
              <w:t>16</w:t>
            </w:r>
          </w:p>
        </w:tc>
        <w:tc>
          <w:tcPr>
            <w:tcW w:w="100" w:type="dxa"/>
            <w:vAlign w:val="bottom"/>
          </w:tcPr>
          <w:p>
            <w:pPr>
              <w:spacing w:after="0"/>
              <w:rPr>
                <w:sz w:val="15"/>
                <w:szCs w:val="15"/>
                <w:color w:val="auto"/>
              </w:rPr>
            </w:pPr>
          </w:p>
        </w:tc>
      </w:tr>
      <w:tr>
        <w:trPr>
          <w:trHeight w:val="35"/>
        </w:trPr>
        <w:tc>
          <w:tcPr>
            <w:tcW w:w="76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176"/>
        </w:trPr>
        <w:tc>
          <w:tcPr>
            <w:tcW w:w="7660" w:type="dxa"/>
            <w:vAlign w:val="bottom"/>
            <w:tcBorders>
              <w:bottom w:val="single" w:sz="8" w:color="CFF0FC"/>
            </w:tcBorders>
            <w:shd w:val="clear" w:color="auto" w:fill="CFF0FC"/>
          </w:tcPr>
          <w:p>
            <w:pPr>
              <w:ind w:left="160"/>
              <w:spacing w:after="0" w:line="164" w:lineRule="exact"/>
              <w:rPr>
                <w:sz w:val="20"/>
                <w:szCs w:val="20"/>
                <w:color w:val="auto"/>
              </w:rPr>
            </w:pPr>
            <w:r>
              <w:rPr>
                <w:rFonts w:ascii="Calibri" w:cs="Calibri" w:eastAsia="Calibri" w:hAnsi="Calibri"/>
                <w:sz w:val="14"/>
                <w:szCs w:val="14"/>
                <w:color w:val="auto"/>
              </w:rPr>
              <w:t>Additonal paid–in capital</w:t>
            </w:r>
          </w:p>
        </w:tc>
        <w:tc>
          <w:tcPr>
            <w:tcW w:w="104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CFF0FC"/>
            </w:tcBorders>
            <w:shd w:val="clear" w:color="auto" w:fill="CFF0FC"/>
          </w:tcPr>
          <w:p>
            <w:pPr>
              <w:jc w:val="right"/>
              <w:spacing w:after="0" w:line="164" w:lineRule="exact"/>
              <w:rPr>
                <w:sz w:val="20"/>
                <w:szCs w:val="20"/>
                <w:color w:val="auto"/>
              </w:rPr>
            </w:pPr>
            <w:r>
              <w:rPr>
                <w:rFonts w:ascii="Calibri" w:cs="Calibri" w:eastAsia="Calibri" w:hAnsi="Calibri"/>
                <w:sz w:val="14"/>
                <w:szCs w:val="14"/>
                <w:color w:val="auto"/>
              </w:rPr>
              <w:t>263,498</w:t>
            </w:r>
          </w:p>
        </w:tc>
        <w:tc>
          <w:tcPr>
            <w:tcW w:w="300" w:type="dxa"/>
            <w:vAlign w:val="bottom"/>
            <w:tcBorders>
              <w:bottom w:val="single" w:sz="8" w:color="CFF0FC"/>
            </w:tcBorders>
            <w:shd w:val="clear" w:color="auto" w:fill="CFF0FC"/>
          </w:tcPr>
          <w:p>
            <w:pPr>
              <w:spacing w:after="0"/>
              <w:rPr>
                <w:sz w:val="15"/>
                <w:szCs w:val="15"/>
                <w:color w:val="auto"/>
              </w:rPr>
            </w:pPr>
          </w:p>
        </w:tc>
        <w:tc>
          <w:tcPr>
            <w:tcW w:w="520" w:type="dxa"/>
            <w:vAlign w:val="bottom"/>
            <w:tcBorders>
              <w:bottom w:val="single" w:sz="8" w:color="CFF0FC"/>
            </w:tcBorders>
            <w:shd w:val="clear" w:color="auto" w:fill="CFF0FC"/>
          </w:tcPr>
          <w:p>
            <w:pPr>
              <w:spacing w:after="0"/>
              <w:rPr>
                <w:sz w:val="15"/>
                <w:szCs w:val="15"/>
                <w:color w:val="auto"/>
              </w:rPr>
            </w:pPr>
          </w:p>
        </w:tc>
        <w:tc>
          <w:tcPr>
            <w:tcW w:w="1080" w:type="dxa"/>
            <w:vAlign w:val="bottom"/>
            <w:tcBorders>
              <w:bottom w:val="single" w:sz="8" w:color="CFF0FC"/>
            </w:tcBorders>
            <w:shd w:val="clear" w:color="auto" w:fill="CFF0FC"/>
          </w:tcPr>
          <w:p>
            <w:pPr>
              <w:jc w:val="right"/>
              <w:spacing w:after="0" w:line="164" w:lineRule="exact"/>
              <w:rPr>
                <w:sz w:val="20"/>
                <w:szCs w:val="20"/>
                <w:color w:val="auto"/>
              </w:rPr>
            </w:pPr>
            <w:r>
              <w:rPr>
                <w:rFonts w:ascii="Calibri" w:cs="Calibri" w:eastAsia="Calibri" w:hAnsi="Calibri"/>
                <w:sz w:val="14"/>
                <w:szCs w:val="14"/>
                <w:color w:val="auto"/>
              </w:rPr>
              <w:t>413,092</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4"/>
        </w:trPr>
        <w:tc>
          <w:tcPr>
            <w:tcW w:w="7660" w:type="dxa"/>
            <w:vAlign w:val="bottom"/>
          </w:tcPr>
          <w:p>
            <w:pPr>
              <w:ind w:left="160"/>
              <w:spacing w:after="0" w:line="164" w:lineRule="exact"/>
              <w:rPr>
                <w:sz w:val="20"/>
                <w:szCs w:val="20"/>
                <w:color w:val="auto"/>
              </w:rPr>
            </w:pPr>
            <w:r>
              <w:rPr>
                <w:rFonts w:ascii="Calibri" w:cs="Calibri" w:eastAsia="Calibri" w:hAnsi="Calibri"/>
                <w:sz w:val="14"/>
                <w:szCs w:val="14"/>
                <w:color w:val="auto"/>
              </w:rPr>
              <w:t>Retained earnings</w:t>
            </w:r>
          </w:p>
        </w:tc>
        <w:tc>
          <w:tcPr>
            <w:tcW w:w="1040" w:type="dxa"/>
            <w:vAlign w:val="bottom"/>
          </w:tcPr>
          <w:p>
            <w:pPr>
              <w:spacing w:after="0"/>
              <w:rPr>
                <w:sz w:val="14"/>
                <w:szCs w:val="14"/>
                <w:color w:val="auto"/>
              </w:rPr>
            </w:pPr>
          </w:p>
        </w:tc>
        <w:tc>
          <w:tcPr>
            <w:tcW w:w="560" w:type="dxa"/>
            <w:vAlign w:val="bottom"/>
          </w:tcPr>
          <w:p>
            <w:pPr>
              <w:jc w:val="right"/>
              <w:spacing w:after="0" w:line="164" w:lineRule="exact"/>
              <w:rPr>
                <w:sz w:val="20"/>
                <w:szCs w:val="20"/>
                <w:color w:val="auto"/>
              </w:rPr>
            </w:pPr>
            <w:r>
              <w:rPr>
                <w:rFonts w:ascii="Calibri" w:cs="Calibri" w:eastAsia="Calibri" w:hAnsi="Calibri"/>
                <w:sz w:val="14"/>
                <w:szCs w:val="14"/>
                <w:color w:val="auto"/>
              </w:rPr>
              <w:t>354,147</w:t>
            </w: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jc w:val="right"/>
              <w:spacing w:after="0" w:line="164" w:lineRule="exact"/>
              <w:rPr>
                <w:sz w:val="20"/>
                <w:szCs w:val="20"/>
                <w:color w:val="auto"/>
              </w:rPr>
            </w:pPr>
            <w:r>
              <w:rPr>
                <w:rFonts w:ascii="Calibri" w:cs="Calibri" w:eastAsia="Calibri" w:hAnsi="Calibri"/>
                <w:sz w:val="14"/>
                <w:szCs w:val="14"/>
                <w:color w:val="auto"/>
              </w:rPr>
              <w:t>323,043</w:t>
            </w:r>
          </w:p>
        </w:tc>
        <w:tc>
          <w:tcPr>
            <w:tcW w:w="100" w:type="dxa"/>
            <w:vAlign w:val="bottom"/>
          </w:tcPr>
          <w:p>
            <w:pPr>
              <w:spacing w:after="0"/>
              <w:rPr>
                <w:sz w:val="14"/>
                <w:szCs w:val="14"/>
                <w:color w:val="auto"/>
              </w:rPr>
            </w:pPr>
          </w:p>
        </w:tc>
      </w:tr>
      <w:tr>
        <w:trPr>
          <w:trHeight w:val="32"/>
        </w:trPr>
        <w:tc>
          <w:tcPr>
            <w:tcW w:w="7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01"/>
        </w:trPr>
        <w:tc>
          <w:tcPr>
            <w:tcW w:w="7660" w:type="dxa"/>
            <w:vAlign w:val="bottom"/>
            <w:tcBorders>
              <w:bottom w:val="single" w:sz="8" w:color="CFF0FC"/>
            </w:tcBorders>
            <w:shd w:val="clear" w:color="auto" w:fill="CFF0FC"/>
          </w:tcPr>
          <w:p>
            <w:pPr>
              <w:ind w:left="160"/>
              <w:spacing w:after="0" w:line="164" w:lineRule="exact"/>
              <w:rPr>
                <w:sz w:val="20"/>
                <w:szCs w:val="20"/>
                <w:color w:val="auto"/>
              </w:rPr>
            </w:pPr>
            <w:r>
              <w:rPr>
                <w:rFonts w:ascii="Calibri" w:cs="Calibri" w:eastAsia="Calibri" w:hAnsi="Calibri"/>
                <w:sz w:val="14"/>
                <w:szCs w:val="14"/>
                <w:color w:val="auto"/>
              </w:rPr>
              <w:t>Accumulated other comprehensive loss</w:t>
            </w:r>
          </w:p>
        </w:tc>
        <w:tc>
          <w:tcPr>
            <w:tcW w:w="104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CFF0FC"/>
            </w:tcBorders>
            <w:gridSpan w:val="2"/>
            <w:shd w:val="clear" w:color="auto" w:fill="CFF0FC"/>
          </w:tcPr>
          <w:p>
            <w:pPr>
              <w:jc w:val="right"/>
              <w:ind w:right="240"/>
              <w:spacing w:after="0" w:line="164" w:lineRule="exact"/>
              <w:rPr>
                <w:sz w:val="20"/>
                <w:szCs w:val="20"/>
                <w:color w:val="auto"/>
              </w:rPr>
            </w:pPr>
            <w:r>
              <w:rPr>
                <w:rFonts w:ascii="Calibri" w:cs="Calibri" w:eastAsia="Calibri" w:hAnsi="Calibri"/>
                <w:sz w:val="14"/>
                <w:szCs w:val="14"/>
                <w:color w:val="auto"/>
              </w:rPr>
              <w:t>(901 )</w:t>
            </w:r>
          </w:p>
        </w:tc>
        <w:tc>
          <w:tcPr>
            <w:tcW w:w="520" w:type="dxa"/>
            <w:vAlign w:val="bottom"/>
            <w:tcBorders>
              <w:bottom w:val="single" w:sz="8" w:color="CFF0FC"/>
            </w:tcBorders>
            <w:shd w:val="clear" w:color="auto" w:fill="CFF0FC"/>
          </w:tcPr>
          <w:p>
            <w:pPr>
              <w:spacing w:after="0"/>
              <w:rPr>
                <w:sz w:val="17"/>
                <w:szCs w:val="17"/>
                <w:color w:val="auto"/>
              </w:rPr>
            </w:pPr>
          </w:p>
        </w:tc>
        <w:tc>
          <w:tcPr>
            <w:tcW w:w="1180" w:type="dxa"/>
            <w:vAlign w:val="bottom"/>
            <w:tcBorders>
              <w:bottom w:val="single" w:sz="8" w:color="CFF0FC"/>
            </w:tcBorders>
            <w:gridSpan w:val="2"/>
            <w:shd w:val="clear" w:color="auto" w:fill="CFF0FC"/>
          </w:tcPr>
          <w:p>
            <w:pPr>
              <w:jc w:val="right"/>
              <w:ind w:right="60"/>
              <w:spacing w:after="0" w:line="164" w:lineRule="exact"/>
              <w:rPr>
                <w:sz w:val="20"/>
                <w:szCs w:val="20"/>
                <w:color w:val="auto"/>
              </w:rPr>
            </w:pPr>
            <w:r>
              <w:rPr>
                <w:rFonts w:ascii="Calibri" w:cs="Calibri" w:eastAsia="Calibri" w:hAnsi="Calibri"/>
                <w:sz w:val="14"/>
                <w:szCs w:val="14"/>
                <w:color w:val="auto"/>
              </w:rPr>
              <w:t>(1,644 )</w:t>
            </w:r>
          </w:p>
        </w:tc>
      </w:tr>
      <w:tr>
        <w:trPr>
          <w:trHeight w:val="155"/>
        </w:trPr>
        <w:tc>
          <w:tcPr>
            <w:tcW w:w="7660" w:type="dxa"/>
            <w:vAlign w:val="bottom"/>
            <w:tcBorders>
              <w:top w:val="single" w:sz="8" w:color="CFF0FC"/>
            </w:tcBorders>
          </w:tcPr>
          <w:p>
            <w:pPr>
              <w:spacing w:after="0" w:line="155" w:lineRule="exact"/>
              <w:rPr>
                <w:sz w:val="20"/>
                <w:szCs w:val="20"/>
                <w:color w:val="auto"/>
              </w:rPr>
            </w:pPr>
            <w:r>
              <w:rPr>
                <w:rFonts w:ascii="Calibri" w:cs="Calibri" w:eastAsia="Calibri" w:hAnsi="Calibri"/>
                <w:sz w:val="14"/>
                <w:szCs w:val="14"/>
                <w:color w:val="auto"/>
              </w:rPr>
              <w:t>Total stockholders’ equity</w:t>
            </w:r>
          </w:p>
        </w:tc>
        <w:tc>
          <w:tcPr>
            <w:tcW w:w="10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Calibri" w:cs="Calibri" w:eastAsia="Calibri" w:hAnsi="Calibri"/>
                <w:sz w:val="14"/>
                <w:szCs w:val="14"/>
                <w:color w:val="auto"/>
              </w:rPr>
              <w:t>616,852</w:t>
            </w:r>
          </w:p>
        </w:tc>
        <w:tc>
          <w:tcPr>
            <w:tcW w:w="300" w:type="dxa"/>
            <w:vAlign w:val="bottom"/>
            <w:tcBorders>
              <w:top w:val="single" w:sz="8" w:color="CFF0FC"/>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spacing w:after="0" w:line="155" w:lineRule="exact"/>
              <w:rPr>
                <w:sz w:val="20"/>
                <w:szCs w:val="20"/>
                <w:color w:val="auto"/>
              </w:rPr>
            </w:pPr>
            <w:r>
              <w:rPr>
                <w:rFonts w:ascii="Calibri" w:cs="Calibri" w:eastAsia="Calibri" w:hAnsi="Calibri"/>
                <w:sz w:val="14"/>
                <w:szCs w:val="14"/>
                <w:color w:val="auto"/>
              </w:rPr>
              <w:t>734,609</w:t>
            </w:r>
          </w:p>
        </w:tc>
        <w:tc>
          <w:tcPr>
            <w:tcW w:w="100" w:type="dxa"/>
            <w:vAlign w:val="bottom"/>
            <w:tcBorders>
              <w:top w:val="single" w:sz="8" w:color="CFF0FC"/>
            </w:tcBorders>
          </w:tcPr>
          <w:p>
            <w:pPr>
              <w:spacing w:after="0"/>
              <w:rPr>
                <w:sz w:val="13"/>
                <w:szCs w:val="13"/>
                <w:color w:val="auto"/>
              </w:rPr>
            </w:pPr>
          </w:p>
        </w:tc>
      </w:tr>
      <w:tr>
        <w:trPr>
          <w:trHeight w:val="32"/>
        </w:trPr>
        <w:tc>
          <w:tcPr>
            <w:tcW w:w="76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2"/>
        </w:trPr>
        <w:tc>
          <w:tcPr>
            <w:tcW w:w="7660" w:type="dxa"/>
            <w:vAlign w:val="bottom"/>
            <w:tcBorders>
              <w:bottom w:val="single" w:sz="8" w:color="CFF0FC"/>
            </w:tcBorders>
            <w:shd w:val="clear" w:color="auto" w:fill="CFF0FC"/>
          </w:tcPr>
          <w:p>
            <w:pPr>
              <w:spacing w:after="0" w:line="155" w:lineRule="exact"/>
              <w:rPr>
                <w:sz w:val="20"/>
                <w:szCs w:val="20"/>
                <w:color w:val="auto"/>
              </w:rPr>
            </w:pPr>
            <w:r>
              <w:rPr>
                <w:rFonts w:ascii="Calibri" w:cs="Calibri" w:eastAsia="Calibri" w:hAnsi="Calibri"/>
                <w:sz w:val="14"/>
                <w:szCs w:val="14"/>
                <w:color w:val="auto"/>
              </w:rPr>
              <w:t>Total liabilites, redeemable noncontrolling interest and stockholders’ equity</w:t>
            </w:r>
          </w:p>
        </w:tc>
        <w:tc>
          <w:tcPr>
            <w:tcW w:w="1040" w:type="dxa"/>
            <w:vAlign w:val="bottom"/>
            <w:tcBorders>
              <w:bottom w:val="single" w:sz="8" w:color="CFF0FC"/>
            </w:tcBorders>
            <w:shd w:val="clear" w:color="auto" w:fill="CFF0FC"/>
          </w:tcPr>
          <w:p>
            <w:pPr>
              <w:jc w:val="right"/>
              <w:ind w:right="891"/>
              <w:spacing w:after="0" w:line="155" w:lineRule="exact"/>
              <w:rPr>
                <w:sz w:val="20"/>
                <w:szCs w:val="20"/>
                <w:color w:val="auto"/>
              </w:rPr>
            </w:pPr>
            <w:r>
              <w:rPr>
                <w:rFonts w:ascii="Calibri" w:cs="Calibri" w:eastAsia="Calibri" w:hAnsi="Calibri"/>
                <w:sz w:val="14"/>
                <w:szCs w:val="14"/>
                <w:color w:val="auto"/>
                <w:w w:val="83"/>
              </w:rPr>
              <w:t>$</w:t>
            </w:r>
          </w:p>
        </w:tc>
        <w:tc>
          <w:tcPr>
            <w:tcW w:w="560" w:type="dxa"/>
            <w:vAlign w:val="bottom"/>
            <w:tcBorders>
              <w:bottom w:val="single" w:sz="8" w:color="CFF0FC"/>
            </w:tcBorders>
            <w:shd w:val="clear" w:color="auto" w:fill="CFF0FC"/>
          </w:tcPr>
          <w:p>
            <w:pPr>
              <w:jc w:val="right"/>
              <w:spacing w:after="0" w:line="155" w:lineRule="exact"/>
              <w:rPr>
                <w:sz w:val="20"/>
                <w:szCs w:val="20"/>
                <w:color w:val="auto"/>
              </w:rPr>
            </w:pPr>
            <w:r>
              <w:rPr>
                <w:rFonts w:ascii="Calibri" w:cs="Calibri" w:eastAsia="Calibri" w:hAnsi="Calibri"/>
                <w:sz w:val="14"/>
                <w:szCs w:val="14"/>
                <w:color w:val="auto"/>
              </w:rPr>
              <w:t>918,927</w:t>
            </w:r>
          </w:p>
        </w:tc>
        <w:tc>
          <w:tcPr>
            <w:tcW w:w="30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CFF0FC"/>
            </w:tcBorders>
            <w:shd w:val="clear" w:color="auto" w:fill="CFF0FC"/>
          </w:tcPr>
          <w:p>
            <w:pPr>
              <w:jc w:val="right"/>
              <w:ind w:right="371"/>
              <w:spacing w:after="0" w:line="155" w:lineRule="exact"/>
              <w:rPr>
                <w:sz w:val="20"/>
                <w:szCs w:val="20"/>
                <w:color w:val="auto"/>
              </w:rPr>
            </w:pPr>
            <w:r>
              <w:rPr>
                <w:rFonts w:ascii="Calibri" w:cs="Calibri" w:eastAsia="Calibri" w:hAnsi="Calibri"/>
                <w:sz w:val="14"/>
                <w:szCs w:val="14"/>
                <w:color w:val="auto"/>
                <w:w w:val="83"/>
              </w:rPr>
              <w:t>$</w:t>
            </w:r>
          </w:p>
        </w:tc>
        <w:tc>
          <w:tcPr>
            <w:tcW w:w="1080" w:type="dxa"/>
            <w:vAlign w:val="bottom"/>
            <w:tcBorders>
              <w:bottom w:val="single" w:sz="8" w:color="CFF0FC"/>
            </w:tcBorders>
            <w:shd w:val="clear" w:color="auto" w:fill="CFF0FC"/>
          </w:tcPr>
          <w:p>
            <w:pPr>
              <w:jc w:val="right"/>
              <w:spacing w:after="0" w:line="155" w:lineRule="exact"/>
              <w:rPr>
                <w:sz w:val="20"/>
                <w:szCs w:val="20"/>
                <w:color w:val="auto"/>
              </w:rPr>
            </w:pPr>
            <w:r>
              <w:rPr>
                <w:rFonts w:ascii="Calibri" w:cs="Calibri" w:eastAsia="Calibri" w:hAnsi="Calibri"/>
                <w:sz w:val="14"/>
                <w:szCs w:val="14"/>
                <w:color w:val="auto"/>
              </w:rPr>
              <w:t>927,102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766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5883275</wp:posOffset>
            </wp:positionH>
            <wp:positionV relativeFrom="paragraph">
              <wp:posOffset>-4609465</wp:posOffset>
            </wp:positionV>
            <wp:extent cx="73025" cy="7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3025" cy="7620"/>
                    </a:xfrm>
                    <a:prstGeom prst="rect">
                      <a:avLst/>
                    </a:prstGeom>
                    <a:noFill/>
                  </pic:spPr>
                </pic:pic>
              </a:graphicData>
            </a:graphic>
          </wp:anchor>
        </w:drawing>
        <w:drawing>
          <wp:anchor simplePos="0" relativeHeight="251657728" behindDoc="1" locked="0" layoutInCell="0" allowOverlap="1">
            <wp:simplePos x="0" y="0"/>
            <wp:positionH relativeFrom="column">
              <wp:posOffset>7081520</wp:posOffset>
            </wp:positionH>
            <wp:positionV relativeFrom="paragraph">
              <wp:posOffset>-4609465</wp:posOffset>
            </wp:positionV>
            <wp:extent cx="66040"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5883275</wp:posOffset>
            </wp:positionH>
            <wp:positionV relativeFrom="paragraph">
              <wp:posOffset>-3352800</wp:posOffset>
            </wp:positionV>
            <wp:extent cx="73025" cy="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3025" cy="7620"/>
                    </a:xfrm>
                    <a:prstGeom prst="rect">
                      <a:avLst/>
                    </a:prstGeom>
                    <a:noFill/>
                  </pic:spPr>
                </pic:pic>
              </a:graphicData>
            </a:graphic>
          </wp:anchor>
        </w:drawing>
        <w:drawing>
          <wp:anchor simplePos="0" relativeHeight="251657728" behindDoc="1" locked="0" layoutInCell="0" allowOverlap="1">
            <wp:simplePos x="0" y="0"/>
            <wp:positionH relativeFrom="column">
              <wp:posOffset>5883275</wp:posOffset>
            </wp:positionH>
            <wp:positionV relativeFrom="paragraph">
              <wp:posOffset>-3338195</wp:posOffset>
            </wp:positionV>
            <wp:extent cx="73025" cy="7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3025" cy="7620"/>
                    </a:xfrm>
                    <a:prstGeom prst="rect">
                      <a:avLst/>
                    </a:prstGeom>
                    <a:noFill/>
                  </pic:spPr>
                </pic:pic>
              </a:graphicData>
            </a:graphic>
          </wp:anchor>
        </w:drawing>
        <w:drawing>
          <wp:anchor simplePos="0" relativeHeight="251657728" behindDoc="1" locked="0" layoutInCell="0" allowOverlap="1">
            <wp:simplePos x="0" y="0"/>
            <wp:positionH relativeFrom="column">
              <wp:posOffset>7081520</wp:posOffset>
            </wp:positionH>
            <wp:positionV relativeFrom="paragraph">
              <wp:posOffset>-3352800</wp:posOffset>
            </wp:positionV>
            <wp:extent cx="66040"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7081520</wp:posOffset>
            </wp:positionH>
            <wp:positionV relativeFrom="paragraph">
              <wp:posOffset>-3338195</wp:posOffset>
            </wp:positionV>
            <wp:extent cx="66040" cy="7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5883275</wp:posOffset>
            </wp:positionH>
            <wp:positionV relativeFrom="paragraph">
              <wp:posOffset>-2585720</wp:posOffset>
            </wp:positionV>
            <wp:extent cx="73025" cy="76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3025" cy="7620"/>
                    </a:xfrm>
                    <a:prstGeom prst="rect">
                      <a:avLst/>
                    </a:prstGeom>
                    <a:noFill/>
                  </pic:spPr>
                </pic:pic>
              </a:graphicData>
            </a:graphic>
          </wp:anchor>
        </w:drawing>
        <w:drawing>
          <wp:anchor simplePos="0" relativeHeight="251657728" behindDoc="1" locked="0" layoutInCell="0" allowOverlap="1">
            <wp:simplePos x="0" y="0"/>
            <wp:positionH relativeFrom="column">
              <wp:posOffset>7081520</wp:posOffset>
            </wp:positionH>
            <wp:positionV relativeFrom="paragraph">
              <wp:posOffset>-2585720</wp:posOffset>
            </wp:positionV>
            <wp:extent cx="66040" cy="76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5883275</wp:posOffset>
            </wp:positionH>
            <wp:positionV relativeFrom="paragraph">
              <wp:posOffset>-2081530</wp:posOffset>
            </wp:positionV>
            <wp:extent cx="73025" cy="76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3025" cy="7620"/>
                    </a:xfrm>
                    <a:prstGeom prst="rect">
                      <a:avLst/>
                    </a:prstGeom>
                    <a:noFill/>
                  </pic:spPr>
                </pic:pic>
              </a:graphicData>
            </a:graphic>
          </wp:anchor>
        </w:drawing>
        <w:drawing>
          <wp:anchor simplePos="0" relativeHeight="251657728" behindDoc="1" locked="0" layoutInCell="0" allowOverlap="1">
            <wp:simplePos x="0" y="0"/>
            <wp:positionH relativeFrom="column">
              <wp:posOffset>7081520</wp:posOffset>
            </wp:positionH>
            <wp:positionV relativeFrom="paragraph">
              <wp:posOffset>-2081530</wp:posOffset>
            </wp:positionV>
            <wp:extent cx="66040" cy="7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5883275</wp:posOffset>
            </wp:positionH>
            <wp:positionV relativeFrom="paragraph">
              <wp:posOffset>-284480</wp:posOffset>
            </wp:positionV>
            <wp:extent cx="73025" cy="76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3025" cy="7620"/>
                    </a:xfrm>
                    <a:prstGeom prst="rect">
                      <a:avLst/>
                    </a:prstGeom>
                    <a:noFill/>
                  </pic:spPr>
                </pic:pic>
              </a:graphicData>
            </a:graphic>
          </wp:anchor>
        </w:drawing>
        <w:drawing>
          <wp:anchor simplePos="0" relativeHeight="251657728" behindDoc="1" locked="0" layoutInCell="0" allowOverlap="1">
            <wp:simplePos x="0" y="0"/>
            <wp:positionH relativeFrom="column">
              <wp:posOffset>7081520</wp:posOffset>
            </wp:positionH>
            <wp:positionV relativeFrom="paragraph">
              <wp:posOffset>-284480</wp:posOffset>
            </wp:positionV>
            <wp:extent cx="66040" cy="76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5883275</wp:posOffset>
            </wp:positionH>
            <wp:positionV relativeFrom="paragraph">
              <wp:posOffset>-21590</wp:posOffset>
            </wp:positionV>
            <wp:extent cx="73025" cy="76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3025" cy="7620"/>
                    </a:xfrm>
                    <a:prstGeom prst="rect">
                      <a:avLst/>
                    </a:prstGeom>
                    <a:noFill/>
                  </pic:spPr>
                </pic:pic>
              </a:graphicData>
            </a:graphic>
          </wp:anchor>
        </w:drawing>
        <w:drawing>
          <wp:anchor simplePos="0" relativeHeight="251657728" behindDoc="1" locked="0" layoutInCell="0" allowOverlap="1">
            <wp:simplePos x="0" y="0"/>
            <wp:positionH relativeFrom="column">
              <wp:posOffset>5883275</wp:posOffset>
            </wp:positionH>
            <wp:positionV relativeFrom="paragraph">
              <wp:posOffset>-6985</wp:posOffset>
            </wp:positionV>
            <wp:extent cx="73025" cy="76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3025" cy="7620"/>
                    </a:xfrm>
                    <a:prstGeom prst="rect">
                      <a:avLst/>
                    </a:prstGeom>
                    <a:noFill/>
                  </pic:spPr>
                </pic:pic>
              </a:graphicData>
            </a:graphic>
          </wp:anchor>
        </w:drawing>
        <w:drawing>
          <wp:anchor simplePos="0" relativeHeight="251657728" behindDoc="1" locked="0" layoutInCell="0" allowOverlap="1">
            <wp:simplePos x="0" y="0"/>
            <wp:positionH relativeFrom="column">
              <wp:posOffset>7081520</wp:posOffset>
            </wp:positionH>
            <wp:positionV relativeFrom="paragraph">
              <wp:posOffset>-21590</wp:posOffset>
            </wp:positionV>
            <wp:extent cx="66040" cy="76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7081520</wp:posOffset>
            </wp:positionH>
            <wp:positionV relativeFrom="paragraph">
              <wp:posOffset>-6985</wp:posOffset>
            </wp:positionV>
            <wp:extent cx="66040" cy="76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6040" cy="7620"/>
                    </a:xfrm>
                    <a:prstGeom prst="rect">
                      <a:avLst/>
                    </a:prstGeom>
                    <a:noFill/>
                  </pic:spPr>
                </pic:pic>
              </a:graphicData>
            </a:graphic>
          </wp:anchor>
        </w:drawing>
      </w:r>
    </w:p>
    <w:p>
      <w:pPr>
        <w:spacing w:after="0" w:line="131" w:lineRule="exact"/>
        <w:rPr>
          <w:sz w:val="20"/>
          <w:szCs w:val="20"/>
          <w:color w:val="auto"/>
        </w:rPr>
      </w:pPr>
    </w:p>
    <w:p>
      <w:pPr>
        <w:jc w:val="center"/>
        <w:ind w:right="20"/>
        <w:spacing w:after="0"/>
        <w:rPr>
          <w:sz w:val="20"/>
          <w:szCs w:val="20"/>
          <w:color w:val="auto"/>
        </w:rPr>
      </w:pPr>
      <w:r>
        <w:rPr>
          <w:rFonts w:ascii="Calibri" w:cs="Calibri" w:eastAsia="Calibri" w:hAnsi="Calibri"/>
          <w:sz w:val="14"/>
          <w:szCs w:val="14"/>
          <w:color w:val="auto"/>
        </w:rPr>
        <w:t>The accompanying notes are an integral part of these consolidated fnancial statements.</w:t>
      </w:r>
    </w:p>
    <w:p>
      <w:pPr>
        <w:spacing w:after="0" w:line="189" w:lineRule="exact"/>
        <w:rPr>
          <w:sz w:val="20"/>
          <w:szCs w:val="20"/>
          <w:color w:val="auto"/>
        </w:rPr>
      </w:pPr>
    </w:p>
    <w:p>
      <w:pPr>
        <w:jc w:val="center"/>
        <w:spacing w:after="0"/>
        <w:rPr>
          <w:sz w:val="20"/>
          <w:szCs w:val="20"/>
          <w:color w:val="auto"/>
        </w:rPr>
      </w:pPr>
      <w:r>
        <w:rPr>
          <w:rFonts w:ascii="Calibri" w:cs="Calibri" w:eastAsia="Calibri" w:hAnsi="Calibri"/>
          <w:sz w:val="15"/>
          <w:szCs w:val="15"/>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408940</wp:posOffset>
            </wp:positionV>
            <wp:extent cx="7178040" cy="400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946" w:right="319" w:bottom="1440" w:gutter="0" w:footer="0" w:header="0"/>
        </w:sectPr>
      </w:pPr>
    </w:p>
    <w:bookmarkStart w:id="82" w:name="page83"/>
    <w:bookmarkEnd w:id="82"/>
    <w:p>
      <w:pPr>
        <w:jc w:val="center"/>
        <w:ind w:right="-7"/>
        <w:spacing w:after="0"/>
        <w:rPr>
          <w:sz w:val="20"/>
          <w:szCs w:val="20"/>
          <w:color w:val="auto"/>
        </w:rPr>
      </w:pPr>
      <w:r>
        <w:rPr>
          <w:rFonts w:ascii="Calibri" w:cs="Calibri" w:eastAsia="Calibri" w:hAnsi="Calibri"/>
          <w:sz w:val="15"/>
          <w:szCs w:val="15"/>
          <w:b w:val="1"/>
          <w:bCs w:val="1"/>
          <w:color w:val="auto"/>
        </w:rPr>
        <w:t>CarGurus, Inc.</w:t>
      </w:r>
    </w:p>
    <w:p>
      <w:pPr>
        <w:spacing w:after="0" w:line="185" w:lineRule="exact"/>
        <w:rPr>
          <w:sz w:val="20"/>
          <w:szCs w:val="20"/>
          <w:color w:val="auto"/>
        </w:rPr>
      </w:pPr>
    </w:p>
    <w:p>
      <w:pPr>
        <w:jc w:val="center"/>
        <w:ind w:right="-7"/>
        <w:spacing w:after="0"/>
        <w:rPr>
          <w:sz w:val="20"/>
          <w:szCs w:val="20"/>
          <w:color w:val="auto"/>
        </w:rPr>
      </w:pPr>
      <w:r>
        <w:rPr>
          <w:rFonts w:ascii="Calibri" w:cs="Calibri" w:eastAsia="Calibri" w:hAnsi="Calibri"/>
          <w:sz w:val="15"/>
          <w:szCs w:val="15"/>
          <w:b w:val="1"/>
          <w:bCs w:val="1"/>
          <w:color w:val="auto"/>
        </w:rPr>
        <w:t>Consolidated Income Statements</w:t>
      </w:r>
    </w:p>
    <w:p>
      <w:pPr>
        <w:spacing w:after="0" w:line="185" w:lineRule="exact"/>
        <w:rPr>
          <w:sz w:val="20"/>
          <w:szCs w:val="20"/>
          <w:color w:val="auto"/>
        </w:rPr>
      </w:pPr>
    </w:p>
    <w:p>
      <w:pPr>
        <w:jc w:val="center"/>
        <w:ind w:right="-7"/>
        <w:spacing w:after="0"/>
        <w:rPr>
          <w:sz w:val="20"/>
          <w:szCs w:val="20"/>
          <w:color w:val="auto"/>
        </w:rPr>
      </w:pPr>
      <w:r>
        <w:rPr>
          <w:rFonts w:ascii="Calibri" w:cs="Calibri" w:eastAsia="Calibri" w:hAnsi="Calibri"/>
          <w:sz w:val="15"/>
          <w:szCs w:val="15"/>
          <w:b w:val="1"/>
          <w:bCs w:val="1"/>
          <w:color w:val="auto"/>
        </w:rPr>
        <w:t>(in thousands, except share and per share data)</w:t>
      </w:r>
    </w:p>
    <w:p>
      <w:pPr>
        <w:spacing w:after="0" w:line="202" w:lineRule="exact"/>
        <w:rPr>
          <w:sz w:val="20"/>
          <w:szCs w:val="20"/>
          <w:color w:val="auto"/>
        </w:rPr>
      </w:pPr>
    </w:p>
    <w:tbl>
      <w:tblPr>
        <w:tblLayout w:type="fixed"/>
        <w:tblInd w:w="8" w:type="dxa"/>
        <w:tblCellMar>
          <w:top w:w="0" w:type="dxa"/>
          <w:left w:w="0" w:type="dxa"/>
          <w:bottom w:w="0" w:type="dxa"/>
          <w:right w:w="0" w:type="dxa"/>
        </w:tblCellMar>
      </w:tblPr>
      <w:tr>
        <w:trPr>
          <w:trHeight w:val="146"/>
        </w:trPr>
        <w:tc>
          <w:tcPr>
            <w:tcW w:w="6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5"/>
          </w:tcPr>
          <w:p>
            <w:pPr>
              <w:ind w:left="180"/>
              <w:spacing w:after="0"/>
              <w:rPr>
                <w:sz w:val="20"/>
                <w:szCs w:val="20"/>
                <w:color w:val="auto"/>
              </w:rPr>
            </w:pPr>
            <w:r>
              <w:rPr>
                <w:rFonts w:ascii="Calibri" w:cs="Calibri" w:eastAsia="Calibri" w:hAnsi="Calibri"/>
                <w:sz w:val="12"/>
                <w:szCs w:val="12"/>
                <w:b w:val="1"/>
                <w:bCs w:val="1"/>
                <w:color w:val="auto"/>
              </w:rPr>
              <w:t>Year Ended December 31,</w:t>
            </w: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8"/>
        </w:trPr>
        <w:tc>
          <w:tcPr>
            <w:tcW w:w="6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37"/>
        </w:trPr>
        <w:tc>
          <w:tcPr>
            <w:tcW w:w="6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jc w:val="right"/>
              <w:ind w:right="464"/>
              <w:spacing w:after="0" w:line="138" w:lineRule="exact"/>
              <w:rPr>
                <w:sz w:val="20"/>
                <w:szCs w:val="20"/>
                <w:color w:val="auto"/>
              </w:rPr>
            </w:pPr>
            <w:r>
              <w:rPr>
                <w:rFonts w:ascii="Calibri" w:cs="Calibri" w:eastAsia="Calibri" w:hAnsi="Calibri"/>
                <w:sz w:val="12"/>
                <w:szCs w:val="12"/>
                <w:b w:val="1"/>
                <w:bCs w:val="1"/>
                <w:color w:val="auto"/>
              </w:rPr>
              <w:t>2023</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jc w:val="right"/>
              <w:ind w:right="464"/>
              <w:spacing w:after="0" w:line="138" w:lineRule="exact"/>
              <w:rPr>
                <w:sz w:val="20"/>
                <w:szCs w:val="20"/>
                <w:color w:val="auto"/>
              </w:rPr>
            </w:pPr>
            <w:r>
              <w:rPr>
                <w:rFonts w:ascii="Calibri" w:cs="Calibri" w:eastAsia="Calibri" w:hAnsi="Calibri"/>
                <w:sz w:val="12"/>
                <w:szCs w:val="12"/>
                <w:b w:val="1"/>
                <w:bCs w:val="1"/>
                <w:color w:val="auto"/>
              </w:rPr>
              <w:t>2022</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jc w:val="right"/>
              <w:ind w:right="464"/>
              <w:spacing w:after="0" w:line="138" w:lineRule="exact"/>
              <w:rPr>
                <w:sz w:val="20"/>
                <w:szCs w:val="20"/>
                <w:color w:val="auto"/>
              </w:rPr>
            </w:pPr>
            <w:r>
              <w:rPr>
                <w:rFonts w:ascii="Calibri" w:cs="Calibri" w:eastAsia="Calibri" w:hAnsi="Calibri"/>
                <w:sz w:val="12"/>
                <w:szCs w:val="12"/>
                <w:b w:val="1"/>
                <w:bCs w:val="1"/>
                <w:color w:val="auto"/>
              </w:rPr>
              <w:t>2021</w:t>
            </w:r>
          </w:p>
        </w:tc>
        <w:tc>
          <w:tcPr>
            <w:tcW w:w="100" w:type="dxa"/>
            <w:vAlign w:val="bottom"/>
          </w:tcPr>
          <w:p>
            <w:pPr>
              <w:spacing w:after="0"/>
              <w:rPr>
                <w:sz w:val="11"/>
                <w:szCs w:val="11"/>
                <w:color w:val="auto"/>
              </w:rPr>
            </w:pPr>
          </w:p>
        </w:tc>
      </w:tr>
      <w:tr>
        <w:trPr>
          <w:trHeight w:val="27"/>
        </w:trPr>
        <w:tc>
          <w:tcPr>
            <w:tcW w:w="6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79"/>
        </w:trPr>
        <w:tc>
          <w:tcPr>
            <w:tcW w:w="6620" w:type="dxa"/>
            <w:vAlign w:val="bottom"/>
            <w:tcBorders>
              <w:bottom w:val="single" w:sz="8" w:color="CFF0FC"/>
            </w:tcBorders>
            <w:shd w:val="clear" w:color="auto" w:fill="CFF0FC"/>
          </w:tcPr>
          <w:p>
            <w:pPr>
              <w:spacing w:after="0" w:line="174" w:lineRule="exact"/>
              <w:rPr>
                <w:sz w:val="20"/>
                <w:szCs w:val="20"/>
                <w:color w:val="auto"/>
              </w:rPr>
            </w:pPr>
            <w:r>
              <w:rPr>
                <w:rFonts w:ascii="Calibri" w:cs="Calibri" w:eastAsia="Calibri" w:hAnsi="Calibri"/>
                <w:sz w:val="15"/>
                <w:szCs w:val="15"/>
                <w:color w:val="auto"/>
              </w:rPr>
              <w:t>Revenue</w:t>
            </w:r>
          </w:p>
        </w:tc>
        <w:tc>
          <w:tcPr>
            <w:tcW w:w="32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r>
      <w:tr>
        <w:trPr>
          <w:trHeight w:val="183"/>
        </w:trPr>
        <w:tc>
          <w:tcPr>
            <w:tcW w:w="6620" w:type="dxa"/>
            <w:vAlign w:val="bottom"/>
          </w:tcPr>
          <w:p>
            <w:pPr>
              <w:ind w:left="160"/>
              <w:spacing w:after="0"/>
              <w:rPr>
                <w:sz w:val="20"/>
                <w:szCs w:val="20"/>
                <w:color w:val="auto"/>
              </w:rPr>
            </w:pPr>
            <w:r>
              <w:rPr>
                <w:rFonts w:ascii="Calibri" w:cs="Calibri" w:eastAsia="Calibri" w:hAnsi="Calibri"/>
                <w:sz w:val="15"/>
                <w:szCs w:val="15"/>
                <w:color w:val="auto"/>
              </w:rPr>
              <w:t>Marketplace</w:t>
            </w:r>
          </w:p>
        </w:tc>
        <w:tc>
          <w:tcPr>
            <w:tcW w:w="320" w:type="dxa"/>
            <w:vAlign w:val="bottom"/>
          </w:tcPr>
          <w:p>
            <w:pPr>
              <w:jc w:val="right"/>
              <w:ind w:right="163"/>
              <w:spacing w:after="0"/>
              <w:rPr>
                <w:sz w:val="20"/>
                <w:szCs w:val="20"/>
                <w:color w:val="auto"/>
              </w:rPr>
            </w:pPr>
            <w:r>
              <w:rPr>
                <w:rFonts w:ascii="Calibri" w:cs="Calibri" w:eastAsia="Calibri" w:hAnsi="Calibri"/>
                <w:sz w:val="15"/>
                <w:szCs w:val="15"/>
                <w:color w:val="auto"/>
                <w:w w:val="78"/>
              </w:rPr>
              <w:t>$</w:t>
            </w:r>
          </w:p>
        </w:tc>
        <w:tc>
          <w:tcPr>
            <w:tcW w:w="1020" w:type="dxa"/>
            <w:vAlign w:val="bottom"/>
          </w:tcPr>
          <w:p>
            <w:pPr>
              <w:jc w:val="right"/>
              <w:spacing w:after="0"/>
              <w:rPr>
                <w:sz w:val="20"/>
                <w:szCs w:val="20"/>
                <w:color w:val="auto"/>
              </w:rPr>
            </w:pPr>
            <w:r>
              <w:rPr>
                <w:rFonts w:ascii="Calibri" w:cs="Calibri" w:eastAsia="Calibri" w:hAnsi="Calibri"/>
                <w:sz w:val="15"/>
                <w:szCs w:val="15"/>
                <w:color w:val="auto"/>
              </w:rPr>
              <w:t>698,236</w:t>
            </w:r>
          </w:p>
        </w:tc>
        <w:tc>
          <w:tcPr>
            <w:tcW w:w="100" w:type="dxa"/>
            <w:vAlign w:val="bottom"/>
          </w:tcPr>
          <w:p>
            <w:pPr>
              <w:spacing w:after="0"/>
              <w:rPr>
                <w:sz w:val="15"/>
                <w:szCs w:val="15"/>
                <w:color w:val="auto"/>
              </w:rPr>
            </w:pPr>
          </w:p>
        </w:tc>
        <w:tc>
          <w:tcPr>
            <w:tcW w:w="500" w:type="dxa"/>
            <w:vAlign w:val="bottom"/>
            <w:gridSpan w:val="2"/>
          </w:tcPr>
          <w:p>
            <w:pPr>
              <w:ind w:left="200"/>
              <w:spacing w:after="0"/>
              <w:rPr>
                <w:sz w:val="20"/>
                <w:szCs w:val="20"/>
                <w:color w:val="auto"/>
              </w:rPr>
            </w:pPr>
            <w:r>
              <w:rPr>
                <w:rFonts w:ascii="Calibri" w:cs="Calibri" w:eastAsia="Calibri" w:hAnsi="Calibri"/>
                <w:sz w:val="15"/>
                <w:szCs w:val="15"/>
                <w:color w:val="auto"/>
              </w:rPr>
              <w:t>$</w:t>
            </w:r>
          </w:p>
        </w:tc>
        <w:tc>
          <w:tcPr>
            <w:tcW w:w="1020" w:type="dxa"/>
            <w:vAlign w:val="bottom"/>
          </w:tcPr>
          <w:p>
            <w:pPr>
              <w:jc w:val="right"/>
              <w:spacing w:after="0"/>
              <w:rPr>
                <w:sz w:val="20"/>
                <w:szCs w:val="20"/>
                <w:color w:val="auto"/>
              </w:rPr>
            </w:pPr>
            <w:r>
              <w:rPr>
                <w:rFonts w:ascii="Calibri" w:cs="Calibri" w:eastAsia="Calibri" w:hAnsi="Calibri"/>
                <w:sz w:val="15"/>
                <w:szCs w:val="15"/>
                <w:color w:val="auto"/>
              </w:rPr>
              <w:t>658,771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jc w:val="right"/>
              <w:ind w:right="143"/>
              <w:spacing w:after="0"/>
              <w:rPr>
                <w:sz w:val="20"/>
                <w:szCs w:val="20"/>
                <w:color w:val="auto"/>
              </w:rPr>
            </w:pPr>
            <w:r>
              <w:rPr>
                <w:rFonts w:ascii="Calibri" w:cs="Calibri" w:eastAsia="Calibri" w:hAnsi="Calibri"/>
                <w:sz w:val="15"/>
                <w:szCs w:val="15"/>
                <w:color w:val="auto"/>
              </w:rPr>
              <w:t>$</w:t>
            </w:r>
          </w:p>
        </w:tc>
        <w:tc>
          <w:tcPr>
            <w:tcW w:w="1000" w:type="dxa"/>
            <w:vAlign w:val="bottom"/>
          </w:tcPr>
          <w:p>
            <w:pPr>
              <w:jc w:val="right"/>
              <w:spacing w:after="0"/>
              <w:rPr>
                <w:sz w:val="20"/>
                <w:szCs w:val="20"/>
                <w:color w:val="auto"/>
              </w:rPr>
            </w:pPr>
            <w:r>
              <w:rPr>
                <w:rFonts w:ascii="Calibri" w:cs="Calibri" w:eastAsia="Calibri" w:hAnsi="Calibri"/>
                <w:sz w:val="15"/>
                <w:szCs w:val="15"/>
                <w:color w:val="auto"/>
              </w:rPr>
              <w:t>636,942</w:t>
            </w:r>
          </w:p>
        </w:tc>
        <w:tc>
          <w:tcPr>
            <w:tcW w:w="100" w:type="dxa"/>
            <w:vAlign w:val="bottom"/>
          </w:tcPr>
          <w:p>
            <w:pPr>
              <w:spacing w:after="0"/>
              <w:rPr>
                <w:sz w:val="15"/>
                <w:szCs w:val="15"/>
                <w:color w:val="auto"/>
              </w:rPr>
            </w:pPr>
          </w:p>
        </w:tc>
      </w:tr>
      <w:tr>
        <w:trPr>
          <w:trHeight w:val="24"/>
        </w:trPr>
        <w:tc>
          <w:tcPr>
            <w:tcW w:w="6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7"/>
        </w:trPr>
        <w:tc>
          <w:tcPr>
            <w:tcW w:w="6620" w:type="dxa"/>
            <w:vAlign w:val="bottom"/>
            <w:tcBorders>
              <w:bottom w:val="single" w:sz="8" w:color="CFF0FC"/>
            </w:tcBorders>
            <w:shd w:val="clear" w:color="auto" w:fill="CFF0FC"/>
          </w:tcPr>
          <w:p>
            <w:pPr>
              <w:ind w:left="160"/>
              <w:spacing w:after="0"/>
              <w:rPr>
                <w:sz w:val="20"/>
                <w:szCs w:val="20"/>
                <w:color w:val="auto"/>
              </w:rPr>
            </w:pPr>
            <w:r>
              <w:rPr>
                <w:rFonts w:ascii="Calibri" w:cs="Calibri" w:eastAsia="Calibri" w:hAnsi="Calibri"/>
                <w:sz w:val="15"/>
                <w:szCs w:val="15"/>
                <w:color w:val="auto"/>
              </w:rPr>
              <w:t>Wholesale</w:t>
            </w:r>
          </w:p>
        </w:tc>
        <w:tc>
          <w:tcPr>
            <w:tcW w:w="320" w:type="dxa"/>
            <w:vAlign w:val="bottom"/>
            <w:tcBorders>
              <w:bottom w:val="single" w:sz="8" w:color="CFF0FC"/>
            </w:tcBorders>
            <w:shd w:val="clear" w:color="auto" w:fill="CFF0FC"/>
          </w:tcPr>
          <w:p>
            <w:pPr>
              <w:spacing w:after="0"/>
              <w:rPr>
                <w:sz w:val="16"/>
                <w:szCs w:val="16"/>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100,908</w:t>
            </w:r>
          </w:p>
        </w:tc>
        <w:tc>
          <w:tcPr>
            <w:tcW w:w="10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CFF0FC"/>
            </w:tcBorders>
            <w:shd w:val="clear" w:color="auto" w:fill="CFF0FC"/>
          </w:tcPr>
          <w:p>
            <w:pPr>
              <w:spacing w:after="0"/>
              <w:rPr>
                <w:sz w:val="16"/>
                <w:szCs w:val="16"/>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237,635</w:t>
            </w:r>
          </w:p>
        </w:tc>
        <w:tc>
          <w:tcPr>
            <w:tcW w:w="1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CFF0FC"/>
            </w:tcBorders>
            <w:shd w:val="clear" w:color="auto" w:fill="CFF0FC"/>
          </w:tcPr>
          <w:p>
            <w:pPr>
              <w:spacing w:after="0"/>
              <w:rPr>
                <w:sz w:val="16"/>
                <w:szCs w:val="16"/>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195,127</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6620" w:type="dxa"/>
            <w:vAlign w:val="bottom"/>
          </w:tcPr>
          <w:p>
            <w:pPr>
              <w:ind w:left="160"/>
              <w:spacing w:after="0"/>
              <w:rPr>
                <w:sz w:val="20"/>
                <w:szCs w:val="20"/>
                <w:color w:val="auto"/>
              </w:rPr>
            </w:pPr>
            <w:r>
              <w:rPr>
                <w:rFonts w:ascii="Calibri" w:cs="Calibri" w:eastAsia="Calibri" w:hAnsi="Calibri"/>
                <w:sz w:val="15"/>
                <w:szCs w:val="15"/>
                <w:color w:val="auto"/>
              </w:rPr>
              <w:t>Product</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alibri" w:cs="Calibri" w:eastAsia="Calibri" w:hAnsi="Calibri"/>
                <w:sz w:val="15"/>
                <w:szCs w:val="15"/>
                <w:color w:val="auto"/>
              </w:rPr>
              <w:t>115,098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alibri" w:cs="Calibri" w:eastAsia="Calibri" w:hAnsi="Calibri"/>
                <w:sz w:val="15"/>
                <w:szCs w:val="15"/>
                <w:color w:val="auto"/>
              </w:rPr>
              <w:t>758,629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alibri" w:cs="Calibri" w:eastAsia="Calibri" w:hAnsi="Calibri"/>
                <w:sz w:val="15"/>
                <w:szCs w:val="15"/>
                <w:color w:val="auto"/>
              </w:rPr>
              <w:t>119,304</w:t>
            </w:r>
          </w:p>
        </w:tc>
        <w:tc>
          <w:tcPr>
            <w:tcW w:w="100" w:type="dxa"/>
            <w:vAlign w:val="bottom"/>
          </w:tcPr>
          <w:p>
            <w:pPr>
              <w:spacing w:after="0"/>
              <w:rPr>
                <w:sz w:val="15"/>
                <w:szCs w:val="15"/>
                <w:color w:val="auto"/>
              </w:rPr>
            </w:pPr>
          </w:p>
        </w:tc>
      </w:tr>
      <w:tr>
        <w:trPr>
          <w:trHeight w:val="24"/>
        </w:trPr>
        <w:tc>
          <w:tcPr>
            <w:tcW w:w="6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79"/>
        </w:trPr>
        <w:tc>
          <w:tcPr>
            <w:tcW w:w="6620" w:type="dxa"/>
            <w:vAlign w:val="bottom"/>
            <w:tcBorders>
              <w:bottom w:val="single" w:sz="8" w:color="CFF0FC"/>
            </w:tcBorders>
            <w:shd w:val="clear" w:color="auto" w:fill="CFF0FC"/>
          </w:tcPr>
          <w:p>
            <w:pPr>
              <w:ind w:left="320"/>
              <w:spacing w:after="0" w:line="174" w:lineRule="exact"/>
              <w:rPr>
                <w:sz w:val="20"/>
                <w:szCs w:val="20"/>
                <w:color w:val="auto"/>
              </w:rPr>
            </w:pPr>
            <w:r>
              <w:rPr>
                <w:rFonts w:ascii="Calibri" w:cs="Calibri" w:eastAsia="Calibri" w:hAnsi="Calibri"/>
                <w:sz w:val="15"/>
                <w:szCs w:val="15"/>
                <w:color w:val="auto"/>
              </w:rPr>
              <w:t>Total revenue</w:t>
            </w:r>
          </w:p>
        </w:tc>
        <w:tc>
          <w:tcPr>
            <w:tcW w:w="32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bottom w:val="single" w:sz="8" w:color="CFF0FC"/>
            </w:tcBorders>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914,242</w:t>
            </w:r>
          </w:p>
        </w:tc>
        <w:tc>
          <w:tcPr>
            <w:tcW w:w="1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bottom w:val="single" w:sz="8" w:color="CFF0FC"/>
            </w:tcBorders>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1,655,035</w:t>
            </w: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951,373</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207"/>
        </w:trPr>
        <w:tc>
          <w:tcPr>
            <w:tcW w:w="6620" w:type="dxa"/>
            <w:vAlign w:val="bottom"/>
          </w:tcPr>
          <w:p>
            <w:pPr>
              <w:spacing w:after="0" w:line="207" w:lineRule="exact"/>
              <w:rPr>
                <w:sz w:val="20"/>
                <w:szCs w:val="20"/>
                <w:color w:val="auto"/>
              </w:rPr>
            </w:pPr>
            <w:r>
              <w:rPr>
                <w:rFonts w:ascii="Calibri" w:cs="Calibri" w:eastAsia="Calibri" w:hAnsi="Calibri"/>
                <w:sz w:val="15"/>
                <w:szCs w:val="15"/>
                <w:color w:val="auto"/>
              </w:rPr>
              <w:t>Cost of revenue</w:t>
            </w:r>
            <w:r>
              <w:rPr>
                <w:rFonts w:ascii="Calibri" w:cs="Calibri" w:eastAsia="Calibri" w:hAnsi="Calibri"/>
                <w:sz w:val="20"/>
                <w:szCs w:val="20"/>
                <w:color w:val="auto"/>
                <w:vertAlign w:val="superscript"/>
              </w:rPr>
              <w:t>(1)</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7"/>
        </w:trPr>
        <w:tc>
          <w:tcPr>
            <w:tcW w:w="6620" w:type="dxa"/>
            <w:vAlign w:val="bottom"/>
            <w:tcBorders>
              <w:bottom w:val="single" w:sz="8" w:color="CFF0FC"/>
            </w:tcBorders>
            <w:shd w:val="clear" w:color="auto" w:fill="CFF0FC"/>
          </w:tcPr>
          <w:p>
            <w:pPr>
              <w:ind w:left="160"/>
              <w:spacing w:after="0"/>
              <w:rPr>
                <w:sz w:val="20"/>
                <w:szCs w:val="20"/>
                <w:color w:val="auto"/>
              </w:rPr>
            </w:pPr>
            <w:r>
              <w:rPr>
                <w:rFonts w:ascii="Calibri" w:cs="Calibri" w:eastAsia="Calibri" w:hAnsi="Calibri"/>
                <w:sz w:val="15"/>
                <w:szCs w:val="15"/>
                <w:color w:val="auto"/>
              </w:rPr>
              <w:t>Marketplace</w:t>
            </w:r>
          </w:p>
        </w:tc>
        <w:tc>
          <w:tcPr>
            <w:tcW w:w="320" w:type="dxa"/>
            <w:vAlign w:val="bottom"/>
            <w:tcBorders>
              <w:bottom w:val="single" w:sz="8" w:color="CFF0FC"/>
            </w:tcBorders>
            <w:shd w:val="clear" w:color="auto" w:fill="CFF0FC"/>
          </w:tcPr>
          <w:p>
            <w:pPr>
              <w:spacing w:after="0"/>
              <w:rPr>
                <w:sz w:val="16"/>
                <w:szCs w:val="16"/>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60,020</w:t>
            </w:r>
          </w:p>
        </w:tc>
        <w:tc>
          <w:tcPr>
            <w:tcW w:w="10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CFF0FC"/>
            </w:tcBorders>
            <w:shd w:val="clear" w:color="auto" w:fill="CFF0FC"/>
          </w:tcPr>
          <w:p>
            <w:pPr>
              <w:spacing w:after="0"/>
              <w:rPr>
                <w:sz w:val="16"/>
                <w:szCs w:val="16"/>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56,040</w:t>
            </w:r>
          </w:p>
        </w:tc>
        <w:tc>
          <w:tcPr>
            <w:tcW w:w="1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CFF0FC"/>
            </w:tcBorders>
            <w:shd w:val="clear" w:color="auto" w:fill="CFF0FC"/>
          </w:tcPr>
          <w:p>
            <w:pPr>
              <w:spacing w:after="0"/>
              <w:rPr>
                <w:sz w:val="16"/>
                <w:szCs w:val="16"/>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47,689</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6620" w:type="dxa"/>
            <w:vAlign w:val="bottom"/>
          </w:tcPr>
          <w:p>
            <w:pPr>
              <w:ind w:left="160"/>
              <w:spacing w:after="0"/>
              <w:rPr>
                <w:sz w:val="20"/>
                <w:szCs w:val="20"/>
                <w:color w:val="auto"/>
              </w:rPr>
            </w:pPr>
            <w:r>
              <w:rPr>
                <w:rFonts w:ascii="Calibri" w:cs="Calibri" w:eastAsia="Calibri" w:hAnsi="Calibri"/>
                <w:sz w:val="15"/>
                <w:szCs w:val="15"/>
                <w:color w:val="auto"/>
              </w:rPr>
              <w:t>Wholesale</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alibri" w:cs="Calibri" w:eastAsia="Calibri" w:hAnsi="Calibri"/>
                <w:sz w:val="15"/>
                <w:szCs w:val="15"/>
                <w:color w:val="auto"/>
              </w:rPr>
              <w:t>90,066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alibri" w:cs="Calibri" w:eastAsia="Calibri" w:hAnsi="Calibri"/>
                <w:sz w:val="15"/>
                <w:szCs w:val="15"/>
                <w:color w:val="auto"/>
              </w:rPr>
              <w:t>176,446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alibri" w:cs="Calibri" w:eastAsia="Calibri" w:hAnsi="Calibri"/>
                <w:sz w:val="15"/>
                <w:szCs w:val="15"/>
                <w:color w:val="auto"/>
              </w:rPr>
              <w:t>127,679</w:t>
            </w:r>
          </w:p>
        </w:tc>
        <w:tc>
          <w:tcPr>
            <w:tcW w:w="100" w:type="dxa"/>
            <w:vAlign w:val="bottom"/>
          </w:tcPr>
          <w:p>
            <w:pPr>
              <w:spacing w:after="0"/>
              <w:rPr>
                <w:sz w:val="15"/>
                <w:szCs w:val="15"/>
                <w:color w:val="auto"/>
              </w:rPr>
            </w:pPr>
          </w:p>
        </w:tc>
      </w:tr>
      <w:tr>
        <w:trPr>
          <w:trHeight w:val="24"/>
        </w:trPr>
        <w:tc>
          <w:tcPr>
            <w:tcW w:w="6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2"/>
        </w:trPr>
        <w:tc>
          <w:tcPr>
            <w:tcW w:w="6620" w:type="dxa"/>
            <w:vAlign w:val="bottom"/>
            <w:tcBorders>
              <w:bottom w:val="single" w:sz="8" w:color="CFF0FC"/>
            </w:tcBorders>
            <w:shd w:val="clear" w:color="auto" w:fill="CFF0FC"/>
          </w:tcPr>
          <w:p>
            <w:pPr>
              <w:ind w:left="160"/>
              <w:spacing w:after="0"/>
              <w:rPr>
                <w:sz w:val="20"/>
                <w:szCs w:val="20"/>
                <w:color w:val="auto"/>
              </w:rPr>
            </w:pPr>
            <w:r>
              <w:rPr>
                <w:rFonts w:ascii="Calibri" w:cs="Calibri" w:eastAsia="Calibri" w:hAnsi="Calibri"/>
                <w:sz w:val="15"/>
                <w:szCs w:val="15"/>
                <w:color w:val="auto"/>
              </w:rPr>
              <w:t>Product</w:t>
            </w:r>
          </w:p>
        </w:tc>
        <w:tc>
          <w:tcPr>
            <w:tcW w:w="3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112,702</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764,996</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118,647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75"/>
        </w:trPr>
        <w:tc>
          <w:tcPr>
            <w:tcW w:w="6620" w:type="dxa"/>
            <w:vAlign w:val="bottom"/>
            <w:tcBorders>
              <w:top w:val="single" w:sz="8" w:color="CFF0FC"/>
            </w:tcBorders>
          </w:tcPr>
          <w:p>
            <w:pPr>
              <w:ind w:left="320"/>
              <w:spacing w:after="0" w:line="174" w:lineRule="exact"/>
              <w:rPr>
                <w:sz w:val="20"/>
                <w:szCs w:val="20"/>
                <w:color w:val="auto"/>
              </w:rPr>
            </w:pPr>
            <w:r>
              <w:rPr>
                <w:rFonts w:ascii="Calibri" w:cs="Calibri" w:eastAsia="Calibri" w:hAnsi="Calibri"/>
                <w:sz w:val="15"/>
                <w:szCs w:val="15"/>
                <w:color w:val="auto"/>
              </w:rPr>
              <w:t>Total cost of revenue</w:t>
            </w:r>
          </w:p>
        </w:tc>
        <w:tc>
          <w:tcPr>
            <w:tcW w:w="3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line="174" w:lineRule="exact"/>
              <w:rPr>
                <w:sz w:val="20"/>
                <w:szCs w:val="20"/>
                <w:color w:val="auto"/>
              </w:rPr>
            </w:pPr>
            <w:r>
              <w:rPr>
                <w:rFonts w:ascii="Calibri" w:cs="Calibri" w:eastAsia="Calibri" w:hAnsi="Calibri"/>
                <w:sz w:val="15"/>
                <w:szCs w:val="15"/>
                <w:color w:val="auto"/>
              </w:rPr>
              <w:t>262,788</w:t>
            </w:r>
          </w:p>
        </w:tc>
        <w:tc>
          <w:tcPr>
            <w:tcW w:w="10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line="174" w:lineRule="exact"/>
              <w:rPr>
                <w:sz w:val="20"/>
                <w:szCs w:val="20"/>
                <w:color w:val="auto"/>
              </w:rPr>
            </w:pPr>
            <w:r>
              <w:rPr>
                <w:rFonts w:ascii="Calibri" w:cs="Calibri" w:eastAsia="Calibri" w:hAnsi="Calibri"/>
                <w:sz w:val="15"/>
                <w:szCs w:val="15"/>
                <w:color w:val="auto"/>
              </w:rPr>
              <w:t>997,482</w:t>
            </w:r>
          </w:p>
        </w:tc>
        <w:tc>
          <w:tcPr>
            <w:tcW w:w="10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line="174" w:lineRule="exact"/>
              <w:rPr>
                <w:sz w:val="20"/>
                <w:szCs w:val="20"/>
                <w:color w:val="auto"/>
              </w:rPr>
            </w:pPr>
            <w:r>
              <w:rPr>
                <w:rFonts w:ascii="Calibri" w:cs="Calibri" w:eastAsia="Calibri" w:hAnsi="Calibri"/>
                <w:sz w:val="15"/>
                <w:szCs w:val="15"/>
                <w:color w:val="auto"/>
              </w:rPr>
              <w:t>294,015</w:t>
            </w:r>
          </w:p>
        </w:tc>
        <w:tc>
          <w:tcPr>
            <w:tcW w:w="100" w:type="dxa"/>
            <w:vAlign w:val="bottom"/>
            <w:tcBorders>
              <w:top w:val="single" w:sz="8" w:color="CFF0FC"/>
            </w:tcBorders>
          </w:tcPr>
          <w:p>
            <w:pPr>
              <w:spacing w:after="0"/>
              <w:rPr>
                <w:sz w:val="15"/>
                <w:szCs w:val="15"/>
                <w:color w:val="auto"/>
              </w:rPr>
            </w:pPr>
          </w:p>
        </w:tc>
      </w:tr>
      <w:tr>
        <w:trPr>
          <w:trHeight w:val="24"/>
        </w:trPr>
        <w:tc>
          <w:tcPr>
            <w:tcW w:w="6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7"/>
        </w:trPr>
        <w:tc>
          <w:tcPr>
            <w:tcW w:w="662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5"/>
                <w:szCs w:val="15"/>
                <w:color w:val="auto"/>
              </w:rPr>
              <w:t>Gross proft</w:t>
            </w:r>
          </w:p>
        </w:tc>
        <w:tc>
          <w:tcPr>
            <w:tcW w:w="320" w:type="dxa"/>
            <w:vAlign w:val="bottom"/>
            <w:tcBorders>
              <w:bottom w:val="single" w:sz="8" w:color="CFF0FC"/>
            </w:tcBorders>
            <w:shd w:val="clear" w:color="auto" w:fill="CFF0FC"/>
          </w:tcPr>
          <w:p>
            <w:pPr>
              <w:spacing w:after="0"/>
              <w:rPr>
                <w:sz w:val="16"/>
                <w:szCs w:val="16"/>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651,454</w:t>
            </w:r>
          </w:p>
        </w:tc>
        <w:tc>
          <w:tcPr>
            <w:tcW w:w="10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CFF0FC"/>
            </w:tcBorders>
            <w:shd w:val="clear" w:color="auto" w:fill="CFF0FC"/>
          </w:tcPr>
          <w:p>
            <w:pPr>
              <w:spacing w:after="0"/>
              <w:rPr>
                <w:sz w:val="16"/>
                <w:szCs w:val="16"/>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657,553</w:t>
            </w:r>
          </w:p>
        </w:tc>
        <w:tc>
          <w:tcPr>
            <w:tcW w:w="1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CFF0FC"/>
            </w:tcBorders>
            <w:shd w:val="clear" w:color="auto" w:fill="CFF0FC"/>
          </w:tcPr>
          <w:p>
            <w:pPr>
              <w:spacing w:after="0"/>
              <w:rPr>
                <w:sz w:val="16"/>
                <w:szCs w:val="16"/>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657,358</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6620" w:type="dxa"/>
            <w:vAlign w:val="bottom"/>
          </w:tcPr>
          <w:p>
            <w:pPr>
              <w:spacing w:after="0"/>
              <w:rPr>
                <w:sz w:val="20"/>
                <w:szCs w:val="20"/>
                <w:color w:val="auto"/>
              </w:rPr>
            </w:pPr>
            <w:r>
              <w:rPr>
                <w:rFonts w:ascii="Calibri" w:cs="Calibri" w:eastAsia="Calibri" w:hAnsi="Calibri"/>
                <w:sz w:val="15"/>
                <w:szCs w:val="15"/>
                <w:color w:val="auto"/>
              </w:rPr>
              <w:t>Operatng expenses:</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
        </w:trPr>
        <w:tc>
          <w:tcPr>
            <w:tcW w:w="6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7"/>
        </w:trPr>
        <w:tc>
          <w:tcPr>
            <w:tcW w:w="6620" w:type="dxa"/>
            <w:vAlign w:val="bottom"/>
            <w:tcBorders>
              <w:bottom w:val="single" w:sz="8" w:color="CFF0FC"/>
            </w:tcBorders>
            <w:shd w:val="clear" w:color="auto" w:fill="CFF0FC"/>
          </w:tcPr>
          <w:p>
            <w:pPr>
              <w:ind w:left="160"/>
              <w:spacing w:after="0"/>
              <w:rPr>
                <w:sz w:val="20"/>
                <w:szCs w:val="20"/>
                <w:color w:val="auto"/>
              </w:rPr>
            </w:pPr>
            <w:r>
              <w:rPr>
                <w:rFonts w:ascii="Calibri" w:cs="Calibri" w:eastAsia="Calibri" w:hAnsi="Calibri"/>
                <w:sz w:val="15"/>
                <w:szCs w:val="15"/>
                <w:color w:val="auto"/>
              </w:rPr>
              <w:t>Sales and marketng</w:t>
            </w:r>
          </w:p>
        </w:tc>
        <w:tc>
          <w:tcPr>
            <w:tcW w:w="320" w:type="dxa"/>
            <w:vAlign w:val="bottom"/>
            <w:tcBorders>
              <w:bottom w:val="single" w:sz="8" w:color="CFF0FC"/>
            </w:tcBorders>
            <w:shd w:val="clear" w:color="auto" w:fill="CFF0FC"/>
          </w:tcPr>
          <w:p>
            <w:pPr>
              <w:spacing w:after="0"/>
              <w:rPr>
                <w:sz w:val="16"/>
                <w:szCs w:val="16"/>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304,070</w:t>
            </w:r>
          </w:p>
        </w:tc>
        <w:tc>
          <w:tcPr>
            <w:tcW w:w="10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CFF0FC"/>
            </w:tcBorders>
            <w:shd w:val="clear" w:color="auto" w:fill="CFF0FC"/>
          </w:tcPr>
          <w:p>
            <w:pPr>
              <w:spacing w:after="0"/>
              <w:rPr>
                <w:sz w:val="16"/>
                <w:szCs w:val="16"/>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336,708</w:t>
            </w:r>
          </w:p>
        </w:tc>
        <w:tc>
          <w:tcPr>
            <w:tcW w:w="1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CFF0FC"/>
            </w:tcBorders>
            <w:shd w:val="clear" w:color="auto" w:fill="CFF0FC"/>
          </w:tcPr>
          <w:p>
            <w:pPr>
              <w:spacing w:after="0"/>
              <w:rPr>
                <w:sz w:val="16"/>
                <w:szCs w:val="16"/>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290,574</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6620" w:type="dxa"/>
            <w:vAlign w:val="bottom"/>
          </w:tcPr>
          <w:p>
            <w:pPr>
              <w:ind w:left="160"/>
              <w:spacing w:after="0"/>
              <w:rPr>
                <w:sz w:val="20"/>
                <w:szCs w:val="20"/>
                <w:color w:val="auto"/>
              </w:rPr>
            </w:pPr>
            <w:r>
              <w:rPr>
                <w:rFonts w:ascii="Calibri" w:cs="Calibri" w:eastAsia="Calibri" w:hAnsi="Calibri"/>
                <w:sz w:val="15"/>
                <w:szCs w:val="15"/>
                <w:color w:val="auto"/>
              </w:rPr>
              <w:t>Product, technology, and development</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alibri" w:cs="Calibri" w:eastAsia="Calibri" w:hAnsi="Calibri"/>
                <w:sz w:val="15"/>
                <w:szCs w:val="15"/>
                <w:color w:val="auto"/>
              </w:rPr>
              <w:t>146,169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alibri" w:cs="Calibri" w:eastAsia="Calibri" w:hAnsi="Calibri"/>
                <w:sz w:val="15"/>
                <w:szCs w:val="15"/>
                <w:color w:val="auto"/>
              </w:rPr>
              <w:t>123,768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alibri" w:cs="Calibri" w:eastAsia="Calibri" w:hAnsi="Calibri"/>
                <w:sz w:val="15"/>
                <w:szCs w:val="15"/>
                <w:color w:val="auto"/>
              </w:rPr>
              <w:t>106,423</w:t>
            </w:r>
          </w:p>
        </w:tc>
        <w:tc>
          <w:tcPr>
            <w:tcW w:w="100" w:type="dxa"/>
            <w:vAlign w:val="bottom"/>
          </w:tcPr>
          <w:p>
            <w:pPr>
              <w:spacing w:after="0"/>
              <w:rPr>
                <w:sz w:val="15"/>
                <w:szCs w:val="15"/>
                <w:color w:val="auto"/>
              </w:rPr>
            </w:pPr>
          </w:p>
        </w:tc>
      </w:tr>
      <w:tr>
        <w:trPr>
          <w:trHeight w:val="24"/>
        </w:trPr>
        <w:tc>
          <w:tcPr>
            <w:tcW w:w="6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7"/>
        </w:trPr>
        <w:tc>
          <w:tcPr>
            <w:tcW w:w="6620" w:type="dxa"/>
            <w:vAlign w:val="bottom"/>
            <w:tcBorders>
              <w:bottom w:val="single" w:sz="8" w:color="CFF0FC"/>
            </w:tcBorders>
            <w:shd w:val="clear" w:color="auto" w:fill="CFF0FC"/>
          </w:tcPr>
          <w:p>
            <w:pPr>
              <w:ind w:left="160"/>
              <w:spacing w:after="0"/>
              <w:rPr>
                <w:sz w:val="20"/>
                <w:szCs w:val="20"/>
                <w:color w:val="auto"/>
              </w:rPr>
            </w:pPr>
            <w:r>
              <w:rPr>
                <w:rFonts w:ascii="Calibri" w:cs="Calibri" w:eastAsia="Calibri" w:hAnsi="Calibri"/>
                <w:sz w:val="15"/>
                <w:szCs w:val="15"/>
                <w:color w:val="auto"/>
              </w:rPr>
              <w:t>General and administratve</w:t>
            </w:r>
          </w:p>
        </w:tc>
        <w:tc>
          <w:tcPr>
            <w:tcW w:w="320" w:type="dxa"/>
            <w:vAlign w:val="bottom"/>
            <w:tcBorders>
              <w:bottom w:val="single" w:sz="8" w:color="CFF0FC"/>
            </w:tcBorders>
            <w:shd w:val="clear" w:color="auto" w:fill="CFF0FC"/>
          </w:tcPr>
          <w:p>
            <w:pPr>
              <w:spacing w:after="0"/>
              <w:rPr>
                <w:sz w:val="16"/>
                <w:szCs w:val="16"/>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152,757</w:t>
            </w:r>
          </w:p>
        </w:tc>
        <w:tc>
          <w:tcPr>
            <w:tcW w:w="10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CFF0FC"/>
            </w:tcBorders>
            <w:shd w:val="clear" w:color="auto" w:fill="CFF0FC"/>
          </w:tcPr>
          <w:p>
            <w:pPr>
              <w:spacing w:after="0"/>
              <w:rPr>
                <w:sz w:val="16"/>
                <w:szCs w:val="16"/>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73,117</w:t>
            </w:r>
          </w:p>
        </w:tc>
        <w:tc>
          <w:tcPr>
            <w:tcW w:w="1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CFF0FC"/>
            </w:tcBorders>
            <w:shd w:val="clear" w:color="auto" w:fill="CFF0FC"/>
          </w:tcPr>
          <w:p>
            <w:pPr>
              <w:spacing w:after="0"/>
              <w:rPr>
                <w:sz w:val="16"/>
                <w:szCs w:val="16"/>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97,678</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6620" w:type="dxa"/>
            <w:vAlign w:val="bottom"/>
          </w:tcPr>
          <w:p>
            <w:pPr>
              <w:ind w:left="160"/>
              <w:spacing w:after="0"/>
              <w:rPr>
                <w:sz w:val="20"/>
                <w:szCs w:val="20"/>
                <w:color w:val="auto"/>
              </w:rPr>
            </w:pPr>
            <w:r>
              <w:rPr>
                <w:rFonts w:ascii="Calibri" w:cs="Calibri" w:eastAsia="Calibri" w:hAnsi="Calibri"/>
                <w:sz w:val="15"/>
                <w:szCs w:val="15"/>
                <w:color w:val="auto"/>
              </w:rPr>
              <w:t>Depreciaton and amortzaton</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alibri" w:cs="Calibri" w:eastAsia="Calibri" w:hAnsi="Calibri"/>
                <w:sz w:val="15"/>
                <w:szCs w:val="15"/>
                <w:color w:val="auto"/>
              </w:rPr>
              <w:t>15,831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alibri" w:cs="Calibri" w:eastAsia="Calibri" w:hAnsi="Calibri"/>
                <w:sz w:val="15"/>
                <w:szCs w:val="15"/>
                <w:color w:val="auto"/>
              </w:rPr>
              <w:t>15,482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alibri" w:cs="Calibri" w:eastAsia="Calibri" w:hAnsi="Calibri"/>
                <w:sz w:val="15"/>
                <w:szCs w:val="15"/>
                <w:color w:val="auto"/>
              </w:rPr>
              <w:t>14,415</w:t>
            </w:r>
          </w:p>
        </w:tc>
        <w:tc>
          <w:tcPr>
            <w:tcW w:w="100" w:type="dxa"/>
            <w:vAlign w:val="bottom"/>
          </w:tcPr>
          <w:p>
            <w:pPr>
              <w:spacing w:after="0"/>
              <w:rPr>
                <w:sz w:val="15"/>
                <w:szCs w:val="15"/>
                <w:color w:val="auto"/>
              </w:rPr>
            </w:pPr>
          </w:p>
        </w:tc>
      </w:tr>
      <w:tr>
        <w:trPr>
          <w:trHeight w:val="24"/>
        </w:trPr>
        <w:tc>
          <w:tcPr>
            <w:tcW w:w="6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4"/>
        </w:trPr>
        <w:tc>
          <w:tcPr>
            <w:tcW w:w="6620" w:type="dxa"/>
            <w:vAlign w:val="bottom"/>
            <w:tcBorders>
              <w:bottom w:val="single" w:sz="8" w:color="CFF0FC"/>
            </w:tcBorders>
            <w:shd w:val="clear" w:color="auto" w:fill="CFF0FC"/>
          </w:tcPr>
          <w:p>
            <w:pPr>
              <w:ind w:left="320"/>
              <w:spacing w:after="0" w:line="174" w:lineRule="exact"/>
              <w:rPr>
                <w:sz w:val="20"/>
                <w:szCs w:val="20"/>
                <w:color w:val="auto"/>
              </w:rPr>
            </w:pPr>
            <w:r>
              <w:rPr>
                <w:rFonts w:ascii="Calibri" w:cs="Calibri" w:eastAsia="Calibri" w:hAnsi="Calibri"/>
                <w:sz w:val="15"/>
                <w:szCs w:val="15"/>
                <w:color w:val="auto"/>
              </w:rPr>
              <w:t>Total operatng expenses</w:t>
            </w:r>
          </w:p>
        </w:tc>
        <w:tc>
          <w:tcPr>
            <w:tcW w:w="32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618,827</w:t>
            </w: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549,075</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509,090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75"/>
        </w:trPr>
        <w:tc>
          <w:tcPr>
            <w:tcW w:w="6620" w:type="dxa"/>
            <w:vAlign w:val="bottom"/>
            <w:tcBorders>
              <w:top w:val="single" w:sz="8" w:color="CFF0FC"/>
            </w:tcBorders>
          </w:tcPr>
          <w:p>
            <w:pPr>
              <w:spacing w:after="0" w:line="174" w:lineRule="exact"/>
              <w:rPr>
                <w:sz w:val="20"/>
                <w:szCs w:val="20"/>
                <w:color w:val="auto"/>
              </w:rPr>
            </w:pPr>
            <w:r>
              <w:rPr>
                <w:rFonts w:ascii="Calibri" w:cs="Calibri" w:eastAsia="Calibri" w:hAnsi="Calibri"/>
                <w:sz w:val="15"/>
                <w:szCs w:val="15"/>
                <w:color w:val="auto"/>
              </w:rPr>
              <w:t>Income from operatons</w:t>
            </w:r>
          </w:p>
        </w:tc>
        <w:tc>
          <w:tcPr>
            <w:tcW w:w="3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line="174" w:lineRule="exact"/>
              <w:rPr>
                <w:sz w:val="20"/>
                <w:szCs w:val="20"/>
                <w:color w:val="auto"/>
              </w:rPr>
            </w:pPr>
            <w:r>
              <w:rPr>
                <w:rFonts w:ascii="Calibri" w:cs="Calibri" w:eastAsia="Calibri" w:hAnsi="Calibri"/>
                <w:sz w:val="15"/>
                <w:szCs w:val="15"/>
                <w:color w:val="auto"/>
              </w:rPr>
              <w:t>32,627</w:t>
            </w:r>
          </w:p>
        </w:tc>
        <w:tc>
          <w:tcPr>
            <w:tcW w:w="100" w:type="dxa"/>
            <w:vAlign w:val="bottom"/>
            <w:tcBorders>
              <w:top w:val="single" w:sz="8" w:color="CFF0FC"/>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line="174" w:lineRule="exact"/>
              <w:rPr>
                <w:sz w:val="20"/>
                <w:szCs w:val="20"/>
                <w:color w:val="auto"/>
              </w:rPr>
            </w:pPr>
            <w:r>
              <w:rPr>
                <w:rFonts w:ascii="Calibri" w:cs="Calibri" w:eastAsia="Calibri" w:hAnsi="Calibri"/>
                <w:sz w:val="15"/>
                <w:szCs w:val="15"/>
                <w:color w:val="auto"/>
              </w:rPr>
              <w:t>108,478</w:t>
            </w:r>
          </w:p>
        </w:tc>
        <w:tc>
          <w:tcPr>
            <w:tcW w:w="100" w:type="dxa"/>
            <w:vAlign w:val="bottom"/>
            <w:tcBorders>
              <w:top w:val="single" w:sz="8" w:color="CFF0FC"/>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line="174" w:lineRule="exact"/>
              <w:rPr>
                <w:sz w:val="20"/>
                <w:szCs w:val="20"/>
                <w:color w:val="auto"/>
              </w:rPr>
            </w:pPr>
            <w:r>
              <w:rPr>
                <w:rFonts w:ascii="Calibri" w:cs="Calibri" w:eastAsia="Calibri" w:hAnsi="Calibri"/>
                <w:sz w:val="15"/>
                <w:szCs w:val="15"/>
                <w:color w:val="auto"/>
              </w:rPr>
              <w:t>148,268</w:t>
            </w:r>
          </w:p>
        </w:tc>
        <w:tc>
          <w:tcPr>
            <w:tcW w:w="100" w:type="dxa"/>
            <w:vAlign w:val="bottom"/>
            <w:tcBorders>
              <w:top w:val="single" w:sz="8" w:color="CFF0FC"/>
            </w:tcBorders>
          </w:tcPr>
          <w:p>
            <w:pPr>
              <w:spacing w:after="0"/>
              <w:rPr>
                <w:sz w:val="15"/>
                <w:szCs w:val="15"/>
                <w:color w:val="auto"/>
              </w:rPr>
            </w:pPr>
          </w:p>
        </w:tc>
      </w:tr>
      <w:tr>
        <w:trPr>
          <w:trHeight w:val="24"/>
        </w:trPr>
        <w:tc>
          <w:tcPr>
            <w:tcW w:w="6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7"/>
        </w:trPr>
        <w:tc>
          <w:tcPr>
            <w:tcW w:w="662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5"/>
                <w:szCs w:val="15"/>
                <w:color w:val="auto"/>
              </w:rPr>
              <w:t>Other income, net:</w:t>
            </w:r>
          </w:p>
        </w:tc>
        <w:tc>
          <w:tcPr>
            <w:tcW w:w="320" w:type="dxa"/>
            <w:vAlign w:val="bottom"/>
            <w:tcBorders>
              <w:bottom w:val="single" w:sz="8" w:color="CFF0FC"/>
            </w:tcBorders>
            <w:shd w:val="clear" w:color="auto" w:fill="CFF0FC"/>
          </w:tcPr>
          <w:p>
            <w:pPr>
              <w:spacing w:after="0"/>
              <w:rPr>
                <w:sz w:val="16"/>
                <w:szCs w:val="16"/>
                <w:color w:val="auto"/>
              </w:rPr>
            </w:pPr>
          </w:p>
        </w:tc>
        <w:tc>
          <w:tcPr>
            <w:tcW w:w="10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CFF0FC"/>
            </w:tcBorders>
            <w:shd w:val="clear" w:color="auto" w:fill="CFF0FC"/>
          </w:tcPr>
          <w:p>
            <w:pPr>
              <w:spacing w:after="0"/>
              <w:rPr>
                <w:sz w:val="16"/>
                <w:szCs w:val="16"/>
                <w:color w:val="auto"/>
              </w:rPr>
            </w:pPr>
          </w:p>
        </w:tc>
        <w:tc>
          <w:tcPr>
            <w:tcW w:w="10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CFF0FC"/>
            </w:tcBorders>
            <w:shd w:val="clear" w:color="auto" w:fill="CFF0FC"/>
          </w:tcPr>
          <w:p>
            <w:pPr>
              <w:spacing w:after="0"/>
              <w:rPr>
                <w:sz w:val="16"/>
                <w:szCs w:val="16"/>
                <w:color w:val="auto"/>
              </w:rPr>
            </w:pPr>
          </w:p>
        </w:tc>
        <w:tc>
          <w:tcPr>
            <w:tcW w:w="10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6620" w:type="dxa"/>
            <w:vAlign w:val="bottom"/>
          </w:tcPr>
          <w:p>
            <w:pPr>
              <w:ind w:left="160"/>
              <w:spacing w:after="0"/>
              <w:rPr>
                <w:sz w:val="20"/>
                <w:szCs w:val="20"/>
                <w:color w:val="auto"/>
              </w:rPr>
            </w:pPr>
            <w:r>
              <w:rPr>
                <w:rFonts w:ascii="Calibri" w:cs="Calibri" w:eastAsia="Calibri" w:hAnsi="Calibri"/>
                <w:sz w:val="15"/>
                <w:szCs w:val="15"/>
                <w:color w:val="auto"/>
              </w:rPr>
              <w:t>Interest income</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alibri" w:cs="Calibri" w:eastAsia="Calibri" w:hAnsi="Calibri"/>
                <w:sz w:val="15"/>
                <w:szCs w:val="15"/>
                <w:color w:val="auto"/>
              </w:rPr>
              <w:t>18,430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alibri" w:cs="Calibri" w:eastAsia="Calibri" w:hAnsi="Calibri"/>
                <w:sz w:val="15"/>
                <w:szCs w:val="15"/>
                <w:color w:val="auto"/>
              </w:rPr>
              <w:t>3,845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alibri" w:cs="Calibri" w:eastAsia="Calibri" w:hAnsi="Calibri"/>
                <w:sz w:val="15"/>
                <w:szCs w:val="15"/>
                <w:color w:val="auto"/>
              </w:rPr>
              <w:t>120</w:t>
            </w:r>
          </w:p>
        </w:tc>
        <w:tc>
          <w:tcPr>
            <w:tcW w:w="100" w:type="dxa"/>
            <w:vAlign w:val="bottom"/>
          </w:tcPr>
          <w:p>
            <w:pPr>
              <w:spacing w:after="0"/>
              <w:rPr>
                <w:sz w:val="15"/>
                <w:szCs w:val="15"/>
                <w:color w:val="auto"/>
              </w:rPr>
            </w:pPr>
          </w:p>
        </w:tc>
      </w:tr>
      <w:tr>
        <w:trPr>
          <w:trHeight w:val="24"/>
        </w:trPr>
        <w:tc>
          <w:tcPr>
            <w:tcW w:w="6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2"/>
        </w:trPr>
        <w:tc>
          <w:tcPr>
            <w:tcW w:w="6620" w:type="dxa"/>
            <w:vAlign w:val="bottom"/>
            <w:tcBorders>
              <w:bottom w:val="single" w:sz="8" w:color="CFF0FC"/>
            </w:tcBorders>
            <w:shd w:val="clear" w:color="auto" w:fill="CFF0FC"/>
          </w:tcPr>
          <w:p>
            <w:pPr>
              <w:ind w:left="160"/>
              <w:spacing w:after="0"/>
              <w:rPr>
                <w:sz w:val="20"/>
                <w:szCs w:val="20"/>
                <w:color w:val="auto"/>
              </w:rPr>
            </w:pPr>
            <w:r>
              <w:rPr>
                <w:rFonts w:ascii="Calibri" w:cs="Calibri" w:eastAsia="Calibri" w:hAnsi="Calibri"/>
                <w:sz w:val="15"/>
                <w:szCs w:val="15"/>
                <w:color w:val="auto"/>
              </w:rPr>
              <w:t>Other income (expense), net</w:t>
            </w:r>
          </w:p>
        </w:tc>
        <w:tc>
          <w:tcPr>
            <w:tcW w:w="3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630</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gridSpan w:val="2"/>
            <w:shd w:val="clear" w:color="auto" w:fill="CFF0FC"/>
          </w:tcPr>
          <w:p>
            <w:pPr>
              <w:jc w:val="right"/>
              <w:ind w:right="40"/>
              <w:spacing w:after="0"/>
              <w:rPr>
                <w:sz w:val="20"/>
                <w:szCs w:val="20"/>
                <w:color w:val="auto"/>
              </w:rPr>
            </w:pPr>
            <w:r>
              <w:rPr>
                <w:rFonts w:ascii="Calibri" w:cs="Calibri" w:eastAsia="Calibri" w:hAnsi="Calibri"/>
                <w:sz w:val="15"/>
                <w:szCs w:val="15"/>
                <w:color w:val="auto"/>
              </w:rPr>
              <w:t>(961 )</w:t>
            </w:r>
          </w:p>
        </w:tc>
        <w:tc>
          <w:tcPr>
            <w:tcW w:w="1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972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75"/>
        </w:trPr>
        <w:tc>
          <w:tcPr>
            <w:tcW w:w="6620" w:type="dxa"/>
            <w:vAlign w:val="bottom"/>
            <w:tcBorders>
              <w:top w:val="single" w:sz="8" w:color="CFF0FC"/>
            </w:tcBorders>
          </w:tcPr>
          <w:p>
            <w:pPr>
              <w:ind w:left="320"/>
              <w:spacing w:after="0" w:line="174" w:lineRule="exact"/>
              <w:rPr>
                <w:sz w:val="20"/>
                <w:szCs w:val="20"/>
                <w:color w:val="auto"/>
              </w:rPr>
            </w:pPr>
            <w:r>
              <w:rPr>
                <w:rFonts w:ascii="Calibri" w:cs="Calibri" w:eastAsia="Calibri" w:hAnsi="Calibri"/>
                <w:sz w:val="15"/>
                <w:szCs w:val="15"/>
                <w:color w:val="auto"/>
              </w:rPr>
              <w:t>Total other income, net</w:t>
            </w:r>
          </w:p>
        </w:tc>
        <w:tc>
          <w:tcPr>
            <w:tcW w:w="3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line="174" w:lineRule="exact"/>
              <w:rPr>
                <w:sz w:val="20"/>
                <w:szCs w:val="20"/>
                <w:color w:val="auto"/>
              </w:rPr>
            </w:pPr>
            <w:r>
              <w:rPr>
                <w:rFonts w:ascii="Calibri" w:cs="Calibri" w:eastAsia="Calibri" w:hAnsi="Calibri"/>
                <w:sz w:val="15"/>
                <w:szCs w:val="15"/>
                <w:color w:val="auto"/>
              </w:rPr>
              <w:t>19,060</w:t>
            </w:r>
          </w:p>
        </w:tc>
        <w:tc>
          <w:tcPr>
            <w:tcW w:w="100" w:type="dxa"/>
            <w:vAlign w:val="bottom"/>
            <w:tcBorders>
              <w:top w:val="single" w:sz="8" w:color="CFF0FC"/>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line="174" w:lineRule="exact"/>
              <w:rPr>
                <w:sz w:val="20"/>
                <w:szCs w:val="20"/>
                <w:color w:val="auto"/>
              </w:rPr>
            </w:pPr>
            <w:r>
              <w:rPr>
                <w:rFonts w:ascii="Calibri" w:cs="Calibri" w:eastAsia="Calibri" w:hAnsi="Calibri"/>
                <w:sz w:val="15"/>
                <w:szCs w:val="15"/>
                <w:color w:val="auto"/>
              </w:rPr>
              <w:t>2,884</w:t>
            </w:r>
          </w:p>
        </w:tc>
        <w:tc>
          <w:tcPr>
            <w:tcW w:w="100" w:type="dxa"/>
            <w:vAlign w:val="bottom"/>
            <w:tcBorders>
              <w:top w:val="single" w:sz="8" w:color="CFF0FC"/>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line="174" w:lineRule="exact"/>
              <w:rPr>
                <w:sz w:val="20"/>
                <w:szCs w:val="20"/>
                <w:color w:val="auto"/>
              </w:rPr>
            </w:pPr>
            <w:r>
              <w:rPr>
                <w:rFonts w:ascii="Calibri" w:cs="Calibri" w:eastAsia="Calibri" w:hAnsi="Calibri"/>
                <w:sz w:val="15"/>
                <w:szCs w:val="15"/>
                <w:color w:val="auto"/>
              </w:rPr>
              <w:t>1,092</w:t>
            </w:r>
          </w:p>
        </w:tc>
        <w:tc>
          <w:tcPr>
            <w:tcW w:w="100" w:type="dxa"/>
            <w:vAlign w:val="bottom"/>
            <w:tcBorders>
              <w:top w:val="single" w:sz="8" w:color="CFF0FC"/>
            </w:tcBorders>
          </w:tcPr>
          <w:p>
            <w:pPr>
              <w:spacing w:after="0"/>
              <w:rPr>
                <w:sz w:val="15"/>
                <w:szCs w:val="15"/>
                <w:color w:val="auto"/>
              </w:rPr>
            </w:pPr>
          </w:p>
        </w:tc>
      </w:tr>
      <w:tr>
        <w:trPr>
          <w:trHeight w:val="24"/>
        </w:trPr>
        <w:tc>
          <w:tcPr>
            <w:tcW w:w="6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7"/>
        </w:trPr>
        <w:tc>
          <w:tcPr>
            <w:tcW w:w="662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5"/>
                <w:szCs w:val="15"/>
                <w:color w:val="auto"/>
              </w:rPr>
              <w:t>Income before income taxes</w:t>
            </w:r>
          </w:p>
        </w:tc>
        <w:tc>
          <w:tcPr>
            <w:tcW w:w="320" w:type="dxa"/>
            <w:vAlign w:val="bottom"/>
            <w:tcBorders>
              <w:bottom w:val="single" w:sz="8" w:color="CFF0FC"/>
            </w:tcBorders>
            <w:shd w:val="clear" w:color="auto" w:fill="CFF0FC"/>
          </w:tcPr>
          <w:p>
            <w:pPr>
              <w:spacing w:after="0"/>
              <w:rPr>
                <w:sz w:val="16"/>
                <w:szCs w:val="16"/>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51,687</w:t>
            </w:r>
          </w:p>
        </w:tc>
        <w:tc>
          <w:tcPr>
            <w:tcW w:w="10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CFF0FC"/>
            </w:tcBorders>
            <w:shd w:val="clear" w:color="auto" w:fill="CFF0FC"/>
          </w:tcPr>
          <w:p>
            <w:pPr>
              <w:spacing w:after="0"/>
              <w:rPr>
                <w:sz w:val="16"/>
                <w:szCs w:val="16"/>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111,362</w:t>
            </w:r>
          </w:p>
        </w:tc>
        <w:tc>
          <w:tcPr>
            <w:tcW w:w="1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CFF0FC"/>
            </w:tcBorders>
            <w:shd w:val="clear" w:color="auto" w:fill="CFF0FC"/>
          </w:tcPr>
          <w:p>
            <w:pPr>
              <w:spacing w:after="0"/>
              <w:rPr>
                <w:sz w:val="16"/>
                <w:szCs w:val="16"/>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149,360</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6620" w:type="dxa"/>
            <w:vAlign w:val="bottom"/>
          </w:tcPr>
          <w:p>
            <w:pPr>
              <w:spacing w:after="0"/>
              <w:rPr>
                <w:sz w:val="20"/>
                <w:szCs w:val="20"/>
                <w:color w:val="auto"/>
              </w:rPr>
            </w:pPr>
            <w:r>
              <w:rPr>
                <w:rFonts w:ascii="Calibri" w:cs="Calibri" w:eastAsia="Calibri" w:hAnsi="Calibri"/>
                <w:sz w:val="15"/>
                <w:szCs w:val="15"/>
                <w:color w:val="auto"/>
              </w:rPr>
              <w:t>Provision for income taxes</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alibri" w:cs="Calibri" w:eastAsia="Calibri" w:hAnsi="Calibri"/>
                <w:sz w:val="15"/>
                <w:szCs w:val="15"/>
                <w:color w:val="auto"/>
              </w:rPr>
              <w:t>29,634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alibri" w:cs="Calibri" w:eastAsia="Calibri" w:hAnsi="Calibri"/>
                <w:sz w:val="15"/>
                <w:szCs w:val="15"/>
                <w:color w:val="auto"/>
              </w:rPr>
              <w:t>32,408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alibri" w:cs="Calibri" w:eastAsia="Calibri" w:hAnsi="Calibri"/>
                <w:sz w:val="15"/>
                <w:szCs w:val="15"/>
                <w:color w:val="auto"/>
              </w:rPr>
              <w:t>38,987</w:t>
            </w:r>
          </w:p>
        </w:tc>
        <w:tc>
          <w:tcPr>
            <w:tcW w:w="100" w:type="dxa"/>
            <w:vAlign w:val="bottom"/>
          </w:tcPr>
          <w:p>
            <w:pPr>
              <w:spacing w:after="0"/>
              <w:rPr>
                <w:sz w:val="15"/>
                <w:szCs w:val="15"/>
                <w:color w:val="auto"/>
              </w:rPr>
            </w:pPr>
          </w:p>
        </w:tc>
      </w:tr>
      <w:tr>
        <w:trPr>
          <w:trHeight w:val="24"/>
        </w:trPr>
        <w:tc>
          <w:tcPr>
            <w:tcW w:w="6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79"/>
        </w:trPr>
        <w:tc>
          <w:tcPr>
            <w:tcW w:w="6620" w:type="dxa"/>
            <w:vAlign w:val="bottom"/>
            <w:tcBorders>
              <w:bottom w:val="single" w:sz="8" w:color="CFF0FC"/>
            </w:tcBorders>
            <w:shd w:val="clear" w:color="auto" w:fill="CFF0FC"/>
          </w:tcPr>
          <w:p>
            <w:pPr>
              <w:spacing w:after="0" w:line="174" w:lineRule="exact"/>
              <w:rPr>
                <w:sz w:val="20"/>
                <w:szCs w:val="20"/>
                <w:color w:val="auto"/>
              </w:rPr>
            </w:pPr>
            <w:r>
              <w:rPr>
                <w:rFonts w:ascii="Calibri" w:cs="Calibri" w:eastAsia="Calibri" w:hAnsi="Calibri"/>
                <w:sz w:val="15"/>
                <w:szCs w:val="15"/>
                <w:color w:val="auto"/>
              </w:rPr>
              <w:t>Consolidated net income</w:t>
            </w:r>
          </w:p>
        </w:tc>
        <w:tc>
          <w:tcPr>
            <w:tcW w:w="32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bottom w:val="single" w:sz="8" w:color="CFF0FC"/>
            </w:tcBorders>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22,053</w:t>
            </w:r>
          </w:p>
        </w:tc>
        <w:tc>
          <w:tcPr>
            <w:tcW w:w="1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bottom w:val="single" w:sz="8" w:color="CFF0FC"/>
            </w:tcBorders>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78,954</w:t>
            </w: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110,373</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83"/>
        </w:trPr>
        <w:tc>
          <w:tcPr>
            <w:tcW w:w="6620" w:type="dxa"/>
            <w:vAlign w:val="bottom"/>
          </w:tcPr>
          <w:p>
            <w:pPr>
              <w:spacing w:after="0"/>
              <w:rPr>
                <w:sz w:val="20"/>
                <w:szCs w:val="20"/>
                <w:color w:val="auto"/>
              </w:rPr>
            </w:pPr>
            <w:r>
              <w:rPr>
                <w:rFonts w:ascii="Calibri" w:cs="Calibri" w:eastAsia="Calibri" w:hAnsi="Calibri"/>
                <w:sz w:val="15"/>
                <w:szCs w:val="15"/>
                <w:color w:val="auto"/>
              </w:rPr>
              <w:t>Net (loss) income atributable to redeemable noncontrolling interest</w:t>
            </w:r>
          </w:p>
        </w:tc>
        <w:tc>
          <w:tcPr>
            <w:tcW w:w="320" w:type="dxa"/>
            <w:vAlign w:val="bottom"/>
          </w:tcPr>
          <w:p>
            <w:pPr>
              <w:spacing w:after="0"/>
              <w:rPr>
                <w:sz w:val="15"/>
                <w:szCs w:val="15"/>
                <w:color w:val="auto"/>
              </w:rPr>
            </w:pPr>
          </w:p>
        </w:tc>
        <w:tc>
          <w:tcPr>
            <w:tcW w:w="1120" w:type="dxa"/>
            <w:vAlign w:val="bottom"/>
            <w:gridSpan w:val="2"/>
          </w:tcPr>
          <w:p>
            <w:pPr>
              <w:jc w:val="right"/>
              <w:ind w:right="40"/>
              <w:spacing w:after="0"/>
              <w:rPr>
                <w:sz w:val="20"/>
                <w:szCs w:val="20"/>
                <w:color w:val="auto"/>
              </w:rPr>
            </w:pPr>
            <w:r>
              <w:rPr>
                <w:rFonts w:ascii="Calibri" w:cs="Calibri" w:eastAsia="Calibri" w:hAnsi="Calibri"/>
                <w:sz w:val="15"/>
                <w:szCs w:val="15"/>
                <w:color w:val="auto"/>
              </w:rPr>
              <w:t>(14,889 )</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gridSpan w:val="2"/>
          </w:tcPr>
          <w:p>
            <w:pPr>
              <w:jc w:val="right"/>
              <w:ind w:right="40"/>
              <w:spacing w:after="0"/>
              <w:rPr>
                <w:sz w:val="20"/>
                <w:szCs w:val="20"/>
                <w:color w:val="auto"/>
              </w:rPr>
            </w:pPr>
            <w:r>
              <w:rPr>
                <w:rFonts w:ascii="Calibri" w:cs="Calibri" w:eastAsia="Calibri" w:hAnsi="Calibri"/>
                <w:sz w:val="15"/>
                <w:szCs w:val="15"/>
                <w:color w:val="auto"/>
              </w:rPr>
              <w:t>(5,433 )</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alibri" w:cs="Calibri" w:eastAsia="Calibri" w:hAnsi="Calibri"/>
                <w:sz w:val="15"/>
                <w:szCs w:val="15"/>
                <w:color w:val="auto"/>
              </w:rPr>
              <w:t>1,129</w:t>
            </w:r>
          </w:p>
        </w:tc>
        <w:tc>
          <w:tcPr>
            <w:tcW w:w="100" w:type="dxa"/>
            <w:vAlign w:val="bottom"/>
          </w:tcPr>
          <w:p>
            <w:pPr>
              <w:spacing w:after="0"/>
              <w:rPr>
                <w:sz w:val="15"/>
                <w:szCs w:val="15"/>
                <w:color w:val="auto"/>
              </w:rPr>
            </w:pPr>
          </w:p>
        </w:tc>
      </w:tr>
      <w:tr>
        <w:trPr>
          <w:trHeight w:val="24"/>
        </w:trPr>
        <w:tc>
          <w:tcPr>
            <w:tcW w:w="6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79"/>
        </w:trPr>
        <w:tc>
          <w:tcPr>
            <w:tcW w:w="6620" w:type="dxa"/>
            <w:vAlign w:val="bottom"/>
            <w:tcBorders>
              <w:bottom w:val="single" w:sz="8" w:color="CFF0FC"/>
            </w:tcBorders>
            <w:shd w:val="clear" w:color="auto" w:fill="CFF0FC"/>
          </w:tcPr>
          <w:p>
            <w:pPr>
              <w:spacing w:after="0" w:line="174" w:lineRule="exact"/>
              <w:rPr>
                <w:sz w:val="20"/>
                <w:szCs w:val="20"/>
                <w:color w:val="auto"/>
              </w:rPr>
            </w:pPr>
            <w:r>
              <w:rPr>
                <w:rFonts w:ascii="Calibri" w:cs="Calibri" w:eastAsia="Calibri" w:hAnsi="Calibri"/>
                <w:sz w:val="15"/>
                <w:szCs w:val="15"/>
                <w:color w:val="auto"/>
              </w:rPr>
              <w:t>Net (loss) income atributable to CarGurus, Inc.</w:t>
            </w:r>
          </w:p>
        </w:tc>
        <w:tc>
          <w:tcPr>
            <w:tcW w:w="320" w:type="dxa"/>
            <w:vAlign w:val="bottom"/>
            <w:tcBorders>
              <w:bottom w:val="single" w:sz="8" w:color="CFF0FC"/>
            </w:tcBorders>
            <w:shd w:val="clear" w:color="auto" w:fill="CFF0FC"/>
          </w:tcPr>
          <w:p>
            <w:pPr>
              <w:jc w:val="right"/>
              <w:ind w:right="163"/>
              <w:spacing w:after="0" w:line="174" w:lineRule="exact"/>
              <w:rPr>
                <w:sz w:val="20"/>
                <w:szCs w:val="20"/>
                <w:color w:val="auto"/>
              </w:rPr>
            </w:pPr>
            <w:r>
              <w:rPr>
                <w:rFonts w:ascii="Calibri" w:cs="Calibri" w:eastAsia="Calibri" w:hAnsi="Calibri"/>
                <w:sz w:val="15"/>
                <w:szCs w:val="15"/>
                <w:color w:val="auto"/>
                <w:w w:val="78"/>
              </w:rPr>
              <w:t>$</w:t>
            </w:r>
          </w:p>
        </w:tc>
        <w:tc>
          <w:tcPr>
            <w:tcW w:w="1020" w:type="dxa"/>
            <w:vAlign w:val="bottom"/>
            <w:tcBorders>
              <w:bottom w:val="single" w:sz="8" w:color="CFF0FC"/>
            </w:tcBorders>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36,942</w:t>
            </w:r>
          </w:p>
        </w:tc>
        <w:tc>
          <w:tcPr>
            <w:tcW w:w="100" w:type="dxa"/>
            <w:vAlign w:val="bottom"/>
            <w:tcBorders>
              <w:bottom w:val="single" w:sz="8" w:color="CFF0FC"/>
            </w:tcBorders>
            <w:shd w:val="clear" w:color="auto" w:fill="CFF0FC"/>
          </w:tcPr>
          <w:p>
            <w:pPr>
              <w:spacing w:after="0"/>
              <w:rPr>
                <w:sz w:val="15"/>
                <w:szCs w:val="15"/>
                <w:color w:val="auto"/>
              </w:rPr>
            </w:pPr>
          </w:p>
        </w:tc>
        <w:tc>
          <w:tcPr>
            <w:tcW w:w="500" w:type="dxa"/>
            <w:vAlign w:val="bottom"/>
            <w:tcBorders>
              <w:bottom w:val="single" w:sz="8" w:color="CFF0FC"/>
            </w:tcBorders>
            <w:gridSpan w:val="2"/>
            <w:shd w:val="clear" w:color="auto" w:fill="CFF0FC"/>
          </w:tcPr>
          <w:p>
            <w:pPr>
              <w:ind w:left="200"/>
              <w:spacing w:after="0" w:line="174" w:lineRule="exact"/>
              <w:rPr>
                <w:sz w:val="20"/>
                <w:szCs w:val="20"/>
                <w:color w:val="auto"/>
              </w:rPr>
            </w:pPr>
            <w:r>
              <w:rPr>
                <w:rFonts w:ascii="Calibri" w:cs="Calibri" w:eastAsia="Calibri" w:hAnsi="Calibri"/>
                <w:sz w:val="15"/>
                <w:szCs w:val="15"/>
                <w:color w:val="auto"/>
              </w:rPr>
              <w:t>$</w:t>
            </w:r>
          </w:p>
        </w:tc>
        <w:tc>
          <w:tcPr>
            <w:tcW w:w="1020" w:type="dxa"/>
            <w:vAlign w:val="bottom"/>
            <w:tcBorders>
              <w:bottom w:val="single" w:sz="8" w:color="CFF0FC"/>
            </w:tcBorders>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84,387</w:t>
            </w: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CFF0FC"/>
            </w:tcBorders>
            <w:shd w:val="clear" w:color="auto" w:fill="CFF0FC"/>
          </w:tcPr>
          <w:p>
            <w:pPr>
              <w:jc w:val="right"/>
              <w:ind w:right="143"/>
              <w:spacing w:after="0" w:line="174" w:lineRule="exact"/>
              <w:rPr>
                <w:sz w:val="20"/>
                <w:szCs w:val="20"/>
                <w:color w:val="auto"/>
              </w:rPr>
            </w:pPr>
            <w:r>
              <w:rPr>
                <w:rFonts w:ascii="Calibri" w:cs="Calibri" w:eastAsia="Calibri" w:hAnsi="Calibri"/>
                <w:sz w:val="15"/>
                <w:szCs w:val="15"/>
                <w:color w:val="auto"/>
              </w:rPr>
              <w:t>$</w:t>
            </w:r>
          </w:p>
        </w:tc>
        <w:tc>
          <w:tcPr>
            <w:tcW w:w="1000" w:type="dxa"/>
            <w:vAlign w:val="bottom"/>
            <w:tcBorders>
              <w:bottom w:val="single" w:sz="8" w:color="CFF0FC"/>
            </w:tcBorders>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109,244</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83"/>
        </w:trPr>
        <w:tc>
          <w:tcPr>
            <w:tcW w:w="6620" w:type="dxa"/>
            <w:vAlign w:val="bottom"/>
          </w:tcPr>
          <w:p>
            <w:pPr>
              <w:spacing w:after="0"/>
              <w:rPr>
                <w:sz w:val="20"/>
                <w:szCs w:val="20"/>
                <w:color w:val="auto"/>
              </w:rPr>
            </w:pPr>
            <w:r>
              <w:rPr>
                <w:rFonts w:ascii="Calibri" w:cs="Calibri" w:eastAsia="Calibri" w:hAnsi="Calibri"/>
                <w:sz w:val="15"/>
                <w:szCs w:val="15"/>
                <w:color w:val="auto"/>
              </w:rPr>
              <w:t>Deemed dividend on redempton of noncontrolling interest</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alibri" w:cs="Calibri" w:eastAsia="Calibri" w:hAnsi="Calibri"/>
                <w:sz w:val="15"/>
                <w:szCs w:val="15"/>
                <w:color w:val="auto"/>
              </w:rPr>
              <w:t>5,838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gridSpan w:val="3"/>
          </w:tcPr>
          <w:p>
            <w:pPr>
              <w:jc w:val="right"/>
              <w:ind w:right="280"/>
              <w:spacing w:after="0"/>
              <w:rPr>
                <w:sz w:val="20"/>
                <w:szCs w:val="20"/>
                <w:color w:val="auto"/>
              </w:rPr>
            </w:pPr>
            <w:r>
              <w:rPr>
                <w:rFonts w:ascii="Calibri" w:cs="Calibri" w:eastAsia="Calibri" w:hAnsi="Calibri"/>
                <w:sz w:val="15"/>
                <w:szCs w:val="15"/>
                <w:color w:val="auto"/>
              </w:rPr>
              <w:t>—</w:t>
            </w:r>
          </w:p>
        </w:tc>
        <w:tc>
          <w:tcPr>
            <w:tcW w:w="320" w:type="dxa"/>
            <w:vAlign w:val="bottom"/>
          </w:tcPr>
          <w:p>
            <w:pPr>
              <w:spacing w:after="0"/>
              <w:rPr>
                <w:sz w:val="15"/>
                <w:szCs w:val="15"/>
                <w:color w:val="auto"/>
              </w:rPr>
            </w:pPr>
          </w:p>
        </w:tc>
        <w:tc>
          <w:tcPr>
            <w:tcW w:w="1100" w:type="dxa"/>
            <w:vAlign w:val="bottom"/>
            <w:gridSpan w:val="2"/>
          </w:tcPr>
          <w:p>
            <w:pPr>
              <w:jc w:val="right"/>
              <w:ind w:right="120"/>
              <w:spacing w:after="0"/>
              <w:rPr>
                <w:sz w:val="20"/>
                <w:szCs w:val="20"/>
                <w:color w:val="auto"/>
              </w:rPr>
            </w:pPr>
            <w:r>
              <w:rPr>
                <w:rFonts w:ascii="Calibri" w:cs="Calibri" w:eastAsia="Calibri" w:hAnsi="Calibri"/>
                <w:sz w:val="15"/>
                <w:szCs w:val="15"/>
                <w:color w:val="auto"/>
              </w:rPr>
              <w:t>—</w:t>
            </w:r>
          </w:p>
        </w:tc>
      </w:tr>
      <w:tr>
        <w:trPr>
          <w:trHeight w:val="24"/>
        </w:trPr>
        <w:tc>
          <w:tcPr>
            <w:tcW w:w="6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7"/>
        </w:trPr>
        <w:tc>
          <w:tcPr>
            <w:tcW w:w="662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5"/>
                <w:szCs w:val="15"/>
                <w:color w:val="auto"/>
              </w:rPr>
              <w:t>Accreton of redeemable noncontrolling interest to redempton value</w:t>
            </w:r>
          </w:p>
        </w:tc>
        <w:tc>
          <w:tcPr>
            <w:tcW w:w="320" w:type="dxa"/>
            <w:vAlign w:val="bottom"/>
            <w:tcBorders>
              <w:bottom w:val="single" w:sz="8" w:color="CFF0FC"/>
            </w:tcBorders>
            <w:shd w:val="clear" w:color="auto" w:fill="CFF0FC"/>
          </w:tcPr>
          <w:p>
            <w:pPr>
              <w:spacing w:after="0"/>
              <w:rPr>
                <w:sz w:val="16"/>
                <w:szCs w:val="16"/>
                <w:color w:val="auto"/>
              </w:rPr>
            </w:pPr>
          </w:p>
        </w:tc>
        <w:tc>
          <w:tcPr>
            <w:tcW w:w="112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Calibri" w:cs="Calibri" w:eastAsia="Calibri" w:hAnsi="Calibri"/>
                <w:sz w:val="15"/>
                <w:szCs w:val="15"/>
                <w:color w:val="auto"/>
              </w:rPr>
              <w:t>—</w:t>
            </w:r>
          </w:p>
        </w:tc>
        <w:tc>
          <w:tcPr>
            <w:tcW w:w="18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CFF0FC"/>
            </w:tcBorders>
            <w:shd w:val="clear" w:color="auto" w:fill="CFF0FC"/>
          </w:tcPr>
          <w:p>
            <w:pPr>
              <w:spacing w:after="0"/>
              <w:rPr>
                <w:sz w:val="16"/>
                <w:szCs w:val="16"/>
                <w:color w:val="auto"/>
              </w:rPr>
            </w:pPr>
          </w:p>
        </w:tc>
        <w:tc>
          <w:tcPr>
            <w:tcW w:w="1120" w:type="dxa"/>
            <w:vAlign w:val="bottom"/>
            <w:tcBorders>
              <w:bottom w:val="single" w:sz="8" w:color="CFF0FC"/>
            </w:tcBorders>
            <w:gridSpan w:val="2"/>
            <w:shd w:val="clear" w:color="auto" w:fill="CFF0FC"/>
          </w:tcPr>
          <w:p>
            <w:pPr>
              <w:jc w:val="right"/>
              <w:ind w:right="40"/>
              <w:spacing w:after="0"/>
              <w:rPr>
                <w:sz w:val="20"/>
                <w:szCs w:val="20"/>
                <w:color w:val="auto"/>
              </w:rPr>
            </w:pPr>
            <w:r>
              <w:rPr>
                <w:rFonts w:ascii="Calibri" w:cs="Calibri" w:eastAsia="Calibri" w:hAnsi="Calibri"/>
                <w:sz w:val="15"/>
                <w:szCs w:val="15"/>
                <w:color w:val="auto"/>
              </w:rPr>
              <w:t>(109,398 )</w:t>
            </w:r>
          </w:p>
        </w:tc>
        <w:tc>
          <w:tcPr>
            <w:tcW w:w="16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CFF0FC"/>
            </w:tcBorders>
            <w:shd w:val="clear" w:color="auto" w:fill="CFF0FC"/>
          </w:tcPr>
          <w:p>
            <w:pPr>
              <w:spacing w:after="0"/>
              <w:rPr>
                <w:sz w:val="16"/>
                <w:szCs w:val="16"/>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109,398</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20"/>
        </w:trPr>
        <w:tc>
          <w:tcPr>
            <w:tcW w:w="66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75"/>
        </w:trPr>
        <w:tc>
          <w:tcPr>
            <w:tcW w:w="6620" w:type="dxa"/>
            <w:vAlign w:val="bottom"/>
          </w:tcPr>
          <w:p>
            <w:pPr>
              <w:spacing w:after="0" w:line="174" w:lineRule="exact"/>
              <w:rPr>
                <w:sz w:val="20"/>
                <w:szCs w:val="20"/>
                <w:color w:val="auto"/>
              </w:rPr>
            </w:pPr>
            <w:r>
              <w:rPr>
                <w:rFonts w:ascii="Calibri" w:cs="Calibri" w:eastAsia="Calibri" w:hAnsi="Calibri"/>
                <w:sz w:val="15"/>
                <w:szCs w:val="15"/>
                <w:color w:val="auto"/>
              </w:rPr>
              <w:t>Net income (loss) atributable to common stockholders</w:t>
            </w:r>
          </w:p>
        </w:tc>
        <w:tc>
          <w:tcPr>
            <w:tcW w:w="320" w:type="dxa"/>
            <w:vAlign w:val="bottom"/>
          </w:tcPr>
          <w:p>
            <w:pPr>
              <w:jc w:val="right"/>
              <w:ind w:right="163"/>
              <w:spacing w:after="0" w:line="174" w:lineRule="exact"/>
              <w:rPr>
                <w:sz w:val="20"/>
                <w:szCs w:val="20"/>
                <w:color w:val="auto"/>
              </w:rPr>
            </w:pPr>
            <w:r>
              <w:rPr>
                <w:rFonts w:ascii="Calibri" w:cs="Calibri" w:eastAsia="Calibri" w:hAnsi="Calibri"/>
                <w:sz w:val="15"/>
                <w:szCs w:val="15"/>
                <w:color w:val="auto"/>
                <w:w w:val="78"/>
              </w:rPr>
              <w:t>$</w:t>
            </w:r>
          </w:p>
        </w:tc>
        <w:tc>
          <w:tcPr>
            <w:tcW w:w="1020" w:type="dxa"/>
            <w:vAlign w:val="bottom"/>
          </w:tcPr>
          <w:p>
            <w:pPr>
              <w:jc w:val="right"/>
              <w:spacing w:after="0" w:line="174" w:lineRule="exact"/>
              <w:rPr>
                <w:sz w:val="20"/>
                <w:szCs w:val="20"/>
                <w:color w:val="auto"/>
              </w:rPr>
            </w:pPr>
            <w:r>
              <w:rPr>
                <w:rFonts w:ascii="Calibri" w:cs="Calibri" w:eastAsia="Calibri" w:hAnsi="Calibri"/>
                <w:sz w:val="15"/>
                <w:szCs w:val="15"/>
                <w:color w:val="auto"/>
              </w:rPr>
              <w:t>31,104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ind w:left="20"/>
              <w:spacing w:after="0" w:line="174" w:lineRule="exact"/>
              <w:rPr>
                <w:sz w:val="20"/>
                <w:szCs w:val="20"/>
                <w:color w:val="auto"/>
              </w:rPr>
            </w:pPr>
            <w:r>
              <w:rPr>
                <w:rFonts w:ascii="Calibri" w:cs="Calibri" w:eastAsia="Calibri" w:hAnsi="Calibri"/>
                <w:sz w:val="15"/>
                <w:szCs w:val="15"/>
                <w:color w:val="auto"/>
              </w:rPr>
              <w:t>$</w:t>
            </w:r>
          </w:p>
        </w:tc>
        <w:tc>
          <w:tcPr>
            <w:tcW w:w="1020" w:type="dxa"/>
            <w:vAlign w:val="bottom"/>
          </w:tcPr>
          <w:p>
            <w:pPr>
              <w:jc w:val="right"/>
              <w:spacing w:after="0" w:line="174" w:lineRule="exact"/>
              <w:rPr>
                <w:sz w:val="20"/>
                <w:szCs w:val="20"/>
                <w:color w:val="auto"/>
              </w:rPr>
            </w:pPr>
            <w:r>
              <w:rPr>
                <w:rFonts w:ascii="Calibri" w:cs="Calibri" w:eastAsia="Calibri" w:hAnsi="Calibri"/>
                <w:sz w:val="15"/>
                <w:szCs w:val="15"/>
                <w:color w:val="auto"/>
              </w:rPr>
              <w:t>193,785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jc w:val="right"/>
              <w:ind w:right="143"/>
              <w:spacing w:after="0" w:line="174" w:lineRule="exact"/>
              <w:rPr>
                <w:sz w:val="20"/>
                <w:szCs w:val="20"/>
                <w:color w:val="auto"/>
              </w:rPr>
            </w:pPr>
            <w:r>
              <w:rPr>
                <w:rFonts w:ascii="Calibri" w:cs="Calibri" w:eastAsia="Calibri" w:hAnsi="Calibri"/>
                <w:sz w:val="15"/>
                <w:szCs w:val="15"/>
                <w:color w:val="auto"/>
              </w:rPr>
              <w:t>$</w:t>
            </w:r>
          </w:p>
        </w:tc>
        <w:tc>
          <w:tcPr>
            <w:tcW w:w="1100" w:type="dxa"/>
            <w:vAlign w:val="bottom"/>
            <w:gridSpan w:val="2"/>
          </w:tcPr>
          <w:p>
            <w:pPr>
              <w:jc w:val="right"/>
              <w:ind w:right="40"/>
              <w:spacing w:after="0" w:line="174" w:lineRule="exact"/>
              <w:rPr>
                <w:sz w:val="20"/>
                <w:szCs w:val="20"/>
                <w:color w:val="auto"/>
              </w:rPr>
            </w:pPr>
            <w:r>
              <w:rPr>
                <w:rFonts w:ascii="Calibri" w:cs="Calibri" w:eastAsia="Calibri" w:hAnsi="Calibri"/>
                <w:sz w:val="15"/>
                <w:szCs w:val="15"/>
                <w:color w:val="auto"/>
              </w:rPr>
              <w:t>(154 )</w:t>
            </w:r>
          </w:p>
        </w:tc>
      </w:tr>
      <w:tr>
        <w:trPr>
          <w:trHeight w:val="24"/>
        </w:trPr>
        <w:tc>
          <w:tcPr>
            <w:tcW w:w="6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
        </w:trPr>
        <w:tc>
          <w:tcPr>
            <w:tcW w:w="6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2"/>
        </w:trPr>
        <w:tc>
          <w:tcPr>
            <w:tcW w:w="6620" w:type="dxa"/>
            <w:vAlign w:val="bottom"/>
            <w:tcBorders>
              <w:bottom w:val="single" w:sz="8" w:color="CFF0FC"/>
            </w:tcBorders>
            <w:shd w:val="clear" w:color="auto" w:fill="CFF0FC"/>
          </w:tcPr>
          <w:p>
            <w:pPr>
              <w:spacing w:after="0" w:line="158" w:lineRule="exact"/>
              <w:rPr>
                <w:sz w:val="20"/>
                <w:szCs w:val="20"/>
                <w:color w:val="auto"/>
              </w:rPr>
            </w:pPr>
            <w:r>
              <w:rPr>
                <w:rFonts w:ascii="Calibri" w:cs="Calibri" w:eastAsia="Calibri" w:hAnsi="Calibri"/>
                <w:sz w:val="15"/>
                <w:szCs w:val="15"/>
                <w:color w:val="auto"/>
              </w:rPr>
              <w:t>Net income (loss) per share atributable to common stockholders: (Note 12)</w:t>
            </w:r>
          </w:p>
        </w:tc>
        <w:tc>
          <w:tcPr>
            <w:tcW w:w="320" w:type="dxa"/>
            <w:vAlign w:val="bottom"/>
            <w:tcBorders>
              <w:bottom w:val="single" w:sz="8" w:color="CFF0FC"/>
            </w:tcBorders>
            <w:shd w:val="clear" w:color="auto" w:fill="CFF0FC"/>
          </w:tcPr>
          <w:p>
            <w:pPr>
              <w:spacing w:after="0"/>
              <w:rPr>
                <w:sz w:val="14"/>
                <w:szCs w:val="14"/>
                <w:color w:val="auto"/>
              </w:rPr>
            </w:pPr>
          </w:p>
        </w:tc>
        <w:tc>
          <w:tcPr>
            <w:tcW w:w="10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CFF0FC"/>
            </w:tcBorders>
            <w:shd w:val="clear" w:color="auto" w:fill="CFF0FC"/>
          </w:tcPr>
          <w:p>
            <w:pPr>
              <w:spacing w:after="0"/>
              <w:rPr>
                <w:sz w:val="14"/>
                <w:szCs w:val="14"/>
                <w:color w:val="auto"/>
              </w:rPr>
            </w:pPr>
          </w:p>
        </w:tc>
        <w:tc>
          <w:tcPr>
            <w:tcW w:w="10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CFF0FC"/>
            </w:tcBorders>
            <w:shd w:val="clear" w:color="auto" w:fill="CFF0FC"/>
          </w:tcPr>
          <w:p>
            <w:pPr>
              <w:spacing w:after="0"/>
              <w:rPr>
                <w:sz w:val="14"/>
                <w:szCs w:val="14"/>
                <w:color w:val="auto"/>
              </w:rPr>
            </w:pPr>
          </w:p>
        </w:tc>
        <w:tc>
          <w:tcPr>
            <w:tcW w:w="10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r>
      <w:tr>
        <w:trPr>
          <w:trHeight w:val="183"/>
        </w:trPr>
        <w:tc>
          <w:tcPr>
            <w:tcW w:w="6620" w:type="dxa"/>
            <w:vAlign w:val="bottom"/>
          </w:tcPr>
          <w:p>
            <w:pPr>
              <w:spacing w:after="0"/>
              <w:rPr>
                <w:sz w:val="20"/>
                <w:szCs w:val="20"/>
                <w:color w:val="auto"/>
              </w:rPr>
            </w:pPr>
            <w:r>
              <w:rPr>
                <w:rFonts w:ascii="Calibri" w:cs="Calibri" w:eastAsia="Calibri" w:hAnsi="Calibri"/>
                <w:sz w:val="15"/>
                <w:szCs w:val="15"/>
                <w:color w:val="auto"/>
              </w:rPr>
              <w:t>Basic</w:t>
            </w:r>
          </w:p>
        </w:tc>
        <w:tc>
          <w:tcPr>
            <w:tcW w:w="320" w:type="dxa"/>
            <w:vAlign w:val="bottom"/>
          </w:tcPr>
          <w:p>
            <w:pPr>
              <w:jc w:val="right"/>
              <w:ind w:right="163"/>
              <w:spacing w:after="0"/>
              <w:rPr>
                <w:sz w:val="20"/>
                <w:szCs w:val="20"/>
                <w:color w:val="auto"/>
              </w:rPr>
            </w:pPr>
            <w:r>
              <w:rPr>
                <w:rFonts w:ascii="Calibri" w:cs="Calibri" w:eastAsia="Calibri" w:hAnsi="Calibri"/>
                <w:sz w:val="15"/>
                <w:szCs w:val="15"/>
                <w:color w:val="auto"/>
                <w:w w:val="78"/>
              </w:rPr>
              <w:t>$</w:t>
            </w:r>
          </w:p>
        </w:tc>
        <w:tc>
          <w:tcPr>
            <w:tcW w:w="1020" w:type="dxa"/>
            <w:vAlign w:val="bottom"/>
          </w:tcPr>
          <w:p>
            <w:pPr>
              <w:jc w:val="right"/>
              <w:spacing w:after="0"/>
              <w:rPr>
                <w:sz w:val="20"/>
                <w:szCs w:val="20"/>
                <w:color w:val="auto"/>
              </w:rPr>
            </w:pPr>
            <w:r>
              <w:rPr>
                <w:rFonts w:ascii="Calibri" w:cs="Calibri" w:eastAsia="Calibri" w:hAnsi="Calibri"/>
                <w:sz w:val="15"/>
                <w:szCs w:val="15"/>
                <w:color w:val="auto"/>
              </w:rPr>
              <w:t>0.27</w:t>
            </w:r>
          </w:p>
        </w:tc>
        <w:tc>
          <w:tcPr>
            <w:tcW w:w="100" w:type="dxa"/>
            <w:vAlign w:val="bottom"/>
          </w:tcPr>
          <w:p>
            <w:pPr>
              <w:spacing w:after="0"/>
              <w:rPr>
                <w:sz w:val="15"/>
                <w:szCs w:val="15"/>
                <w:color w:val="auto"/>
              </w:rPr>
            </w:pPr>
          </w:p>
        </w:tc>
        <w:tc>
          <w:tcPr>
            <w:tcW w:w="500" w:type="dxa"/>
            <w:vAlign w:val="bottom"/>
            <w:gridSpan w:val="2"/>
          </w:tcPr>
          <w:p>
            <w:pPr>
              <w:ind w:left="200"/>
              <w:spacing w:after="0"/>
              <w:rPr>
                <w:sz w:val="20"/>
                <w:szCs w:val="20"/>
                <w:color w:val="auto"/>
              </w:rPr>
            </w:pPr>
            <w:r>
              <w:rPr>
                <w:rFonts w:ascii="Calibri" w:cs="Calibri" w:eastAsia="Calibri" w:hAnsi="Calibri"/>
                <w:sz w:val="15"/>
                <w:szCs w:val="15"/>
                <w:color w:val="auto"/>
              </w:rPr>
              <w:t>$</w:t>
            </w:r>
          </w:p>
        </w:tc>
        <w:tc>
          <w:tcPr>
            <w:tcW w:w="1020" w:type="dxa"/>
            <w:vAlign w:val="bottom"/>
          </w:tcPr>
          <w:p>
            <w:pPr>
              <w:jc w:val="right"/>
              <w:spacing w:after="0"/>
              <w:rPr>
                <w:sz w:val="20"/>
                <w:szCs w:val="20"/>
                <w:color w:val="auto"/>
              </w:rPr>
            </w:pPr>
            <w:r>
              <w:rPr>
                <w:rFonts w:ascii="Calibri" w:cs="Calibri" w:eastAsia="Calibri" w:hAnsi="Calibri"/>
                <w:sz w:val="15"/>
                <w:szCs w:val="15"/>
                <w:color w:val="auto"/>
              </w:rPr>
              <w:t>1.64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jc w:val="right"/>
              <w:ind w:right="143"/>
              <w:spacing w:after="0"/>
              <w:rPr>
                <w:sz w:val="20"/>
                <w:szCs w:val="20"/>
                <w:color w:val="auto"/>
              </w:rPr>
            </w:pPr>
            <w:r>
              <w:rPr>
                <w:rFonts w:ascii="Calibri" w:cs="Calibri" w:eastAsia="Calibri" w:hAnsi="Calibri"/>
                <w:sz w:val="15"/>
                <w:szCs w:val="15"/>
                <w:color w:val="auto"/>
              </w:rPr>
              <w:t>$</w:t>
            </w:r>
          </w:p>
        </w:tc>
        <w:tc>
          <w:tcPr>
            <w:tcW w:w="1100" w:type="dxa"/>
            <w:vAlign w:val="bottom"/>
            <w:gridSpan w:val="2"/>
          </w:tcPr>
          <w:p>
            <w:pPr>
              <w:jc w:val="right"/>
              <w:ind w:right="40"/>
              <w:spacing w:after="0"/>
              <w:rPr>
                <w:sz w:val="20"/>
                <w:szCs w:val="20"/>
                <w:color w:val="auto"/>
              </w:rPr>
            </w:pPr>
            <w:r>
              <w:rPr>
                <w:rFonts w:ascii="Calibri" w:cs="Calibri" w:eastAsia="Calibri" w:hAnsi="Calibri"/>
                <w:sz w:val="15"/>
                <w:szCs w:val="15"/>
                <w:color w:val="auto"/>
              </w:rPr>
              <w:t>(0.00 )</w:t>
            </w:r>
          </w:p>
        </w:tc>
      </w:tr>
      <w:tr>
        <w:trPr>
          <w:trHeight w:val="24"/>
        </w:trPr>
        <w:tc>
          <w:tcPr>
            <w:tcW w:w="6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
        </w:trPr>
        <w:tc>
          <w:tcPr>
            <w:tcW w:w="6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6620" w:type="dxa"/>
            <w:vAlign w:val="bottom"/>
            <w:tcBorders>
              <w:bottom w:val="single" w:sz="8" w:color="CFF0FC"/>
            </w:tcBorders>
            <w:shd w:val="clear" w:color="auto" w:fill="CFF0FC"/>
          </w:tcPr>
          <w:p>
            <w:pPr>
              <w:spacing w:after="0" w:line="158" w:lineRule="exact"/>
              <w:rPr>
                <w:sz w:val="20"/>
                <w:szCs w:val="20"/>
                <w:color w:val="auto"/>
              </w:rPr>
            </w:pPr>
            <w:r>
              <w:rPr>
                <w:rFonts w:ascii="Calibri" w:cs="Calibri" w:eastAsia="Calibri" w:hAnsi="Calibri"/>
                <w:sz w:val="15"/>
                <w:szCs w:val="15"/>
                <w:color w:val="auto"/>
              </w:rPr>
              <w:t>Diluted</w:t>
            </w:r>
          </w:p>
        </w:tc>
        <w:tc>
          <w:tcPr>
            <w:tcW w:w="320" w:type="dxa"/>
            <w:vAlign w:val="bottom"/>
            <w:tcBorders>
              <w:bottom w:val="single" w:sz="8" w:color="CFF0FC"/>
            </w:tcBorders>
            <w:shd w:val="clear" w:color="auto" w:fill="CFF0FC"/>
          </w:tcPr>
          <w:p>
            <w:pPr>
              <w:jc w:val="right"/>
              <w:ind w:right="163"/>
              <w:spacing w:after="0" w:line="158" w:lineRule="exact"/>
              <w:rPr>
                <w:sz w:val="20"/>
                <w:szCs w:val="20"/>
                <w:color w:val="auto"/>
              </w:rPr>
            </w:pPr>
            <w:r>
              <w:rPr>
                <w:rFonts w:ascii="Calibri" w:cs="Calibri" w:eastAsia="Calibri" w:hAnsi="Calibri"/>
                <w:sz w:val="15"/>
                <w:szCs w:val="15"/>
                <w:color w:val="auto"/>
                <w:w w:val="78"/>
              </w:rPr>
              <w:t>$</w:t>
            </w:r>
          </w:p>
        </w:tc>
        <w:tc>
          <w:tcPr>
            <w:tcW w:w="1020" w:type="dxa"/>
            <w:vAlign w:val="bottom"/>
            <w:tcBorders>
              <w:bottom w:val="single" w:sz="8" w:color="CFF0FC"/>
            </w:tcBorders>
            <w:shd w:val="clear" w:color="auto" w:fill="CFF0FC"/>
          </w:tcPr>
          <w:p>
            <w:pPr>
              <w:jc w:val="right"/>
              <w:spacing w:after="0" w:line="158" w:lineRule="exact"/>
              <w:rPr>
                <w:sz w:val="20"/>
                <w:szCs w:val="20"/>
                <w:color w:val="auto"/>
              </w:rPr>
            </w:pPr>
            <w:r>
              <w:rPr>
                <w:rFonts w:ascii="Calibri" w:cs="Calibri" w:eastAsia="Calibri" w:hAnsi="Calibri"/>
                <w:sz w:val="15"/>
                <w:szCs w:val="15"/>
                <w:color w:val="auto"/>
              </w:rPr>
              <w:t>0.19</w:t>
            </w:r>
          </w:p>
        </w:tc>
        <w:tc>
          <w:tcPr>
            <w:tcW w:w="10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CFF0FC"/>
            </w:tcBorders>
            <w:gridSpan w:val="2"/>
            <w:shd w:val="clear" w:color="auto" w:fill="CFF0FC"/>
          </w:tcPr>
          <w:p>
            <w:pPr>
              <w:ind w:left="200"/>
              <w:spacing w:after="0" w:line="158" w:lineRule="exact"/>
              <w:rPr>
                <w:sz w:val="20"/>
                <w:szCs w:val="20"/>
                <w:color w:val="auto"/>
              </w:rPr>
            </w:pPr>
            <w:r>
              <w:rPr>
                <w:rFonts w:ascii="Calibri" w:cs="Calibri" w:eastAsia="Calibri" w:hAnsi="Calibri"/>
                <w:sz w:val="15"/>
                <w:szCs w:val="15"/>
                <w:color w:val="auto"/>
              </w:rPr>
              <w:t>$</w:t>
            </w:r>
          </w:p>
        </w:tc>
        <w:tc>
          <w:tcPr>
            <w:tcW w:w="1020" w:type="dxa"/>
            <w:vAlign w:val="bottom"/>
            <w:tcBorders>
              <w:bottom w:val="single" w:sz="8" w:color="CFF0FC"/>
            </w:tcBorders>
            <w:shd w:val="clear" w:color="auto" w:fill="CFF0FC"/>
          </w:tcPr>
          <w:p>
            <w:pPr>
              <w:jc w:val="right"/>
              <w:spacing w:after="0" w:line="158" w:lineRule="exact"/>
              <w:rPr>
                <w:sz w:val="20"/>
                <w:szCs w:val="20"/>
                <w:color w:val="auto"/>
              </w:rPr>
            </w:pPr>
            <w:r>
              <w:rPr>
                <w:rFonts w:ascii="Calibri" w:cs="Calibri" w:eastAsia="Calibri" w:hAnsi="Calibri"/>
                <w:sz w:val="15"/>
                <w:szCs w:val="15"/>
                <w:color w:val="auto"/>
              </w:rPr>
              <w:t>0.62</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jc w:val="right"/>
              <w:ind w:right="143"/>
              <w:spacing w:after="0" w:line="158" w:lineRule="exact"/>
              <w:rPr>
                <w:sz w:val="20"/>
                <w:szCs w:val="20"/>
                <w:color w:val="auto"/>
              </w:rPr>
            </w:pPr>
            <w:r>
              <w:rPr>
                <w:rFonts w:ascii="Calibri" w:cs="Calibri" w:eastAsia="Calibri" w:hAnsi="Calibri"/>
                <w:sz w:val="15"/>
                <w:szCs w:val="15"/>
                <w:color w:val="auto"/>
              </w:rPr>
              <w:t>$</w:t>
            </w:r>
          </w:p>
        </w:tc>
        <w:tc>
          <w:tcPr>
            <w:tcW w:w="1100" w:type="dxa"/>
            <w:vAlign w:val="bottom"/>
            <w:tcBorders>
              <w:bottom w:val="single" w:sz="8" w:color="CFF0FC"/>
            </w:tcBorders>
            <w:gridSpan w:val="2"/>
            <w:shd w:val="clear" w:color="auto" w:fill="CFF0FC"/>
          </w:tcPr>
          <w:p>
            <w:pPr>
              <w:jc w:val="right"/>
              <w:ind w:right="40"/>
              <w:spacing w:after="0" w:line="158" w:lineRule="exact"/>
              <w:rPr>
                <w:sz w:val="20"/>
                <w:szCs w:val="20"/>
                <w:color w:val="auto"/>
              </w:rPr>
            </w:pPr>
            <w:r>
              <w:rPr>
                <w:rFonts w:ascii="Calibri" w:cs="Calibri" w:eastAsia="Calibri" w:hAnsi="Calibri"/>
                <w:sz w:val="15"/>
                <w:szCs w:val="15"/>
                <w:color w:val="auto"/>
              </w:rPr>
              <w:t>(0.00 )</w:t>
            </w:r>
          </w:p>
        </w:tc>
      </w:tr>
      <w:tr>
        <w:trPr>
          <w:trHeight w:val="152"/>
        </w:trPr>
        <w:tc>
          <w:tcPr>
            <w:tcW w:w="6620" w:type="dxa"/>
            <w:vAlign w:val="bottom"/>
            <w:tcBorders>
              <w:top w:val="single" w:sz="8" w:color="CFF0FC"/>
            </w:tcBorders>
          </w:tcPr>
          <w:p>
            <w:pPr>
              <w:spacing w:after="0" w:line="152" w:lineRule="exact"/>
              <w:rPr>
                <w:sz w:val="20"/>
                <w:szCs w:val="20"/>
                <w:color w:val="auto"/>
              </w:rPr>
            </w:pPr>
            <w:r>
              <w:rPr>
                <w:rFonts w:ascii="Calibri" w:cs="Calibri" w:eastAsia="Calibri" w:hAnsi="Calibri"/>
                <w:sz w:val="15"/>
                <w:szCs w:val="15"/>
                <w:color w:val="auto"/>
              </w:rPr>
              <w:t>Weighted–average number of shares of common stock used in</w:t>
            </w:r>
          </w:p>
        </w:tc>
        <w:tc>
          <w:tcPr>
            <w:tcW w:w="3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180" w:type="dxa"/>
            <w:vAlign w:val="bottom"/>
            <w:tcBorders>
              <w:top w:val="single" w:sz="8" w:color="CFF0FC"/>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160" w:type="dxa"/>
            <w:vAlign w:val="bottom"/>
            <w:tcBorders>
              <w:top w:val="single" w:sz="8" w:color="CFF0FC"/>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r>
      <w:tr>
        <w:trPr>
          <w:trHeight w:val="183"/>
        </w:trPr>
        <w:tc>
          <w:tcPr>
            <w:tcW w:w="6620" w:type="dxa"/>
            <w:vAlign w:val="bottom"/>
          </w:tcPr>
          <w:p>
            <w:pPr>
              <w:ind w:left="100"/>
              <w:spacing w:after="0"/>
              <w:rPr>
                <w:sz w:val="20"/>
                <w:szCs w:val="20"/>
                <w:color w:val="auto"/>
              </w:rPr>
            </w:pPr>
            <w:r>
              <w:rPr>
                <w:rFonts w:ascii="Calibri" w:cs="Calibri" w:eastAsia="Calibri" w:hAnsi="Calibri"/>
                <w:sz w:val="15"/>
                <w:szCs w:val="15"/>
                <w:color w:val="auto"/>
              </w:rPr>
              <w:t>computng net income (loss) per share atributable to common stockholders:</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1"/>
        </w:trPr>
        <w:tc>
          <w:tcPr>
            <w:tcW w:w="6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7"/>
        </w:trPr>
        <w:tc>
          <w:tcPr>
            <w:tcW w:w="662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5"/>
                <w:szCs w:val="15"/>
                <w:color w:val="auto"/>
              </w:rPr>
              <w:t>Basic</w:t>
            </w:r>
          </w:p>
        </w:tc>
        <w:tc>
          <w:tcPr>
            <w:tcW w:w="320" w:type="dxa"/>
            <w:vAlign w:val="bottom"/>
            <w:tcBorders>
              <w:bottom w:val="single" w:sz="8" w:color="CFF0FC"/>
            </w:tcBorders>
            <w:shd w:val="clear" w:color="auto" w:fill="CFF0FC"/>
          </w:tcPr>
          <w:p>
            <w:pPr>
              <w:spacing w:after="0"/>
              <w:rPr>
                <w:sz w:val="16"/>
                <w:szCs w:val="16"/>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113,240,139</w:t>
            </w:r>
          </w:p>
        </w:tc>
        <w:tc>
          <w:tcPr>
            <w:tcW w:w="10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CFF0FC"/>
            </w:tcBorders>
            <w:shd w:val="clear" w:color="auto" w:fill="CFF0FC"/>
          </w:tcPr>
          <w:p>
            <w:pPr>
              <w:spacing w:after="0"/>
              <w:rPr>
                <w:sz w:val="16"/>
                <w:szCs w:val="16"/>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118,474,991</w:t>
            </w:r>
          </w:p>
        </w:tc>
        <w:tc>
          <w:tcPr>
            <w:tcW w:w="1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CFF0FC"/>
            </w:tcBorders>
            <w:shd w:val="clear" w:color="auto" w:fill="CFF0FC"/>
          </w:tcPr>
          <w:p>
            <w:pPr>
              <w:spacing w:after="0"/>
              <w:rPr>
                <w:sz w:val="16"/>
                <w:szCs w:val="16"/>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117,142,062</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6620" w:type="dxa"/>
            <w:vAlign w:val="bottom"/>
          </w:tcPr>
          <w:p>
            <w:pPr>
              <w:spacing w:after="0"/>
              <w:rPr>
                <w:sz w:val="20"/>
                <w:szCs w:val="20"/>
                <w:color w:val="auto"/>
              </w:rPr>
            </w:pPr>
            <w:r>
              <w:rPr>
                <w:rFonts w:ascii="Calibri" w:cs="Calibri" w:eastAsia="Calibri" w:hAnsi="Calibri"/>
                <w:sz w:val="15"/>
                <w:szCs w:val="15"/>
                <w:color w:val="auto"/>
              </w:rPr>
              <w:t>Diluted</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alibri" w:cs="Calibri" w:eastAsia="Calibri" w:hAnsi="Calibri"/>
                <w:sz w:val="15"/>
                <w:szCs w:val="15"/>
                <w:color w:val="auto"/>
              </w:rPr>
              <w:t>114,188,834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alibri" w:cs="Calibri" w:eastAsia="Calibri" w:hAnsi="Calibri"/>
                <w:sz w:val="15"/>
                <w:szCs w:val="15"/>
                <w:color w:val="auto"/>
              </w:rPr>
              <w:t>128,150,974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alibri" w:cs="Calibri" w:eastAsia="Calibri" w:hAnsi="Calibri"/>
                <w:sz w:val="15"/>
                <w:szCs w:val="15"/>
                <w:color w:val="auto"/>
              </w:rPr>
              <w:t>117,142,062</w:t>
            </w:r>
          </w:p>
        </w:tc>
        <w:tc>
          <w:tcPr>
            <w:tcW w:w="10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5055870</wp:posOffset>
            </wp:positionH>
            <wp:positionV relativeFrom="paragraph">
              <wp:posOffset>-3768725</wp:posOffset>
            </wp:positionV>
            <wp:extent cx="73025" cy="76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3025" cy="7620"/>
                    </a:xfrm>
                    <a:prstGeom prst="rect">
                      <a:avLst/>
                    </a:prstGeom>
                    <a:noFill/>
                  </pic:spPr>
                </pic:pic>
              </a:graphicData>
            </a:graphic>
          </wp:anchor>
        </w:drawing>
        <w:drawing>
          <wp:anchor simplePos="0" relativeHeight="251657728" behindDoc="1" locked="0" layoutInCell="0" allowOverlap="1">
            <wp:simplePos x="0" y="0"/>
            <wp:positionH relativeFrom="column">
              <wp:posOffset>6085840</wp:posOffset>
            </wp:positionH>
            <wp:positionV relativeFrom="paragraph">
              <wp:posOffset>-3768725</wp:posOffset>
            </wp:positionV>
            <wp:extent cx="66040" cy="76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-3768725</wp:posOffset>
            </wp:positionV>
            <wp:extent cx="66040" cy="76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5055870</wp:posOffset>
            </wp:positionH>
            <wp:positionV relativeFrom="paragraph">
              <wp:posOffset>-2701925</wp:posOffset>
            </wp:positionV>
            <wp:extent cx="73025" cy="76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3025" cy="7620"/>
                    </a:xfrm>
                    <a:prstGeom prst="rect">
                      <a:avLst/>
                    </a:prstGeom>
                    <a:noFill/>
                  </pic:spPr>
                </pic:pic>
              </a:graphicData>
            </a:graphic>
          </wp:anchor>
        </w:drawing>
        <w:drawing>
          <wp:anchor simplePos="0" relativeHeight="251657728" behindDoc="1" locked="0" layoutInCell="0" allowOverlap="1">
            <wp:simplePos x="0" y="0"/>
            <wp:positionH relativeFrom="column">
              <wp:posOffset>6085840</wp:posOffset>
            </wp:positionH>
            <wp:positionV relativeFrom="paragraph">
              <wp:posOffset>-2701925</wp:posOffset>
            </wp:positionV>
            <wp:extent cx="66040" cy="76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-2701925</wp:posOffset>
            </wp:positionV>
            <wp:extent cx="66040" cy="76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5055870</wp:posOffset>
            </wp:positionH>
            <wp:positionV relativeFrom="paragraph">
              <wp:posOffset>-2168525</wp:posOffset>
            </wp:positionV>
            <wp:extent cx="73025" cy="76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3025" cy="7620"/>
                    </a:xfrm>
                    <a:prstGeom prst="rect">
                      <a:avLst/>
                    </a:prstGeom>
                    <a:noFill/>
                  </pic:spPr>
                </pic:pic>
              </a:graphicData>
            </a:graphic>
          </wp:anchor>
        </w:drawing>
        <w:drawing>
          <wp:anchor simplePos="0" relativeHeight="251657728" behindDoc="1" locked="0" layoutInCell="0" allowOverlap="1">
            <wp:simplePos x="0" y="0"/>
            <wp:positionH relativeFrom="column">
              <wp:posOffset>6085840</wp:posOffset>
            </wp:positionH>
            <wp:positionV relativeFrom="paragraph">
              <wp:posOffset>-2168525</wp:posOffset>
            </wp:positionV>
            <wp:extent cx="66040" cy="76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-2168525</wp:posOffset>
            </wp:positionV>
            <wp:extent cx="66040" cy="76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5055870</wp:posOffset>
            </wp:positionH>
            <wp:positionV relativeFrom="paragraph">
              <wp:posOffset>-1094740</wp:posOffset>
            </wp:positionV>
            <wp:extent cx="73025" cy="76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3025" cy="7620"/>
                    </a:xfrm>
                    <a:prstGeom prst="rect">
                      <a:avLst/>
                    </a:prstGeom>
                    <a:noFill/>
                  </pic:spPr>
                </pic:pic>
              </a:graphicData>
            </a:graphic>
          </wp:anchor>
        </w:drawing>
        <w:drawing>
          <wp:anchor simplePos="0" relativeHeight="251657728" behindDoc="1" locked="0" layoutInCell="0" allowOverlap="1">
            <wp:simplePos x="0" y="0"/>
            <wp:positionH relativeFrom="column">
              <wp:posOffset>6085840</wp:posOffset>
            </wp:positionH>
            <wp:positionV relativeFrom="paragraph">
              <wp:posOffset>-1094740</wp:posOffset>
            </wp:positionV>
            <wp:extent cx="66040" cy="76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-1094740</wp:posOffset>
            </wp:positionV>
            <wp:extent cx="66040" cy="76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5055870</wp:posOffset>
            </wp:positionH>
            <wp:positionV relativeFrom="paragraph">
              <wp:posOffset>-517525</wp:posOffset>
            </wp:positionV>
            <wp:extent cx="73025" cy="76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3025" cy="7620"/>
                    </a:xfrm>
                    <a:prstGeom prst="rect">
                      <a:avLst/>
                    </a:prstGeom>
                    <a:noFill/>
                  </pic:spPr>
                </pic:pic>
              </a:graphicData>
            </a:graphic>
          </wp:anchor>
        </w:drawing>
        <w:drawing>
          <wp:anchor simplePos="0" relativeHeight="251657728" behindDoc="1" locked="0" layoutInCell="0" allowOverlap="1">
            <wp:simplePos x="0" y="0"/>
            <wp:positionH relativeFrom="column">
              <wp:posOffset>5055870</wp:posOffset>
            </wp:positionH>
            <wp:positionV relativeFrom="paragraph">
              <wp:posOffset>-502920</wp:posOffset>
            </wp:positionV>
            <wp:extent cx="73025" cy="76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3025" cy="7620"/>
                    </a:xfrm>
                    <a:prstGeom prst="rect">
                      <a:avLst/>
                    </a:prstGeom>
                    <a:noFill/>
                  </pic:spPr>
                </pic:pic>
              </a:graphicData>
            </a:graphic>
          </wp:anchor>
        </w:drawing>
        <w:drawing>
          <wp:anchor simplePos="0" relativeHeight="251657728" behindDoc="1" locked="0" layoutInCell="0" allowOverlap="1">
            <wp:simplePos x="0" y="0"/>
            <wp:positionH relativeFrom="column">
              <wp:posOffset>6085840</wp:posOffset>
            </wp:positionH>
            <wp:positionV relativeFrom="paragraph">
              <wp:posOffset>-517525</wp:posOffset>
            </wp:positionV>
            <wp:extent cx="66040" cy="76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6085840</wp:posOffset>
            </wp:positionH>
            <wp:positionV relativeFrom="paragraph">
              <wp:posOffset>-502920</wp:posOffset>
            </wp:positionV>
            <wp:extent cx="66040" cy="76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-517525</wp:posOffset>
            </wp:positionV>
            <wp:extent cx="66040" cy="76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-502920</wp:posOffset>
            </wp:positionV>
            <wp:extent cx="66040" cy="76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6040" cy="7620"/>
                    </a:xfrm>
                    <a:prstGeom prst="rect">
                      <a:avLst/>
                    </a:prstGeom>
                    <a:noFill/>
                  </pic:spPr>
                </pic:pic>
              </a:graphicData>
            </a:graphic>
          </wp:anchor>
        </w:drawing>
      </w:r>
    </w:p>
    <w:p>
      <w:pPr>
        <w:spacing w:after="0" w:line="216" w:lineRule="exact"/>
        <w:rPr>
          <w:sz w:val="20"/>
          <w:szCs w:val="20"/>
          <w:color w:val="auto"/>
        </w:rPr>
      </w:pPr>
    </w:p>
    <w:p>
      <w:pPr>
        <w:ind w:left="2968" w:right="1500" w:hanging="2968"/>
        <w:spacing w:after="0" w:line="386" w:lineRule="auto"/>
        <w:tabs>
          <w:tab w:leader="none" w:pos="513" w:val="left"/>
        </w:tabs>
        <w:numPr>
          <w:ilvl w:val="0"/>
          <w:numId w:val="27"/>
        </w:numPr>
        <w:rPr>
          <w:rFonts w:ascii="Calibri" w:cs="Calibri" w:eastAsia="Calibri" w:hAnsi="Calibri"/>
          <w:sz w:val="21"/>
          <w:szCs w:val="21"/>
          <w:color w:val="auto"/>
          <w:vertAlign w:val="superscript"/>
        </w:rPr>
      </w:pPr>
      <w:r>
        <w:rPr>
          <w:rFonts w:ascii="Calibri" w:cs="Calibri" w:eastAsia="Calibri" w:hAnsi="Calibri"/>
          <w:sz w:val="15"/>
          <w:szCs w:val="15"/>
          <w:color w:val="auto"/>
        </w:rPr>
        <w:t>Includes depreciaton and amortzaton expense for the years ended December 31, 2023, 2022, and 2021 of $32,643, $29,852, and $26,061, respectvely. The accompanying notes are an integral part of these consolidated fnancial statements.</w:t>
      </w:r>
    </w:p>
    <w:p>
      <w:pPr>
        <w:spacing w:after="0" w:line="29" w:lineRule="exact"/>
        <w:rPr>
          <w:sz w:val="20"/>
          <w:szCs w:val="20"/>
          <w:color w:val="auto"/>
        </w:rPr>
      </w:pPr>
    </w:p>
    <w:p>
      <w:pPr>
        <w:jc w:val="center"/>
        <w:ind w:right="-7"/>
        <w:spacing w:after="0"/>
        <w:rPr>
          <w:sz w:val="20"/>
          <w:szCs w:val="20"/>
          <w:color w:val="auto"/>
        </w:rPr>
      </w:pPr>
      <w:r>
        <w:rPr>
          <w:rFonts w:ascii="Calibri" w:cs="Calibri" w:eastAsia="Calibri" w:hAnsi="Calibri"/>
          <w:sz w:val="15"/>
          <w:szCs w:val="15"/>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408940</wp:posOffset>
            </wp:positionV>
            <wp:extent cx="7178040" cy="400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8"/>
          </w:cols>
          <w:pgMar w:left="312" w:top="949" w:right="319" w:bottom="1440" w:gutter="0" w:footer="0" w:header="0"/>
        </w:sectPr>
      </w:pPr>
    </w:p>
    <w:bookmarkStart w:id="83" w:name="page84"/>
    <w:bookmarkEnd w:id="83"/>
    <w:p>
      <w:pPr>
        <w:jc w:val="center"/>
        <w:ind w:right="20"/>
        <w:spacing w:after="0"/>
        <w:rPr>
          <w:sz w:val="20"/>
          <w:szCs w:val="20"/>
          <w:color w:val="auto"/>
        </w:rPr>
      </w:pPr>
      <w:r>
        <w:rPr>
          <w:rFonts w:ascii="Calibri" w:cs="Calibri" w:eastAsia="Calibri" w:hAnsi="Calibri"/>
          <w:sz w:val="15"/>
          <w:szCs w:val="15"/>
          <w:b w:val="1"/>
          <w:bCs w:val="1"/>
          <w:color w:val="auto"/>
        </w:rPr>
        <w:t>CarGurus, Inc.</w:t>
      </w:r>
    </w:p>
    <w:p>
      <w:pPr>
        <w:spacing w:after="0" w:line="185" w:lineRule="exact"/>
        <w:rPr>
          <w:sz w:val="20"/>
          <w:szCs w:val="20"/>
          <w:color w:val="auto"/>
        </w:rPr>
      </w:pPr>
    </w:p>
    <w:p>
      <w:pPr>
        <w:jc w:val="center"/>
        <w:ind w:right="20"/>
        <w:spacing w:after="0"/>
        <w:rPr>
          <w:sz w:val="20"/>
          <w:szCs w:val="20"/>
          <w:color w:val="auto"/>
        </w:rPr>
      </w:pPr>
      <w:r>
        <w:rPr>
          <w:rFonts w:ascii="Calibri" w:cs="Calibri" w:eastAsia="Calibri" w:hAnsi="Calibri"/>
          <w:sz w:val="15"/>
          <w:szCs w:val="15"/>
          <w:b w:val="1"/>
          <w:bCs w:val="1"/>
          <w:color w:val="auto"/>
        </w:rPr>
        <w:t>Consolidated Statements of Comprehensive Income</w:t>
      </w:r>
    </w:p>
    <w:p>
      <w:pPr>
        <w:spacing w:after="0" w:line="185" w:lineRule="exact"/>
        <w:rPr>
          <w:sz w:val="20"/>
          <w:szCs w:val="20"/>
          <w:color w:val="auto"/>
        </w:rPr>
      </w:pPr>
    </w:p>
    <w:p>
      <w:pPr>
        <w:jc w:val="center"/>
        <w:ind w:right="20"/>
        <w:spacing w:after="0"/>
        <w:rPr>
          <w:sz w:val="20"/>
          <w:szCs w:val="20"/>
          <w:color w:val="auto"/>
        </w:rPr>
      </w:pPr>
      <w:r>
        <w:rPr>
          <w:rFonts w:ascii="Calibri" w:cs="Calibri" w:eastAsia="Calibri" w:hAnsi="Calibri"/>
          <w:sz w:val="15"/>
          <w:szCs w:val="15"/>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6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gridSpan w:val="4"/>
          </w:tcPr>
          <w:p>
            <w:pPr>
              <w:ind w:left="100"/>
              <w:spacing w:after="0"/>
              <w:rPr>
                <w:sz w:val="20"/>
                <w:szCs w:val="20"/>
                <w:color w:val="auto"/>
              </w:rPr>
            </w:pPr>
            <w:r>
              <w:rPr>
                <w:rFonts w:ascii="Calibri" w:cs="Calibri" w:eastAsia="Calibri" w:hAnsi="Calibri"/>
                <w:sz w:val="12"/>
                <w:szCs w:val="12"/>
                <w:b w:val="1"/>
                <w:bCs w:val="1"/>
                <w:color w:val="auto"/>
              </w:rPr>
              <w:t>Year Ended December 31,</w:t>
            </w: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66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6600" w:type="dxa"/>
            <w:vAlign w:val="bottom"/>
          </w:tcPr>
          <w:p>
            <w:pPr>
              <w:spacing w:after="0"/>
              <w:rPr>
                <w:sz w:val="11"/>
                <w:szCs w:val="11"/>
                <w:color w:val="auto"/>
              </w:rPr>
            </w:pPr>
          </w:p>
        </w:tc>
        <w:tc>
          <w:tcPr>
            <w:tcW w:w="840" w:type="dxa"/>
            <w:vAlign w:val="bottom"/>
          </w:tcPr>
          <w:p>
            <w:pPr>
              <w:jc w:val="right"/>
              <w:spacing w:after="0" w:line="138" w:lineRule="exact"/>
              <w:rPr>
                <w:sz w:val="20"/>
                <w:szCs w:val="20"/>
                <w:color w:val="auto"/>
              </w:rPr>
            </w:pPr>
            <w:r>
              <w:rPr>
                <w:rFonts w:ascii="Calibri" w:cs="Calibri" w:eastAsia="Calibri" w:hAnsi="Calibri"/>
                <w:sz w:val="12"/>
                <w:szCs w:val="12"/>
                <w:b w:val="1"/>
                <w:bCs w:val="1"/>
                <w:color w:val="auto"/>
              </w:rPr>
              <w:t>2023</w:t>
            </w: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jc w:val="right"/>
              <w:ind w:right="466"/>
              <w:spacing w:after="0" w:line="138" w:lineRule="exact"/>
              <w:rPr>
                <w:sz w:val="20"/>
                <w:szCs w:val="20"/>
                <w:color w:val="auto"/>
              </w:rPr>
            </w:pPr>
            <w:r>
              <w:rPr>
                <w:rFonts w:ascii="Calibri" w:cs="Calibri" w:eastAsia="Calibri" w:hAnsi="Calibri"/>
                <w:sz w:val="12"/>
                <w:szCs w:val="12"/>
                <w:b w:val="1"/>
                <w:bCs w:val="1"/>
                <w:color w:val="auto"/>
              </w:rPr>
              <w:t>2022</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jc w:val="right"/>
              <w:ind w:right="466"/>
              <w:spacing w:after="0" w:line="138" w:lineRule="exact"/>
              <w:rPr>
                <w:sz w:val="20"/>
                <w:szCs w:val="20"/>
                <w:color w:val="auto"/>
              </w:rPr>
            </w:pPr>
            <w:r>
              <w:rPr>
                <w:rFonts w:ascii="Calibri" w:cs="Calibri" w:eastAsia="Calibri" w:hAnsi="Calibri"/>
                <w:sz w:val="12"/>
                <w:szCs w:val="12"/>
                <w:b w:val="1"/>
                <w:bCs w:val="1"/>
                <w:color w:val="auto"/>
              </w:rPr>
              <w:t>2021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6600" w:type="dxa"/>
            <w:vAlign w:val="bottom"/>
            <w:tcBorders>
              <w:bottom w:val="single" w:sz="8" w:color="CFF0FC"/>
            </w:tcBorders>
            <w:shd w:val="clear" w:color="auto" w:fill="CFF0FC"/>
          </w:tcPr>
          <w:p>
            <w:pPr>
              <w:spacing w:after="0" w:line="174" w:lineRule="exact"/>
              <w:rPr>
                <w:sz w:val="20"/>
                <w:szCs w:val="20"/>
                <w:color w:val="auto"/>
              </w:rPr>
            </w:pPr>
            <w:r>
              <w:rPr>
                <w:rFonts w:ascii="Calibri" w:cs="Calibri" w:eastAsia="Calibri" w:hAnsi="Calibri"/>
                <w:sz w:val="15"/>
                <w:szCs w:val="15"/>
                <w:color w:val="auto"/>
              </w:rPr>
              <w:t>Consolidated net income</w:t>
            </w:r>
          </w:p>
        </w:tc>
        <w:tc>
          <w:tcPr>
            <w:tcW w:w="840" w:type="dxa"/>
            <w:vAlign w:val="bottom"/>
            <w:tcBorders>
              <w:bottom w:val="single" w:sz="8" w:color="CFF0FC"/>
            </w:tcBorders>
            <w:shd w:val="clear" w:color="auto" w:fill="CFF0FC"/>
          </w:tcPr>
          <w:p>
            <w:pPr>
              <w:jc w:val="right"/>
              <w:ind w:right="668"/>
              <w:spacing w:after="0" w:line="174" w:lineRule="exact"/>
              <w:rPr>
                <w:sz w:val="20"/>
                <w:szCs w:val="20"/>
                <w:color w:val="auto"/>
              </w:rPr>
            </w:pPr>
            <w:r>
              <w:rPr>
                <w:rFonts w:ascii="Calibri" w:cs="Calibri" w:eastAsia="Calibri" w:hAnsi="Calibri"/>
                <w:sz w:val="15"/>
                <w:szCs w:val="15"/>
                <w:color w:val="auto"/>
              </w:rPr>
              <w:t>$</w:t>
            </w:r>
          </w:p>
        </w:tc>
        <w:tc>
          <w:tcPr>
            <w:tcW w:w="500" w:type="dxa"/>
            <w:vAlign w:val="bottom"/>
            <w:tcBorders>
              <w:bottom w:val="single" w:sz="8" w:color="CFF0FC"/>
            </w:tcBorders>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22,053</w:t>
            </w:r>
          </w:p>
        </w:tc>
        <w:tc>
          <w:tcPr>
            <w:tcW w:w="180" w:type="dxa"/>
            <w:vAlign w:val="bottom"/>
            <w:tcBorders>
              <w:bottom w:val="single" w:sz="8" w:color="CFF0FC"/>
            </w:tcBorders>
            <w:shd w:val="clear" w:color="auto" w:fill="CFF0FC"/>
          </w:tcPr>
          <w:p>
            <w:pPr>
              <w:spacing w:after="0"/>
              <w:rPr>
                <w:sz w:val="15"/>
                <w:szCs w:val="15"/>
                <w:color w:val="auto"/>
              </w:rPr>
            </w:pPr>
          </w:p>
        </w:tc>
        <w:tc>
          <w:tcPr>
            <w:tcW w:w="420" w:type="dxa"/>
            <w:vAlign w:val="bottom"/>
            <w:tcBorders>
              <w:bottom w:val="single" w:sz="8" w:color="CFF0FC"/>
            </w:tcBorders>
            <w:gridSpan w:val="2"/>
            <w:shd w:val="clear" w:color="auto" w:fill="CFF0FC"/>
          </w:tcPr>
          <w:p>
            <w:pPr>
              <w:ind w:left="120"/>
              <w:spacing w:after="0" w:line="174" w:lineRule="exact"/>
              <w:rPr>
                <w:sz w:val="20"/>
                <w:szCs w:val="20"/>
                <w:color w:val="auto"/>
              </w:rPr>
            </w:pPr>
            <w:r>
              <w:rPr>
                <w:rFonts w:ascii="Calibri" w:cs="Calibri" w:eastAsia="Calibri" w:hAnsi="Calibri"/>
                <w:sz w:val="15"/>
                <w:szCs w:val="15"/>
                <w:color w:val="auto"/>
              </w:rPr>
              <w:t>$</w:t>
            </w:r>
          </w:p>
        </w:tc>
        <w:tc>
          <w:tcPr>
            <w:tcW w:w="1020" w:type="dxa"/>
            <w:vAlign w:val="bottom"/>
            <w:tcBorders>
              <w:bottom w:val="single" w:sz="8" w:color="CFF0FC"/>
            </w:tcBorders>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78,954</w:t>
            </w:r>
          </w:p>
        </w:tc>
        <w:tc>
          <w:tcPr>
            <w:tcW w:w="28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CFF0FC"/>
            </w:tcBorders>
            <w:shd w:val="clear" w:color="auto" w:fill="CFF0FC"/>
          </w:tcPr>
          <w:p>
            <w:pPr>
              <w:jc w:val="right"/>
              <w:ind w:right="143"/>
              <w:spacing w:after="0" w:line="174" w:lineRule="exact"/>
              <w:rPr>
                <w:sz w:val="20"/>
                <w:szCs w:val="20"/>
                <w:color w:val="auto"/>
              </w:rPr>
            </w:pPr>
            <w:r>
              <w:rPr>
                <w:rFonts w:ascii="Calibri" w:cs="Calibri" w:eastAsia="Calibri" w:hAnsi="Calibri"/>
                <w:sz w:val="15"/>
                <w:szCs w:val="15"/>
                <w:color w:val="auto"/>
              </w:rPr>
              <w:t>$</w:t>
            </w:r>
          </w:p>
        </w:tc>
        <w:tc>
          <w:tcPr>
            <w:tcW w:w="1000" w:type="dxa"/>
            <w:vAlign w:val="bottom"/>
            <w:tcBorders>
              <w:bottom w:val="single" w:sz="8" w:color="CFF0FC"/>
            </w:tcBorders>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110,373</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00" w:type="dxa"/>
            <w:vAlign w:val="bottom"/>
          </w:tcPr>
          <w:p>
            <w:pPr>
              <w:spacing w:after="0"/>
              <w:rPr>
                <w:sz w:val="20"/>
                <w:szCs w:val="20"/>
                <w:color w:val="auto"/>
              </w:rPr>
            </w:pPr>
            <w:r>
              <w:rPr>
                <w:rFonts w:ascii="Calibri" w:cs="Calibri" w:eastAsia="Calibri" w:hAnsi="Calibri"/>
                <w:sz w:val="15"/>
                <w:szCs w:val="15"/>
                <w:color w:val="auto"/>
              </w:rPr>
              <w:t>Other comprehensive income:</w:t>
            </w: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6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600" w:type="dxa"/>
            <w:vAlign w:val="bottom"/>
            <w:tcBorders>
              <w:bottom w:val="single" w:sz="8" w:color="CFF0FC"/>
            </w:tcBorders>
            <w:shd w:val="clear" w:color="auto" w:fill="CFF0FC"/>
          </w:tcPr>
          <w:p>
            <w:pPr>
              <w:ind w:left="160"/>
              <w:spacing w:after="0"/>
              <w:rPr>
                <w:sz w:val="20"/>
                <w:szCs w:val="20"/>
                <w:color w:val="auto"/>
              </w:rPr>
            </w:pPr>
            <w:r>
              <w:rPr>
                <w:rFonts w:ascii="Calibri" w:cs="Calibri" w:eastAsia="Calibri" w:hAnsi="Calibri"/>
                <w:sz w:val="15"/>
                <w:szCs w:val="15"/>
                <w:color w:val="auto"/>
              </w:rPr>
              <w:t>Foreign currency translaton adjustment</w:t>
            </w:r>
          </w:p>
        </w:tc>
        <w:tc>
          <w:tcPr>
            <w:tcW w:w="84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743</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Calibri" w:cs="Calibri" w:eastAsia="Calibri" w:hAnsi="Calibri"/>
                <w:sz w:val="15"/>
                <w:szCs w:val="15"/>
                <w:color w:val="auto"/>
              </w:rPr>
              <w:t>(1,241 )</w:t>
            </w:r>
          </w:p>
        </w:tc>
        <w:tc>
          <w:tcPr>
            <w:tcW w:w="32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gridSpan w:val="2"/>
            <w:shd w:val="clear" w:color="auto" w:fill="CFF0FC"/>
          </w:tcPr>
          <w:p>
            <w:pPr>
              <w:jc w:val="right"/>
              <w:ind w:right="40"/>
              <w:spacing w:after="0"/>
              <w:rPr>
                <w:sz w:val="20"/>
                <w:szCs w:val="20"/>
                <w:color w:val="auto"/>
              </w:rPr>
            </w:pPr>
            <w:r>
              <w:rPr>
                <w:rFonts w:ascii="Calibri" w:cs="Calibri" w:eastAsia="Calibri" w:hAnsi="Calibri"/>
                <w:sz w:val="15"/>
                <w:szCs w:val="15"/>
                <w:color w:val="auto"/>
              </w:rPr>
              <w:t>(2,283 )</w:t>
            </w:r>
          </w:p>
        </w:tc>
        <w:tc>
          <w:tcPr>
            <w:tcW w:w="0" w:type="dxa"/>
            <w:vAlign w:val="bottom"/>
          </w:tcPr>
          <w:p>
            <w:pPr>
              <w:spacing w:after="0"/>
              <w:rPr>
                <w:sz w:val="1"/>
                <w:szCs w:val="1"/>
                <w:color w:val="auto"/>
              </w:rPr>
            </w:pPr>
          </w:p>
        </w:tc>
      </w:tr>
      <w:tr>
        <w:trPr>
          <w:trHeight w:val="175"/>
        </w:trPr>
        <w:tc>
          <w:tcPr>
            <w:tcW w:w="6600" w:type="dxa"/>
            <w:vAlign w:val="bottom"/>
            <w:tcBorders>
              <w:top w:val="single" w:sz="8" w:color="CFF0FC"/>
            </w:tcBorders>
          </w:tcPr>
          <w:p>
            <w:pPr>
              <w:spacing w:after="0" w:line="174" w:lineRule="exact"/>
              <w:rPr>
                <w:sz w:val="20"/>
                <w:szCs w:val="20"/>
                <w:color w:val="auto"/>
              </w:rPr>
            </w:pPr>
            <w:r>
              <w:rPr>
                <w:rFonts w:ascii="Calibri" w:cs="Calibri" w:eastAsia="Calibri" w:hAnsi="Calibri"/>
                <w:sz w:val="15"/>
                <w:szCs w:val="15"/>
                <w:color w:val="auto"/>
              </w:rPr>
              <w:t>Consolidated comprehensive income</w:t>
            </w:r>
          </w:p>
        </w:tc>
        <w:tc>
          <w:tcPr>
            <w:tcW w:w="84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jc w:val="right"/>
              <w:spacing w:after="0" w:line="174" w:lineRule="exact"/>
              <w:rPr>
                <w:sz w:val="20"/>
                <w:szCs w:val="20"/>
                <w:color w:val="auto"/>
              </w:rPr>
            </w:pPr>
            <w:r>
              <w:rPr>
                <w:rFonts w:ascii="Calibri" w:cs="Calibri" w:eastAsia="Calibri" w:hAnsi="Calibri"/>
                <w:sz w:val="15"/>
                <w:szCs w:val="15"/>
                <w:color w:val="auto"/>
              </w:rPr>
              <w:t>22,796</w:t>
            </w:r>
          </w:p>
        </w:tc>
        <w:tc>
          <w:tcPr>
            <w:tcW w:w="18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line="174" w:lineRule="exact"/>
              <w:rPr>
                <w:sz w:val="20"/>
                <w:szCs w:val="20"/>
                <w:color w:val="auto"/>
              </w:rPr>
            </w:pPr>
            <w:r>
              <w:rPr>
                <w:rFonts w:ascii="Calibri" w:cs="Calibri" w:eastAsia="Calibri" w:hAnsi="Calibri"/>
                <w:sz w:val="15"/>
                <w:szCs w:val="15"/>
                <w:color w:val="auto"/>
              </w:rPr>
              <w:t>77,713</w:t>
            </w:r>
          </w:p>
        </w:tc>
        <w:tc>
          <w:tcPr>
            <w:tcW w:w="280" w:type="dxa"/>
            <w:vAlign w:val="bottom"/>
            <w:tcBorders>
              <w:top w:val="single" w:sz="8" w:color="CFF0FC"/>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line="174" w:lineRule="exact"/>
              <w:rPr>
                <w:sz w:val="20"/>
                <w:szCs w:val="20"/>
                <w:color w:val="auto"/>
              </w:rPr>
            </w:pPr>
            <w:r>
              <w:rPr>
                <w:rFonts w:ascii="Calibri" w:cs="Calibri" w:eastAsia="Calibri" w:hAnsi="Calibri"/>
                <w:sz w:val="15"/>
                <w:szCs w:val="15"/>
                <w:color w:val="auto"/>
              </w:rPr>
              <w:t>108,090</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6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600" w:type="dxa"/>
            <w:vAlign w:val="bottom"/>
            <w:shd w:val="clear" w:color="auto" w:fill="CFF0FC"/>
          </w:tcPr>
          <w:p>
            <w:pPr>
              <w:ind w:left="160"/>
              <w:spacing w:after="0" w:line="178" w:lineRule="exact"/>
              <w:rPr>
                <w:sz w:val="20"/>
                <w:szCs w:val="20"/>
                <w:color w:val="auto"/>
              </w:rPr>
            </w:pPr>
            <w:r>
              <w:rPr>
                <w:rFonts w:ascii="Calibri" w:cs="Calibri" w:eastAsia="Calibri" w:hAnsi="Calibri"/>
                <w:sz w:val="15"/>
                <w:szCs w:val="15"/>
                <w:color w:val="auto"/>
              </w:rPr>
              <w:t>Comprehensive (loss) income atributable to redeemable</w:t>
            </w:r>
          </w:p>
        </w:tc>
        <w:tc>
          <w:tcPr>
            <w:tcW w:w="840" w:type="dxa"/>
            <w:vAlign w:val="bottom"/>
            <w:shd w:val="clear" w:color="auto" w:fill="CFF0FC"/>
          </w:tcPr>
          <w:p>
            <w:pPr>
              <w:spacing w:after="0"/>
              <w:rPr>
                <w:sz w:val="15"/>
                <w:szCs w:val="15"/>
                <w:color w:val="auto"/>
              </w:rPr>
            </w:pPr>
          </w:p>
        </w:tc>
        <w:tc>
          <w:tcPr>
            <w:tcW w:w="680" w:type="dxa"/>
            <w:vAlign w:val="bottom"/>
            <w:gridSpan w:val="2"/>
            <w:vMerge w:val="restart"/>
            <w:shd w:val="clear" w:color="auto" w:fill="CFF0FC"/>
          </w:tcPr>
          <w:p>
            <w:pPr>
              <w:jc w:val="right"/>
              <w:ind w:right="120"/>
              <w:spacing w:after="0"/>
              <w:rPr>
                <w:sz w:val="20"/>
                <w:szCs w:val="20"/>
                <w:color w:val="auto"/>
              </w:rPr>
            </w:pPr>
            <w:r>
              <w:rPr>
                <w:rFonts w:ascii="Calibri" w:cs="Calibri" w:eastAsia="Calibri" w:hAnsi="Calibri"/>
                <w:sz w:val="15"/>
                <w:szCs w:val="15"/>
                <w:color w:val="auto"/>
                <w:w w:val="99"/>
              </w:rPr>
              <w:t>(14,889 )</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300" w:type="dxa"/>
            <w:vAlign w:val="bottom"/>
            <w:gridSpan w:val="2"/>
            <w:vMerge w:val="restart"/>
            <w:shd w:val="clear" w:color="auto" w:fill="CFF0FC"/>
          </w:tcPr>
          <w:p>
            <w:pPr>
              <w:jc w:val="right"/>
              <w:ind w:right="220"/>
              <w:spacing w:after="0"/>
              <w:rPr>
                <w:sz w:val="20"/>
                <w:szCs w:val="20"/>
                <w:color w:val="auto"/>
              </w:rPr>
            </w:pPr>
            <w:r>
              <w:rPr>
                <w:rFonts w:ascii="Calibri" w:cs="Calibri" w:eastAsia="Calibri" w:hAnsi="Calibri"/>
                <w:sz w:val="15"/>
                <w:szCs w:val="15"/>
                <w:color w:val="auto"/>
              </w:rPr>
              <w:t>(5,433 )</w:t>
            </w:r>
          </w:p>
        </w:tc>
        <w:tc>
          <w:tcPr>
            <w:tcW w:w="320" w:type="dxa"/>
            <w:vAlign w:val="bottom"/>
            <w:shd w:val="clear" w:color="auto" w:fill="CFF0FC"/>
          </w:tcPr>
          <w:p>
            <w:pPr>
              <w:spacing w:after="0"/>
              <w:rPr>
                <w:sz w:val="15"/>
                <w:szCs w:val="15"/>
                <w:color w:val="auto"/>
              </w:rPr>
            </w:pPr>
          </w:p>
        </w:tc>
        <w:tc>
          <w:tcPr>
            <w:tcW w:w="1000" w:type="dxa"/>
            <w:vAlign w:val="bottom"/>
            <w:vMerge w:val="restart"/>
            <w:shd w:val="clear" w:color="auto" w:fill="CFF0FC"/>
          </w:tcPr>
          <w:p>
            <w:pPr>
              <w:jc w:val="right"/>
              <w:spacing w:after="0"/>
              <w:rPr>
                <w:sz w:val="20"/>
                <w:szCs w:val="20"/>
                <w:color w:val="auto"/>
              </w:rPr>
            </w:pPr>
            <w:r>
              <w:rPr>
                <w:rFonts w:ascii="Calibri" w:cs="Calibri" w:eastAsia="Calibri" w:hAnsi="Calibri"/>
                <w:sz w:val="15"/>
                <w:szCs w:val="15"/>
                <w:color w:val="auto"/>
              </w:rPr>
              <w:t>1,129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6600" w:type="dxa"/>
            <w:vAlign w:val="bottom"/>
            <w:shd w:val="clear" w:color="auto" w:fill="CFF0FC"/>
          </w:tcPr>
          <w:p>
            <w:pPr>
              <w:ind w:left="260"/>
              <w:spacing w:after="0"/>
              <w:rPr>
                <w:sz w:val="20"/>
                <w:szCs w:val="20"/>
                <w:color w:val="auto"/>
              </w:rPr>
            </w:pPr>
            <w:r>
              <w:rPr>
                <w:rFonts w:ascii="Calibri" w:cs="Calibri" w:eastAsia="Calibri" w:hAnsi="Calibri"/>
                <w:sz w:val="15"/>
                <w:szCs w:val="15"/>
                <w:color w:val="auto"/>
              </w:rPr>
              <w:t>noncontrolling interests</w:t>
            </w:r>
          </w:p>
        </w:tc>
        <w:tc>
          <w:tcPr>
            <w:tcW w:w="840" w:type="dxa"/>
            <w:vAlign w:val="bottom"/>
            <w:shd w:val="clear" w:color="auto" w:fill="CFF0FC"/>
          </w:tcPr>
          <w:p>
            <w:pPr>
              <w:spacing w:after="0"/>
              <w:rPr>
                <w:sz w:val="16"/>
                <w:szCs w:val="16"/>
                <w:color w:val="auto"/>
              </w:rPr>
            </w:pPr>
          </w:p>
        </w:tc>
        <w:tc>
          <w:tcPr>
            <w:tcW w:w="68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300" w:type="dxa"/>
            <w:vAlign w:val="bottom"/>
            <w:gridSpan w:val="2"/>
            <w:vMerge w:val="continue"/>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0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600" w:type="dxa"/>
            <w:vAlign w:val="bottom"/>
            <w:tcBorders>
              <w:top w:val="single" w:sz="8" w:color="CFF0FC"/>
            </w:tcBorders>
          </w:tcPr>
          <w:p>
            <w:pPr>
              <w:spacing w:after="0"/>
              <w:rPr>
                <w:sz w:val="20"/>
                <w:szCs w:val="20"/>
                <w:color w:val="auto"/>
              </w:rPr>
            </w:pPr>
            <w:r>
              <w:rPr>
                <w:rFonts w:ascii="Calibri" w:cs="Calibri" w:eastAsia="Calibri" w:hAnsi="Calibri"/>
                <w:sz w:val="15"/>
                <w:szCs w:val="15"/>
                <w:color w:val="auto"/>
              </w:rPr>
              <w:t>Comprehensive income atributable to CarGurus, Inc.</w:t>
            </w:r>
          </w:p>
        </w:tc>
        <w:tc>
          <w:tcPr>
            <w:tcW w:w="840" w:type="dxa"/>
            <w:vAlign w:val="bottom"/>
            <w:tcBorders>
              <w:top w:val="single" w:sz="8" w:color="auto"/>
            </w:tcBorders>
          </w:tcPr>
          <w:p>
            <w:pPr>
              <w:jc w:val="right"/>
              <w:ind w:right="668"/>
              <w:spacing w:after="0"/>
              <w:rPr>
                <w:sz w:val="20"/>
                <w:szCs w:val="20"/>
                <w:color w:val="auto"/>
              </w:rPr>
            </w:pPr>
            <w:r>
              <w:rPr>
                <w:rFonts w:ascii="Calibri" w:cs="Calibri" w:eastAsia="Calibri" w:hAnsi="Calibri"/>
                <w:sz w:val="15"/>
                <w:szCs w:val="15"/>
                <w:color w:val="auto"/>
              </w:rPr>
              <w:t>$</w:t>
            </w:r>
          </w:p>
        </w:tc>
        <w:tc>
          <w:tcPr>
            <w:tcW w:w="500" w:type="dxa"/>
            <w:vAlign w:val="bottom"/>
            <w:tcBorders>
              <w:top w:val="single" w:sz="8" w:color="auto"/>
            </w:tcBorders>
          </w:tcPr>
          <w:p>
            <w:pPr>
              <w:jc w:val="right"/>
              <w:spacing w:after="0"/>
              <w:rPr>
                <w:sz w:val="20"/>
                <w:szCs w:val="20"/>
                <w:color w:val="auto"/>
              </w:rPr>
            </w:pPr>
            <w:r>
              <w:rPr>
                <w:rFonts w:ascii="Calibri" w:cs="Calibri" w:eastAsia="Calibri" w:hAnsi="Calibri"/>
                <w:sz w:val="15"/>
                <w:szCs w:val="15"/>
                <w:color w:val="auto"/>
              </w:rPr>
              <w:t>37,685</w:t>
            </w:r>
          </w:p>
        </w:tc>
        <w:tc>
          <w:tcPr>
            <w:tcW w:w="18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300" w:type="dxa"/>
            <w:vAlign w:val="bottom"/>
            <w:tcBorders>
              <w:top w:val="single" w:sz="8" w:color="auto"/>
            </w:tcBorders>
          </w:tcPr>
          <w:p>
            <w:pPr>
              <w:spacing w:after="0"/>
              <w:rPr>
                <w:sz w:val="20"/>
                <w:szCs w:val="20"/>
                <w:color w:val="auto"/>
              </w:rPr>
            </w:pPr>
            <w:r>
              <w:rPr>
                <w:rFonts w:ascii="Calibri" w:cs="Calibri" w:eastAsia="Calibri" w:hAnsi="Calibri"/>
                <w:sz w:val="15"/>
                <w:szCs w:val="15"/>
                <w:color w:val="auto"/>
              </w:rPr>
              <w:t>$</w:t>
            </w:r>
          </w:p>
        </w:tc>
        <w:tc>
          <w:tcPr>
            <w:tcW w:w="1020" w:type="dxa"/>
            <w:vAlign w:val="bottom"/>
            <w:tcBorders>
              <w:top w:val="single" w:sz="8" w:color="auto"/>
            </w:tcBorders>
          </w:tcPr>
          <w:p>
            <w:pPr>
              <w:jc w:val="right"/>
              <w:spacing w:after="0"/>
              <w:rPr>
                <w:sz w:val="20"/>
                <w:szCs w:val="20"/>
                <w:color w:val="auto"/>
              </w:rPr>
            </w:pPr>
            <w:r>
              <w:rPr>
                <w:rFonts w:ascii="Calibri" w:cs="Calibri" w:eastAsia="Calibri" w:hAnsi="Calibri"/>
                <w:sz w:val="15"/>
                <w:szCs w:val="15"/>
                <w:color w:val="auto"/>
              </w:rPr>
              <w:t>83,146</w:t>
            </w:r>
          </w:p>
        </w:tc>
        <w:tc>
          <w:tcPr>
            <w:tcW w:w="280" w:type="dxa"/>
            <w:vAlign w:val="bottom"/>
            <w:tcBorders>
              <w:top w:val="single" w:sz="8" w:color="CFF0FC"/>
            </w:tcBorders>
          </w:tcPr>
          <w:p>
            <w:pPr>
              <w:spacing w:after="0"/>
              <w:rPr>
                <w:sz w:val="15"/>
                <w:szCs w:val="15"/>
                <w:color w:val="auto"/>
              </w:rPr>
            </w:pPr>
          </w:p>
        </w:tc>
        <w:tc>
          <w:tcPr>
            <w:tcW w:w="320" w:type="dxa"/>
            <w:vAlign w:val="bottom"/>
            <w:tcBorders>
              <w:top w:val="single" w:sz="8" w:color="auto"/>
            </w:tcBorders>
          </w:tcPr>
          <w:p>
            <w:pPr>
              <w:jc w:val="right"/>
              <w:ind w:right="143"/>
              <w:spacing w:after="0"/>
              <w:rPr>
                <w:sz w:val="20"/>
                <w:szCs w:val="20"/>
                <w:color w:val="auto"/>
              </w:rPr>
            </w:pPr>
            <w:r>
              <w:rPr>
                <w:rFonts w:ascii="Calibri" w:cs="Calibri" w:eastAsia="Calibri" w:hAnsi="Calibri"/>
                <w:sz w:val="15"/>
                <w:szCs w:val="15"/>
                <w:color w:val="auto"/>
              </w:rPr>
              <w:t>$</w:t>
            </w:r>
          </w:p>
        </w:tc>
        <w:tc>
          <w:tcPr>
            <w:tcW w:w="1000" w:type="dxa"/>
            <w:vAlign w:val="bottom"/>
            <w:tcBorders>
              <w:top w:val="single" w:sz="8" w:color="auto"/>
            </w:tcBorders>
          </w:tcPr>
          <w:p>
            <w:pPr>
              <w:jc w:val="right"/>
              <w:spacing w:after="0"/>
              <w:rPr>
                <w:sz w:val="20"/>
                <w:szCs w:val="20"/>
                <w:color w:val="auto"/>
              </w:rPr>
            </w:pPr>
            <w:r>
              <w:rPr>
                <w:rFonts w:ascii="Calibri" w:cs="Calibri" w:eastAsia="Calibri" w:hAnsi="Calibri"/>
                <w:sz w:val="15"/>
                <w:szCs w:val="15"/>
                <w:color w:val="auto"/>
              </w:rPr>
              <w:t>106,961</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66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5043170</wp:posOffset>
            </wp:positionH>
            <wp:positionV relativeFrom="paragraph">
              <wp:posOffset>-539750</wp:posOffset>
            </wp:positionV>
            <wp:extent cx="73025" cy="76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3025" cy="7620"/>
                    </a:xfrm>
                    <a:prstGeom prst="rect">
                      <a:avLst/>
                    </a:prstGeom>
                    <a:noFill/>
                  </pic:spPr>
                </pic:pic>
              </a:graphicData>
            </a:graphic>
          </wp:anchor>
        </w:drawing>
        <w:drawing>
          <wp:anchor simplePos="0" relativeHeight="251657728" behindDoc="1" locked="0" layoutInCell="0" allowOverlap="1">
            <wp:simplePos x="0" y="0"/>
            <wp:positionH relativeFrom="column">
              <wp:posOffset>6073775</wp:posOffset>
            </wp:positionH>
            <wp:positionV relativeFrom="paragraph">
              <wp:posOffset>-539750</wp:posOffset>
            </wp:positionV>
            <wp:extent cx="73025" cy="76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3025" cy="7620"/>
                    </a:xfrm>
                    <a:prstGeom prst="rect">
                      <a:avLst/>
                    </a:prstGeom>
                    <a:noFill/>
                  </pic:spPr>
                </pic:pic>
              </a:graphicData>
            </a:graphic>
          </wp:anchor>
        </w:drawing>
        <w:drawing>
          <wp:anchor simplePos="0" relativeHeight="251657728" behindDoc="1" locked="0" layoutInCell="0" allowOverlap="1">
            <wp:simplePos x="0" y="0"/>
            <wp:positionH relativeFrom="column">
              <wp:posOffset>7081520</wp:posOffset>
            </wp:positionH>
            <wp:positionV relativeFrom="paragraph">
              <wp:posOffset>-539750</wp:posOffset>
            </wp:positionV>
            <wp:extent cx="66040" cy="76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5043170</wp:posOffset>
            </wp:positionH>
            <wp:positionV relativeFrom="paragraph">
              <wp:posOffset>-160020</wp:posOffset>
            </wp:positionV>
            <wp:extent cx="73025" cy="76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3025" cy="7620"/>
                    </a:xfrm>
                    <a:prstGeom prst="rect">
                      <a:avLst/>
                    </a:prstGeom>
                    <a:noFill/>
                  </pic:spPr>
                </pic:pic>
              </a:graphicData>
            </a:graphic>
          </wp:anchor>
        </w:drawing>
        <w:drawing>
          <wp:anchor simplePos="0" relativeHeight="251657728" behindDoc="1" locked="0" layoutInCell="0" allowOverlap="1">
            <wp:simplePos x="0" y="0"/>
            <wp:positionH relativeFrom="column">
              <wp:posOffset>6073775</wp:posOffset>
            </wp:positionH>
            <wp:positionV relativeFrom="paragraph">
              <wp:posOffset>-160020</wp:posOffset>
            </wp:positionV>
            <wp:extent cx="73025" cy="76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3025" cy="7620"/>
                    </a:xfrm>
                    <a:prstGeom prst="rect">
                      <a:avLst/>
                    </a:prstGeom>
                    <a:noFill/>
                  </pic:spPr>
                </pic:pic>
              </a:graphicData>
            </a:graphic>
          </wp:anchor>
        </w:drawing>
        <w:drawing>
          <wp:anchor simplePos="0" relativeHeight="251657728" behindDoc="1" locked="0" layoutInCell="0" allowOverlap="1">
            <wp:simplePos x="0" y="0"/>
            <wp:positionH relativeFrom="column">
              <wp:posOffset>7081520</wp:posOffset>
            </wp:positionH>
            <wp:positionV relativeFrom="paragraph">
              <wp:posOffset>-160020</wp:posOffset>
            </wp:positionV>
            <wp:extent cx="66040" cy="76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6040" cy="7620"/>
                    </a:xfrm>
                    <a:prstGeom prst="rect">
                      <a:avLst/>
                    </a:prstGeom>
                    <a:noFill/>
                  </pic:spPr>
                </pic:pic>
              </a:graphicData>
            </a:graphic>
          </wp:anchor>
        </w:drawing>
      </w:r>
    </w:p>
    <w:p>
      <w:pPr>
        <w:spacing w:after="0" w:line="192" w:lineRule="exact"/>
        <w:rPr>
          <w:sz w:val="20"/>
          <w:szCs w:val="20"/>
          <w:color w:val="auto"/>
        </w:rPr>
      </w:pPr>
    </w:p>
    <w:p>
      <w:pPr>
        <w:jc w:val="center"/>
        <w:ind w:right="20"/>
        <w:spacing w:after="0"/>
        <w:rPr>
          <w:sz w:val="20"/>
          <w:szCs w:val="20"/>
          <w:color w:val="auto"/>
        </w:rPr>
      </w:pPr>
      <w:r>
        <w:rPr>
          <w:rFonts w:ascii="Calibri" w:cs="Calibri" w:eastAsia="Calibri" w:hAnsi="Calibri"/>
          <w:sz w:val="15"/>
          <w:szCs w:val="15"/>
          <w:color w:val="auto"/>
        </w:rPr>
        <w:t>The accompanying notes are an integral part of these consolidated fnancial statements.</w:t>
      </w:r>
    </w:p>
    <w:p>
      <w:pPr>
        <w:spacing w:after="0" w:line="185" w:lineRule="exact"/>
        <w:rPr>
          <w:sz w:val="20"/>
          <w:szCs w:val="20"/>
          <w:color w:val="auto"/>
        </w:rPr>
      </w:pPr>
    </w:p>
    <w:p>
      <w:pPr>
        <w:jc w:val="center"/>
        <w:spacing w:after="0"/>
        <w:rPr>
          <w:sz w:val="20"/>
          <w:szCs w:val="20"/>
          <w:color w:val="auto"/>
        </w:rPr>
      </w:pPr>
      <w:r>
        <w:rPr>
          <w:rFonts w:ascii="Calibri" w:cs="Calibri" w:eastAsia="Calibri" w:hAnsi="Calibri"/>
          <w:sz w:val="15"/>
          <w:szCs w:val="15"/>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408940</wp:posOffset>
            </wp:positionV>
            <wp:extent cx="7178040" cy="400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949" w:right="319" w:bottom="1440" w:gutter="0" w:footer="0" w:header="0"/>
        </w:sectPr>
      </w:pPr>
    </w:p>
    <w:bookmarkStart w:id="84" w:name="page85"/>
    <w:bookmarkEnd w:id="84"/>
    <w:p>
      <w:pPr>
        <w:jc w:val="center"/>
        <w:ind w:right="20"/>
        <w:spacing w:after="0"/>
        <w:rPr>
          <w:sz w:val="20"/>
          <w:szCs w:val="20"/>
          <w:color w:val="auto"/>
        </w:rPr>
      </w:pPr>
      <w:r>
        <w:rPr>
          <w:rFonts w:ascii="Calibri" w:cs="Calibri" w:eastAsia="Calibri" w:hAnsi="Calibri"/>
          <w:sz w:val="15"/>
          <w:szCs w:val="15"/>
          <w:b w:val="1"/>
          <w:bCs w:val="1"/>
          <w:color w:val="auto"/>
        </w:rPr>
        <w:t>CarGurus, Inc.</w:t>
      </w:r>
    </w:p>
    <w:p>
      <w:pPr>
        <w:spacing w:after="0" w:line="93" w:lineRule="exact"/>
        <w:rPr>
          <w:sz w:val="20"/>
          <w:szCs w:val="20"/>
          <w:color w:val="auto"/>
        </w:rPr>
      </w:pPr>
    </w:p>
    <w:p>
      <w:pPr>
        <w:jc w:val="center"/>
        <w:spacing w:after="0"/>
        <w:rPr>
          <w:sz w:val="20"/>
          <w:szCs w:val="20"/>
          <w:color w:val="auto"/>
        </w:rPr>
      </w:pPr>
      <w:r>
        <w:rPr>
          <w:rFonts w:ascii="Calibri" w:cs="Calibri" w:eastAsia="Calibri" w:hAnsi="Calibri"/>
          <w:sz w:val="15"/>
          <w:szCs w:val="15"/>
          <w:b w:val="1"/>
          <w:bCs w:val="1"/>
          <w:color w:val="auto"/>
        </w:rPr>
        <w:t>Consolidated Statements of Redeemable Noncontrolling Interest and Stockholders’ Equity</w:t>
      </w:r>
    </w:p>
    <w:p>
      <w:pPr>
        <w:spacing w:after="0" w:line="93" w:lineRule="exact"/>
        <w:rPr>
          <w:sz w:val="20"/>
          <w:szCs w:val="20"/>
          <w:color w:val="auto"/>
        </w:rPr>
      </w:pPr>
    </w:p>
    <w:p>
      <w:pPr>
        <w:jc w:val="center"/>
        <w:ind w:right="20"/>
        <w:spacing w:after="0"/>
        <w:rPr>
          <w:sz w:val="20"/>
          <w:szCs w:val="20"/>
          <w:color w:val="auto"/>
        </w:rPr>
      </w:pPr>
      <w:r>
        <w:rPr>
          <w:rFonts w:ascii="Calibri" w:cs="Calibri" w:eastAsia="Calibri" w:hAnsi="Calibri"/>
          <w:sz w:val="15"/>
          <w:szCs w:val="15"/>
          <w:b w:val="1"/>
          <w:bCs w:val="1"/>
          <w:color w:val="auto"/>
        </w:rPr>
        <w:t>(in thousands, except share data)</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3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restart"/>
          </w:tcPr>
          <w:p>
            <w:pPr>
              <w:jc w:val="right"/>
              <w:spacing w:after="0"/>
              <w:rPr>
                <w:sz w:val="20"/>
                <w:szCs w:val="20"/>
                <w:color w:val="auto"/>
              </w:rPr>
            </w:pPr>
            <w:r>
              <w:rPr>
                <w:rFonts w:ascii="Calibri" w:cs="Calibri" w:eastAsia="Calibri" w:hAnsi="Calibri"/>
                <w:sz w:val="10"/>
                <w:szCs w:val="10"/>
                <w:b w:val="1"/>
                <w:bCs w:val="1"/>
                <w:color w:val="auto"/>
              </w:rPr>
              <w:t>Class A</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gridSpan w:val="2"/>
            <w:vMerge w:val="restart"/>
          </w:tcPr>
          <w:p>
            <w:pPr>
              <w:jc w:val="center"/>
              <w:ind w:left="570"/>
              <w:spacing w:after="0"/>
              <w:rPr>
                <w:sz w:val="20"/>
                <w:szCs w:val="20"/>
                <w:color w:val="auto"/>
              </w:rPr>
            </w:pPr>
            <w:r>
              <w:rPr>
                <w:rFonts w:ascii="Calibri" w:cs="Calibri" w:eastAsia="Calibri" w:hAnsi="Calibri"/>
                <w:sz w:val="10"/>
                <w:szCs w:val="10"/>
                <w:b w:val="1"/>
                <w:bCs w:val="1"/>
                <w:color w:val="auto"/>
                <w:w w:val="97"/>
              </w:rPr>
              <w:t>Class B</w:t>
            </w: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2"/>
          </w:tcPr>
          <w:p>
            <w:pPr>
              <w:jc w:val="center"/>
              <w:ind w:right="280"/>
              <w:spacing w:after="0"/>
              <w:rPr>
                <w:sz w:val="20"/>
                <w:szCs w:val="20"/>
                <w:color w:val="auto"/>
              </w:rPr>
            </w:pPr>
            <w:r>
              <w:rPr>
                <w:rFonts w:ascii="Calibri" w:cs="Calibri" w:eastAsia="Calibri" w:hAnsi="Calibri"/>
                <w:sz w:val="10"/>
                <w:szCs w:val="10"/>
                <w:b w:val="1"/>
                <w:bCs w:val="1"/>
                <w:color w:val="auto"/>
                <w:w w:val="98"/>
              </w:rPr>
              <w:t>Accumulated</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344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Borders>
              <w:right w:val="single" w:sz="8" w:color="auto"/>
            </w:tcBorders>
            <w:gridSpan w:val="2"/>
          </w:tcPr>
          <w:p>
            <w:pPr>
              <w:jc w:val="center"/>
              <w:ind w:right="180"/>
              <w:spacing w:after="0" w:line="104" w:lineRule="exact"/>
              <w:rPr>
                <w:sz w:val="20"/>
                <w:szCs w:val="20"/>
                <w:color w:val="auto"/>
              </w:rPr>
            </w:pPr>
            <w:r>
              <w:rPr>
                <w:rFonts w:ascii="Calibri" w:cs="Calibri" w:eastAsia="Calibri" w:hAnsi="Calibri"/>
                <w:sz w:val="10"/>
                <w:szCs w:val="10"/>
                <w:b w:val="1"/>
                <w:bCs w:val="1"/>
                <w:color w:val="auto"/>
                <w:w w:val="99"/>
              </w:rPr>
              <w:t>Redeemable</w:t>
            </w:r>
          </w:p>
        </w:tc>
        <w:tc>
          <w:tcPr>
            <w:tcW w:w="10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tcPr>
          <w:p>
            <w:pPr>
              <w:jc w:val="center"/>
              <w:ind w:right="320"/>
              <w:spacing w:after="0" w:line="104" w:lineRule="exact"/>
              <w:rPr>
                <w:sz w:val="20"/>
                <w:szCs w:val="20"/>
                <w:color w:val="auto"/>
              </w:rPr>
            </w:pPr>
            <w:r>
              <w:rPr>
                <w:rFonts w:ascii="Calibri" w:cs="Calibri" w:eastAsia="Calibri" w:hAnsi="Calibri"/>
                <w:sz w:val="10"/>
                <w:szCs w:val="10"/>
                <w:b w:val="1"/>
                <w:bCs w:val="1"/>
                <w:color w:val="auto"/>
              </w:rPr>
              <w:t>Additonal</w:t>
            </w: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gridSpan w:val="2"/>
          </w:tcPr>
          <w:p>
            <w:pPr>
              <w:jc w:val="center"/>
              <w:ind w:right="260"/>
              <w:spacing w:after="0" w:line="104" w:lineRule="exact"/>
              <w:rPr>
                <w:sz w:val="20"/>
                <w:szCs w:val="20"/>
                <w:color w:val="auto"/>
              </w:rPr>
            </w:pPr>
            <w:r>
              <w:rPr>
                <w:rFonts w:ascii="Calibri" w:cs="Calibri" w:eastAsia="Calibri" w:hAnsi="Calibri"/>
                <w:sz w:val="10"/>
                <w:szCs w:val="10"/>
                <w:b w:val="1"/>
                <w:bCs w:val="1"/>
                <w:color w:val="auto"/>
                <w:w w:val="99"/>
              </w:rPr>
              <w:t>Other</w:t>
            </w:r>
          </w:p>
        </w:tc>
        <w:tc>
          <w:tcPr>
            <w:tcW w:w="60" w:type="dxa"/>
            <w:vAlign w:val="bottom"/>
          </w:tcPr>
          <w:p>
            <w:pPr>
              <w:spacing w:after="0"/>
              <w:rPr>
                <w:sz w:val="9"/>
                <w:szCs w:val="9"/>
                <w:color w:val="auto"/>
              </w:rPr>
            </w:pPr>
          </w:p>
        </w:tc>
        <w:tc>
          <w:tcPr>
            <w:tcW w:w="740" w:type="dxa"/>
            <w:vAlign w:val="bottom"/>
            <w:gridSpan w:val="2"/>
          </w:tcPr>
          <w:p>
            <w:pPr>
              <w:jc w:val="center"/>
              <w:ind w:right="180"/>
              <w:spacing w:after="0" w:line="104" w:lineRule="exact"/>
              <w:rPr>
                <w:sz w:val="20"/>
                <w:szCs w:val="20"/>
                <w:color w:val="auto"/>
              </w:rPr>
            </w:pPr>
            <w:r>
              <w:rPr>
                <w:rFonts w:ascii="Calibri" w:cs="Calibri" w:eastAsia="Calibri" w:hAnsi="Calibri"/>
                <w:sz w:val="10"/>
                <w:szCs w:val="10"/>
                <w:b w:val="1"/>
                <w:bCs w:val="1"/>
                <w:color w:val="auto"/>
                <w:w w:val="94"/>
              </w:rPr>
              <w:t>Total</w:t>
            </w:r>
          </w:p>
        </w:tc>
        <w:tc>
          <w:tcPr>
            <w:tcW w:w="0" w:type="dxa"/>
            <w:vAlign w:val="bottom"/>
          </w:tcPr>
          <w:p>
            <w:pPr>
              <w:spacing w:after="0"/>
              <w:rPr>
                <w:sz w:val="1"/>
                <w:szCs w:val="1"/>
                <w:color w:val="auto"/>
              </w:rPr>
            </w:pPr>
          </w:p>
        </w:tc>
      </w:tr>
      <w:tr>
        <w:trPr>
          <w:trHeight w:val="132"/>
        </w:trPr>
        <w:tc>
          <w:tcPr>
            <w:tcW w:w="3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Borders>
              <w:right w:val="single" w:sz="8" w:color="auto"/>
            </w:tcBorders>
            <w:gridSpan w:val="2"/>
          </w:tcPr>
          <w:p>
            <w:pPr>
              <w:jc w:val="center"/>
              <w:ind w:right="200"/>
              <w:spacing w:after="0"/>
              <w:rPr>
                <w:sz w:val="20"/>
                <w:szCs w:val="20"/>
                <w:color w:val="auto"/>
              </w:rPr>
            </w:pPr>
            <w:r>
              <w:rPr>
                <w:rFonts w:ascii="Calibri" w:cs="Calibri" w:eastAsia="Calibri" w:hAnsi="Calibri"/>
                <w:sz w:val="10"/>
                <w:szCs w:val="10"/>
                <w:b w:val="1"/>
                <w:bCs w:val="1"/>
                <w:color w:val="auto"/>
                <w:w w:val="99"/>
              </w:rPr>
              <w:t>Noncontrolling</w:t>
            </w:r>
          </w:p>
        </w:tc>
        <w:tc>
          <w:tcPr>
            <w:tcW w:w="100" w:type="dxa"/>
            <w:vAlign w:val="bottom"/>
          </w:tcPr>
          <w:p>
            <w:pPr>
              <w:spacing w:after="0"/>
              <w:rPr>
                <w:sz w:val="11"/>
                <w:szCs w:val="11"/>
                <w:color w:val="auto"/>
              </w:rPr>
            </w:pPr>
          </w:p>
        </w:tc>
        <w:tc>
          <w:tcPr>
            <w:tcW w:w="1700" w:type="dxa"/>
            <w:vAlign w:val="bottom"/>
            <w:gridSpan w:val="5"/>
          </w:tcPr>
          <w:p>
            <w:pPr>
              <w:jc w:val="right"/>
              <w:ind w:right="660"/>
              <w:spacing w:after="0" w:line="119" w:lineRule="exact"/>
              <w:rPr>
                <w:sz w:val="20"/>
                <w:szCs w:val="20"/>
                <w:color w:val="auto"/>
              </w:rPr>
            </w:pPr>
            <w:r>
              <w:rPr>
                <w:rFonts w:ascii="Calibri" w:cs="Calibri" w:eastAsia="Calibri" w:hAnsi="Calibri"/>
                <w:sz w:val="10"/>
                <w:szCs w:val="10"/>
                <w:b w:val="1"/>
                <w:bCs w:val="1"/>
                <w:color w:val="auto"/>
              </w:rPr>
              <w:t>Common Stock</w:t>
            </w:r>
          </w:p>
        </w:tc>
        <w:tc>
          <w:tcPr>
            <w:tcW w:w="1380" w:type="dxa"/>
            <w:vAlign w:val="bottom"/>
            <w:gridSpan w:val="3"/>
          </w:tcPr>
          <w:p>
            <w:pPr>
              <w:jc w:val="center"/>
              <w:ind w:left="70"/>
              <w:spacing w:after="0" w:line="119" w:lineRule="exact"/>
              <w:rPr>
                <w:sz w:val="20"/>
                <w:szCs w:val="20"/>
                <w:color w:val="auto"/>
              </w:rPr>
            </w:pPr>
            <w:r>
              <w:rPr>
                <w:rFonts w:ascii="Calibri" w:cs="Calibri" w:eastAsia="Calibri" w:hAnsi="Calibri"/>
                <w:sz w:val="10"/>
                <w:szCs w:val="10"/>
                <w:b w:val="1"/>
                <w:bCs w:val="1"/>
                <w:color w:val="auto"/>
                <w:w w:val="99"/>
              </w:rPr>
              <w:t>Common Stock</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320"/>
              <w:spacing w:after="0"/>
              <w:rPr>
                <w:sz w:val="20"/>
                <w:szCs w:val="20"/>
                <w:color w:val="auto"/>
              </w:rPr>
            </w:pPr>
            <w:r>
              <w:rPr>
                <w:rFonts w:ascii="Calibri" w:cs="Calibri" w:eastAsia="Calibri" w:hAnsi="Calibri"/>
                <w:sz w:val="10"/>
                <w:szCs w:val="10"/>
                <w:b w:val="1"/>
                <w:bCs w:val="1"/>
                <w:color w:val="auto"/>
                <w:w w:val="96"/>
              </w:rPr>
              <w:t>Paid–in</w:t>
            </w:r>
          </w:p>
        </w:tc>
        <w:tc>
          <w:tcPr>
            <w:tcW w:w="80" w:type="dxa"/>
            <w:vAlign w:val="bottom"/>
          </w:tcPr>
          <w:p>
            <w:pPr>
              <w:spacing w:after="0"/>
              <w:rPr>
                <w:sz w:val="11"/>
                <w:szCs w:val="11"/>
                <w:color w:val="auto"/>
              </w:rPr>
            </w:pPr>
          </w:p>
        </w:tc>
        <w:tc>
          <w:tcPr>
            <w:tcW w:w="740" w:type="dxa"/>
            <w:vAlign w:val="bottom"/>
            <w:gridSpan w:val="2"/>
          </w:tcPr>
          <w:p>
            <w:pPr>
              <w:jc w:val="right"/>
              <w:ind w:right="340"/>
              <w:spacing w:after="0"/>
              <w:rPr>
                <w:sz w:val="20"/>
                <w:szCs w:val="20"/>
                <w:color w:val="auto"/>
              </w:rPr>
            </w:pPr>
            <w:r>
              <w:rPr>
                <w:rFonts w:ascii="Calibri" w:cs="Calibri" w:eastAsia="Calibri" w:hAnsi="Calibri"/>
                <w:sz w:val="10"/>
                <w:szCs w:val="10"/>
                <w:b w:val="1"/>
                <w:bCs w:val="1"/>
                <w:color w:val="auto"/>
              </w:rPr>
              <w:t>Retained</w:t>
            </w:r>
          </w:p>
        </w:tc>
        <w:tc>
          <w:tcPr>
            <w:tcW w:w="920" w:type="dxa"/>
            <w:vAlign w:val="bottom"/>
            <w:gridSpan w:val="3"/>
          </w:tcPr>
          <w:p>
            <w:pPr>
              <w:jc w:val="center"/>
              <w:ind w:right="200"/>
              <w:spacing w:after="0"/>
              <w:rPr>
                <w:sz w:val="20"/>
                <w:szCs w:val="20"/>
                <w:color w:val="auto"/>
              </w:rPr>
            </w:pPr>
            <w:r>
              <w:rPr>
                <w:rFonts w:ascii="Calibri" w:cs="Calibri" w:eastAsia="Calibri" w:hAnsi="Calibri"/>
                <w:sz w:val="10"/>
                <w:szCs w:val="10"/>
                <w:b w:val="1"/>
                <w:bCs w:val="1"/>
                <w:color w:val="auto"/>
                <w:w w:val="98"/>
              </w:rPr>
              <w:t>Comprehensive</w:t>
            </w:r>
          </w:p>
        </w:tc>
        <w:tc>
          <w:tcPr>
            <w:tcW w:w="60" w:type="dxa"/>
            <w:vAlign w:val="bottom"/>
          </w:tcPr>
          <w:p>
            <w:pPr>
              <w:spacing w:after="0"/>
              <w:rPr>
                <w:sz w:val="11"/>
                <w:szCs w:val="11"/>
                <w:color w:val="auto"/>
              </w:rPr>
            </w:pPr>
          </w:p>
        </w:tc>
        <w:tc>
          <w:tcPr>
            <w:tcW w:w="740" w:type="dxa"/>
            <w:vAlign w:val="bottom"/>
            <w:gridSpan w:val="2"/>
          </w:tcPr>
          <w:p>
            <w:pPr>
              <w:jc w:val="center"/>
              <w:ind w:right="180"/>
              <w:spacing w:after="0"/>
              <w:rPr>
                <w:sz w:val="20"/>
                <w:szCs w:val="20"/>
                <w:color w:val="auto"/>
              </w:rPr>
            </w:pPr>
            <w:r>
              <w:rPr>
                <w:rFonts w:ascii="Calibri" w:cs="Calibri" w:eastAsia="Calibri" w:hAnsi="Calibri"/>
                <w:sz w:val="10"/>
                <w:szCs w:val="10"/>
                <w:b w:val="1"/>
                <w:bCs w:val="1"/>
                <w:color w:val="auto"/>
                <w:w w:val="99"/>
              </w:rPr>
              <w:t>Stockholders’</w:t>
            </w:r>
          </w:p>
        </w:tc>
        <w:tc>
          <w:tcPr>
            <w:tcW w:w="0" w:type="dxa"/>
            <w:vAlign w:val="bottom"/>
          </w:tcPr>
          <w:p>
            <w:pPr>
              <w:spacing w:after="0"/>
              <w:rPr>
                <w:sz w:val="1"/>
                <w:szCs w:val="1"/>
                <w:color w:val="auto"/>
              </w:rPr>
            </w:pPr>
          </w:p>
        </w:tc>
      </w:tr>
      <w:tr>
        <w:trPr>
          <w:trHeight w:val="130"/>
        </w:trPr>
        <w:tc>
          <w:tcPr>
            <w:tcW w:w="34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center"/>
              <w:spacing w:after="0" w:line="116" w:lineRule="exact"/>
              <w:rPr>
                <w:sz w:val="20"/>
                <w:szCs w:val="20"/>
                <w:color w:val="auto"/>
              </w:rPr>
            </w:pPr>
            <w:r>
              <w:rPr>
                <w:rFonts w:ascii="Calibri" w:cs="Calibri" w:eastAsia="Calibri" w:hAnsi="Calibri"/>
                <w:sz w:val="10"/>
                <w:szCs w:val="10"/>
                <w:b w:val="1"/>
                <w:bCs w:val="1"/>
                <w:color w:val="auto"/>
                <w:w w:val="98"/>
              </w:rPr>
              <w:t>Interest</w:t>
            </w:r>
          </w:p>
        </w:tc>
        <w:tc>
          <w:tcPr>
            <w:tcW w:w="1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ind w:right="150"/>
              <w:spacing w:after="0" w:line="119" w:lineRule="exact"/>
              <w:rPr>
                <w:sz w:val="20"/>
                <w:szCs w:val="20"/>
                <w:color w:val="auto"/>
              </w:rPr>
            </w:pPr>
            <w:r>
              <w:rPr>
                <w:rFonts w:ascii="Calibri" w:cs="Calibri" w:eastAsia="Calibri" w:hAnsi="Calibri"/>
                <w:sz w:val="10"/>
                <w:szCs w:val="10"/>
                <w:b w:val="1"/>
                <w:bCs w:val="1"/>
                <w:color w:val="auto"/>
              </w:rPr>
              <w:t>Shares</w:t>
            </w: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70"/>
              <w:spacing w:after="0" w:line="119" w:lineRule="exact"/>
              <w:rPr>
                <w:sz w:val="20"/>
                <w:szCs w:val="20"/>
                <w:color w:val="auto"/>
              </w:rPr>
            </w:pPr>
            <w:r>
              <w:rPr>
                <w:rFonts w:ascii="Calibri" w:cs="Calibri" w:eastAsia="Calibri" w:hAnsi="Calibri"/>
                <w:sz w:val="10"/>
                <w:szCs w:val="10"/>
                <w:b w:val="1"/>
                <w:bCs w:val="1"/>
                <w:color w:val="auto"/>
              </w:rPr>
              <w:t>Amount</w:t>
            </w:r>
          </w:p>
        </w:tc>
        <w:tc>
          <w:tcPr>
            <w:tcW w:w="240" w:type="dxa"/>
            <w:vAlign w:val="bottom"/>
          </w:tcPr>
          <w:p>
            <w:pPr>
              <w:spacing w:after="0"/>
              <w:rPr>
                <w:sz w:val="11"/>
                <w:szCs w:val="11"/>
                <w:color w:val="auto"/>
              </w:rPr>
            </w:pPr>
          </w:p>
        </w:tc>
        <w:tc>
          <w:tcPr>
            <w:tcW w:w="660" w:type="dxa"/>
            <w:vAlign w:val="bottom"/>
            <w:tcBorders>
              <w:top w:val="single" w:sz="8" w:color="auto"/>
              <w:bottom w:val="single" w:sz="8" w:color="auto"/>
            </w:tcBorders>
          </w:tcPr>
          <w:p>
            <w:pPr>
              <w:jc w:val="right"/>
              <w:ind w:right="150"/>
              <w:spacing w:after="0" w:line="119" w:lineRule="exact"/>
              <w:rPr>
                <w:sz w:val="20"/>
                <w:szCs w:val="20"/>
                <w:color w:val="auto"/>
              </w:rPr>
            </w:pPr>
            <w:r>
              <w:rPr>
                <w:rFonts w:ascii="Calibri" w:cs="Calibri" w:eastAsia="Calibri" w:hAnsi="Calibri"/>
                <w:sz w:val="10"/>
                <w:szCs w:val="10"/>
                <w:b w:val="1"/>
                <w:bCs w:val="1"/>
                <w:color w:val="auto"/>
              </w:rPr>
              <w:t>Shares</w:t>
            </w:r>
          </w:p>
        </w:tc>
        <w:tc>
          <w:tcPr>
            <w:tcW w:w="240" w:type="dxa"/>
            <w:vAlign w:val="bottom"/>
            <w:tcBorders>
              <w:top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19" w:lineRule="exact"/>
              <w:rPr>
                <w:sz w:val="20"/>
                <w:szCs w:val="20"/>
                <w:color w:val="auto"/>
              </w:rPr>
            </w:pPr>
            <w:r>
              <w:rPr>
                <w:rFonts w:ascii="Calibri" w:cs="Calibri" w:eastAsia="Calibri" w:hAnsi="Calibri"/>
                <w:sz w:val="10"/>
                <w:szCs w:val="10"/>
                <w:b w:val="1"/>
                <w:bCs w:val="1"/>
                <w:color w:val="auto"/>
              </w:rPr>
              <w:t>Amount</w:t>
            </w:r>
          </w:p>
        </w:tc>
        <w:tc>
          <w:tcPr>
            <w:tcW w:w="140" w:type="dxa"/>
            <w:vAlign w:val="bottom"/>
            <w:tcBorders>
              <w:top w:val="single" w:sz="8" w:color="auto"/>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center"/>
              <w:ind w:right="30"/>
              <w:spacing w:after="0" w:line="116" w:lineRule="exact"/>
              <w:rPr>
                <w:sz w:val="20"/>
                <w:szCs w:val="20"/>
                <w:color w:val="auto"/>
              </w:rPr>
            </w:pPr>
            <w:r>
              <w:rPr>
                <w:rFonts w:ascii="Calibri" w:cs="Calibri" w:eastAsia="Calibri" w:hAnsi="Calibri"/>
                <w:sz w:val="10"/>
                <w:szCs w:val="10"/>
                <w:b w:val="1"/>
                <w:bCs w:val="1"/>
                <w:color w:val="auto"/>
              </w:rPr>
              <w:t>Capital</w:t>
            </w:r>
          </w:p>
        </w:tc>
        <w:tc>
          <w:tcPr>
            <w:tcW w:w="2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90"/>
              <w:spacing w:after="0" w:line="116" w:lineRule="exact"/>
              <w:rPr>
                <w:sz w:val="20"/>
                <w:szCs w:val="20"/>
                <w:color w:val="auto"/>
              </w:rPr>
            </w:pPr>
            <w:r>
              <w:rPr>
                <w:rFonts w:ascii="Calibri" w:cs="Calibri" w:eastAsia="Calibri" w:hAnsi="Calibri"/>
                <w:sz w:val="10"/>
                <w:szCs w:val="10"/>
                <w:b w:val="1"/>
                <w:bCs w:val="1"/>
                <w:color w:val="auto"/>
              </w:rPr>
              <w:t>Earnings</w:t>
            </w:r>
          </w:p>
        </w:tc>
        <w:tc>
          <w:tcPr>
            <w:tcW w:w="2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center"/>
              <w:ind w:right="10"/>
              <w:spacing w:after="0" w:line="116" w:lineRule="exact"/>
              <w:rPr>
                <w:sz w:val="20"/>
                <w:szCs w:val="20"/>
                <w:color w:val="auto"/>
              </w:rPr>
            </w:pPr>
            <w:r>
              <w:rPr>
                <w:rFonts w:ascii="Calibri" w:cs="Calibri" w:eastAsia="Calibri" w:hAnsi="Calibri"/>
                <w:sz w:val="10"/>
                <w:szCs w:val="10"/>
                <w:b w:val="1"/>
                <w:bCs w:val="1"/>
                <w:color w:val="auto"/>
                <w:w w:val="98"/>
              </w:rPr>
              <w:t>Income (Loss)</w:t>
            </w:r>
          </w:p>
        </w:tc>
        <w:tc>
          <w:tcPr>
            <w:tcW w:w="2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center"/>
              <w:ind w:right="10"/>
              <w:spacing w:after="0" w:line="116" w:lineRule="exact"/>
              <w:rPr>
                <w:sz w:val="20"/>
                <w:szCs w:val="20"/>
                <w:color w:val="auto"/>
              </w:rPr>
            </w:pPr>
            <w:r>
              <w:rPr>
                <w:rFonts w:ascii="Calibri" w:cs="Calibri" w:eastAsia="Calibri" w:hAnsi="Calibri"/>
                <w:sz w:val="10"/>
                <w:szCs w:val="10"/>
                <w:b w:val="1"/>
                <w:bCs w:val="1"/>
                <w:color w:val="auto"/>
                <w:w w:val="98"/>
              </w:rPr>
              <w:t>Equity</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3440" w:type="dxa"/>
            <w:vAlign w:val="bottom"/>
            <w:shd w:val="clear" w:color="auto" w:fill="CFF0FC"/>
          </w:tcPr>
          <w:p>
            <w:pPr>
              <w:spacing w:after="0" w:line="119" w:lineRule="exact"/>
              <w:rPr>
                <w:sz w:val="20"/>
                <w:szCs w:val="20"/>
                <w:color w:val="auto"/>
              </w:rPr>
            </w:pPr>
            <w:r>
              <w:rPr>
                <w:rFonts w:ascii="Calibri" w:cs="Calibri" w:eastAsia="Calibri" w:hAnsi="Calibri"/>
                <w:sz w:val="10"/>
                <w:szCs w:val="10"/>
                <w:color w:val="auto"/>
              </w:rPr>
              <w:t>Balance as of December 31, 2020</w:t>
            </w:r>
          </w:p>
        </w:tc>
        <w:tc>
          <w:tcPr>
            <w:tcW w:w="60" w:type="dxa"/>
            <w:vAlign w:val="bottom"/>
            <w:shd w:val="clear" w:color="auto" w:fill="CFF0FC"/>
          </w:tcPr>
          <w:p>
            <w:pPr>
              <w:jc w:val="right"/>
              <w:spacing w:after="0" w:line="119" w:lineRule="exact"/>
              <w:rPr>
                <w:sz w:val="20"/>
                <w:szCs w:val="20"/>
                <w:color w:val="auto"/>
              </w:rPr>
            </w:pPr>
            <w:r>
              <w:rPr>
                <w:rFonts w:ascii="Calibri" w:cs="Calibri" w:eastAsia="Calibri" w:hAnsi="Calibri"/>
                <w:sz w:val="10"/>
                <w:szCs w:val="10"/>
                <w:color w:val="auto"/>
                <w:w w:val="77"/>
              </w:rPr>
              <w:t>$</w:t>
            </w:r>
          </w:p>
        </w:tc>
        <w:tc>
          <w:tcPr>
            <w:tcW w:w="820" w:type="dxa"/>
            <w:vAlign w:val="bottom"/>
            <w:tcBorders>
              <w:right w:val="single" w:sz="8" w:color="auto"/>
            </w:tcBorders>
            <w:gridSpan w:val="2"/>
            <w:shd w:val="clear" w:color="auto" w:fill="CFF0FC"/>
          </w:tcPr>
          <w:p>
            <w:pPr>
              <w:jc w:val="right"/>
              <w:ind w:right="160"/>
              <w:spacing w:after="0" w:line="119" w:lineRule="exact"/>
              <w:rPr>
                <w:sz w:val="20"/>
                <w:szCs w:val="20"/>
                <w:color w:val="auto"/>
              </w:rPr>
            </w:pPr>
            <w:r>
              <w:rPr>
                <w:rFonts w:ascii="Calibri" w:cs="Calibri" w:eastAsia="Calibri" w:hAnsi="Calibri"/>
                <w:sz w:val="10"/>
                <w:szCs w:val="10"/>
                <w:color w:val="auto"/>
              </w:rPr>
              <w:t>—</w:t>
            </w: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19" w:lineRule="exact"/>
              <w:rPr>
                <w:sz w:val="20"/>
                <w:szCs w:val="20"/>
                <w:color w:val="auto"/>
              </w:rPr>
            </w:pPr>
            <w:r>
              <w:rPr>
                <w:rFonts w:ascii="Calibri" w:cs="Calibri" w:eastAsia="Calibri" w:hAnsi="Calibri"/>
                <w:sz w:val="10"/>
                <w:szCs w:val="10"/>
                <w:color w:val="auto"/>
              </w:rPr>
              <w:t>94,310,309</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line="119" w:lineRule="exact"/>
              <w:rPr>
                <w:sz w:val="20"/>
                <w:szCs w:val="20"/>
                <w:color w:val="auto"/>
              </w:rPr>
            </w:pPr>
            <w:r>
              <w:rPr>
                <w:rFonts w:ascii="Calibri" w:cs="Calibri" w:eastAsia="Calibri" w:hAnsi="Calibri"/>
                <w:sz w:val="10"/>
                <w:szCs w:val="10"/>
                <w:color w:val="auto"/>
                <w:w w:val="77"/>
              </w:rPr>
              <w:t>$</w:t>
            </w:r>
          </w:p>
        </w:tc>
        <w:tc>
          <w:tcPr>
            <w:tcW w:w="480" w:type="dxa"/>
            <w:vAlign w:val="bottom"/>
            <w:shd w:val="clear" w:color="auto" w:fill="CFF0FC"/>
          </w:tcPr>
          <w:p>
            <w:pPr>
              <w:jc w:val="right"/>
              <w:spacing w:after="0" w:line="119" w:lineRule="exact"/>
              <w:rPr>
                <w:sz w:val="20"/>
                <w:szCs w:val="20"/>
                <w:color w:val="auto"/>
              </w:rPr>
            </w:pPr>
            <w:r>
              <w:rPr>
                <w:rFonts w:ascii="Calibri" w:cs="Calibri" w:eastAsia="Calibri" w:hAnsi="Calibri"/>
                <w:sz w:val="10"/>
                <w:szCs w:val="10"/>
                <w:color w:val="auto"/>
              </w:rPr>
              <w:t>94</w:t>
            </w: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19" w:lineRule="exact"/>
              <w:rPr>
                <w:sz w:val="20"/>
                <w:szCs w:val="20"/>
                <w:color w:val="auto"/>
              </w:rPr>
            </w:pPr>
            <w:r>
              <w:rPr>
                <w:rFonts w:ascii="Calibri" w:cs="Calibri" w:eastAsia="Calibri" w:hAnsi="Calibri"/>
                <w:sz w:val="10"/>
                <w:szCs w:val="10"/>
                <w:color w:val="auto"/>
              </w:rPr>
              <w:t>19,076,500</w:t>
            </w:r>
          </w:p>
        </w:tc>
        <w:tc>
          <w:tcPr>
            <w:tcW w:w="240" w:type="dxa"/>
            <w:vAlign w:val="bottom"/>
            <w:shd w:val="clear" w:color="auto" w:fill="CFF0FC"/>
          </w:tcPr>
          <w:p>
            <w:pPr>
              <w:spacing w:after="0"/>
              <w:rPr>
                <w:sz w:val="12"/>
                <w:szCs w:val="12"/>
                <w:color w:val="auto"/>
              </w:rPr>
            </w:pPr>
          </w:p>
        </w:tc>
        <w:tc>
          <w:tcPr>
            <w:tcW w:w="480" w:type="dxa"/>
            <w:vAlign w:val="bottom"/>
            <w:shd w:val="clear" w:color="auto" w:fill="CFF0FC"/>
          </w:tcPr>
          <w:p>
            <w:pPr>
              <w:jc w:val="right"/>
              <w:ind w:right="370"/>
              <w:spacing w:after="0" w:line="119" w:lineRule="exact"/>
              <w:rPr>
                <w:sz w:val="20"/>
                <w:szCs w:val="20"/>
                <w:color w:val="auto"/>
              </w:rPr>
            </w:pPr>
            <w:r>
              <w:rPr>
                <w:rFonts w:ascii="Calibri" w:cs="Calibri" w:eastAsia="Calibri" w:hAnsi="Calibri"/>
                <w:sz w:val="10"/>
                <w:szCs w:val="10"/>
                <w:color w:val="auto"/>
                <w:w w:val="77"/>
              </w:rPr>
              <w:t>$</w:t>
            </w:r>
          </w:p>
        </w:tc>
        <w:tc>
          <w:tcPr>
            <w:tcW w:w="140" w:type="dxa"/>
            <w:vAlign w:val="bottom"/>
            <w:shd w:val="clear" w:color="auto" w:fill="CFF0FC"/>
          </w:tcPr>
          <w:p>
            <w:pPr>
              <w:jc w:val="right"/>
              <w:spacing w:after="0" w:line="119" w:lineRule="exact"/>
              <w:rPr>
                <w:sz w:val="20"/>
                <w:szCs w:val="20"/>
                <w:color w:val="auto"/>
              </w:rPr>
            </w:pPr>
            <w:r>
              <w:rPr>
                <w:rFonts w:ascii="Calibri" w:cs="Calibri" w:eastAsia="Calibri" w:hAnsi="Calibri"/>
                <w:sz w:val="10"/>
                <w:szCs w:val="10"/>
                <w:color w:val="auto"/>
                <w:w w:val="98"/>
              </w:rPr>
              <w:t>19</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line="119" w:lineRule="exact"/>
              <w:rPr>
                <w:sz w:val="20"/>
                <w:szCs w:val="20"/>
                <w:color w:val="auto"/>
              </w:rPr>
            </w:pPr>
            <w:r>
              <w:rPr>
                <w:rFonts w:ascii="Calibri" w:cs="Calibri" w:eastAsia="Calibri" w:hAnsi="Calibri"/>
                <w:sz w:val="10"/>
                <w:szCs w:val="10"/>
                <w:color w:val="auto"/>
                <w:w w:val="77"/>
              </w:rPr>
              <w:t>$</w:t>
            </w:r>
          </w:p>
        </w:tc>
        <w:tc>
          <w:tcPr>
            <w:tcW w:w="540" w:type="dxa"/>
            <w:vAlign w:val="bottom"/>
            <w:shd w:val="clear" w:color="auto" w:fill="CFF0FC"/>
          </w:tcPr>
          <w:p>
            <w:pPr>
              <w:jc w:val="right"/>
              <w:spacing w:after="0" w:line="119" w:lineRule="exact"/>
              <w:rPr>
                <w:sz w:val="20"/>
                <w:szCs w:val="20"/>
                <w:color w:val="auto"/>
              </w:rPr>
            </w:pPr>
            <w:r>
              <w:rPr>
                <w:rFonts w:ascii="Calibri" w:cs="Calibri" w:eastAsia="Calibri" w:hAnsi="Calibri"/>
                <w:sz w:val="10"/>
                <w:szCs w:val="10"/>
                <w:color w:val="auto"/>
              </w:rPr>
              <w:t>242,181</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line="119" w:lineRule="exact"/>
              <w:rPr>
                <w:sz w:val="20"/>
                <w:szCs w:val="20"/>
                <w:color w:val="auto"/>
              </w:rPr>
            </w:pPr>
            <w:r>
              <w:rPr>
                <w:rFonts w:ascii="Calibri" w:cs="Calibri" w:eastAsia="Calibri" w:hAnsi="Calibri"/>
                <w:sz w:val="10"/>
                <w:szCs w:val="10"/>
                <w:color w:val="auto"/>
                <w:w w:val="77"/>
              </w:rPr>
              <w:t>$</w:t>
            </w:r>
          </w:p>
        </w:tc>
        <w:tc>
          <w:tcPr>
            <w:tcW w:w="540" w:type="dxa"/>
            <w:vAlign w:val="bottom"/>
            <w:shd w:val="clear" w:color="auto" w:fill="CFF0FC"/>
          </w:tcPr>
          <w:p>
            <w:pPr>
              <w:jc w:val="right"/>
              <w:spacing w:after="0" w:line="119" w:lineRule="exact"/>
              <w:rPr>
                <w:sz w:val="20"/>
                <w:szCs w:val="20"/>
                <w:color w:val="auto"/>
              </w:rPr>
            </w:pPr>
            <w:r>
              <w:rPr>
                <w:rFonts w:ascii="Calibri" w:cs="Calibri" w:eastAsia="Calibri" w:hAnsi="Calibri"/>
                <w:sz w:val="10"/>
                <w:szCs w:val="10"/>
                <w:color w:val="auto"/>
              </w:rPr>
              <w:t>129,412</w:t>
            </w: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jc w:val="right"/>
              <w:spacing w:after="0" w:line="119" w:lineRule="exact"/>
              <w:rPr>
                <w:sz w:val="20"/>
                <w:szCs w:val="20"/>
                <w:color w:val="auto"/>
              </w:rPr>
            </w:pPr>
            <w:r>
              <w:rPr>
                <w:rFonts w:ascii="Calibri" w:cs="Calibri" w:eastAsia="Calibri" w:hAnsi="Calibri"/>
                <w:sz w:val="10"/>
                <w:szCs w:val="10"/>
                <w:color w:val="auto"/>
                <w:w w:val="77"/>
              </w:rPr>
              <w:t>$</w:t>
            </w:r>
          </w:p>
        </w:tc>
        <w:tc>
          <w:tcPr>
            <w:tcW w:w="660" w:type="dxa"/>
            <w:vAlign w:val="bottom"/>
            <w:shd w:val="clear" w:color="auto" w:fill="CFF0FC"/>
          </w:tcPr>
          <w:p>
            <w:pPr>
              <w:jc w:val="right"/>
              <w:spacing w:after="0" w:line="119" w:lineRule="exact"/>
              <w:rPr>
                <w:sz w:val="20"/>
                <w:szCs w:val="20"/>
                <w:color w:val="auto"/>
              </w:rPr>
            </w:pPr>
            <w:r>
              <w:rPr>
                <w:rFonts w:ascii="Calibri" w:cs="Calibri" w:eastAsia="Calibri" w:hAnsi="Calibri"/>
                <w:sz w:val="10"/>
                <w:szCs w:val="10"/>
                <w:color w:val="auto"/>
              </w:rPr>
              <w:t>1,880</w:t>
            </w: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jc w:val="right"/>
              <w:spacing w:after="0" w:line="119" w:lineRule="exact"/>
              <w:rPr>
                <w:sz w:val="20"/>
                <w:szCs w:val="20"/>
                <w:color w:val="auto"/>
              </w:rPr>
            </w:pPr>
            <w:r>
              <w:rPr>
                <w:rFonts w:ascii="Calibri" w:cs="Calibri" w:eastAsia="Calibri" w:hAnsi="Calibri"/>
                <w:sz w:val="10"/>
                <w:szCs w:val="10"/>
                <w:color w:val="auto"/>
                <w:w w:val="77"/>
              </w:rPr>
              <w:t>$</w:t>
            </w:r>
          </w:p>
        </w:tc>
        <w:tc>
          <w:tcPr>
            <w:tcW w:w="640" w:type="dxa"/>
            <w:vAlign w:val="bottom"/>
            <w:shd w:val="clear" w:color="auto" w:fill="CFF0FC"/>
          </w:tcPr>
          <w:p>
            <w:pPr>
              <w:jc w:val="right"/>
              <w:spacing w:after="0" w:line="119" w:lineRule="exact"/>
              <w:rPr>
                <w:sz w:val="20"/>
                <w:szCs w:val="20"/>
                <w:color w:val="auto"/>
              </w:rPr>
            </w:pPr>
            <w:r>
              <w:rPr>
                <w:rFonts w:ascii="Calibri" w:cs="Calibri" w:eastAsia="Calibri" w:hAnsi="Calibri"/>
                <w:sz w:val="10"/>
                <w:szCs w:val="10"/>
                <w:color w:val="auto"/>
              </w:rPr>
              <w:t>373,586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440" w:type="dxa"/>
            <w:vAlign w:val="bottom"/>
          </w:tcPr>
          <w:p>
            <w:pPr>
              <w:ind w:left="220"/>
              <w:spacing w:after="0" w:line="119" w:lineRule="exact"/>
              <w:rPr>
                <w:sz w:val="20"/>
                <w:szCs w:val="20"/>
                <w:color w:val="auto"/>
              </w:rPr>
            </w:pPr>
            <w:r>
              <w:rPr>
                <w:rFonts w:ascii="Calibri" w:cs="Calibri" w:eastAsia="Calibri" w:hAnsi="Calibri"/>
                <w:sz w:val="10"/>
                <w:szCs w:val="10"/>
                <w:color w:val="auto"/>
              </w:rPr>
              <w:t>Net income</w:t>
            </w:r>
          </w:p>
        </w:tc>
        <w:tc>
          <w:tcPr>
            <w:tcW w:w="60" w:type="dxa"/>
            <w:vAlign w:val="bottom"/>
          </w:tcPr>
          <w:p>
            <w:pPr>
              <w:spacing w:after="0"/>
              <w:rPr>
                <w:sz w:val="11"/>
                <w:szCs w:val="11"/>
                <w:color w:val="auto"/>
              </w:rPr>
            </w:pPr>
          </w:p>
        </w:tc>
        <w:tc>
          <w:tcPr>
            <w:tcW w:w="680" w:type="dxa"/>
            <w:vAlign w:val="bottom"/>
          </w:tcPr>
          <w:p>
            <w:pPr>
              <w:jc w:val="right"/>
              <w:spacing w:after="0" w:line="119" w:lineRule="exact"/>
              <w:rPr>
                <w:sz w:val="20"/>
                <w:szCs w:val="20"/>
                <w:color w:val="auto"/>
              </w:rPr>
            </w:pPr>
            <w:r>
              <w:rPr>
                <w:rFonts w:ascii="Calibri" w:cs="Calibri" w:eastAsia="Calibri" w:hAnsi="Calibri"/>
                <w:sz w:val="10"/>
                <w:szCs w:val="10"/>
                <w:color w:val="auto"/>
              </w:rPr>
              <w:t>1,129</w:t>
            </w:r>
          </w:p>
        </w:tc>
        <w:tc>
          <w:tcPr>
            <w:tcW w:w="1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240"/>
              <w:spacing w:after="0" w:line="119" w:lineRule="exact"/>
              <w:rPr>
                <w:sz w:val="20"/>
                <w:szCs w:val="20"/>
                <w:color w:val="auto"/>
              </w:rPr>
            </w:pPr>
            <w:r>
              <w:rPr>
                <w:rFonts w:ascii="Calibri" w:cs="Calibri" w:eastAsia="Calibri" w:hAnsi="Calibri"/>
                <w:sz w:val="10"/>
                <w:szCs w:val="10"/>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240"/>
              <w:spacing w:after="0" w:line="119" w:lineRule="exact"/>
              <w:rPr>
                <w:sz w:val="20"/>
                <w:szCs w:val="20"/>
                <w:color w:val="auto"/>
              </w:rPr>
            </w:pPr>
            <w:r>
              <w:rPr>
                <w:rFonts w:ascii="Calibri" w:cs="Calibri" w:eastAsia="Calibri" w:hAnsi="Calibri"/>
                <w:sz w:val="10"/>
                <w:szCs w:val="10"/>
                <w:color w:val="auto"/>
              </w:rPr>
              <w:t>—</w:t>
            </w:r>
          </w:p>
        </w:tc>
        <w:tc>
          <w:tcPr>
            <w:tcW w:w="900" w:type="dxa"/>
            <w:vAlign w:val="bottom"/>
            <w:gridSpan w:val="2"/>
          </w:tcPr>
          <w:p>
            <w:pPr>
              <w:jc w:val="right"/>
              <w:ind w:right="260"/>
              <w:spacing w:after="0" w:line="119" w:lineRule="exact"/>
              <w:rPr>
                <w:sz w:val="20"/>
                <w:szCs w:val="20"/>
                <w:color w:val="auto"/>
              </w:rPr>
            </w:pPr>
            <w:r>
              <w:rPr>
                <w:rFonts w:ascii="Calibri" w:cs="Calibri" w:eastAsia="Calibri" w:hAnsi="Calibri"/>
                <w:sz w:val="10"/>
                <w:szCs w:val="10"/>
                <w:color w:val="auto"/>
              </w:rPr>
              <w:t>—</w:t>
            </w:r>
          </w:p>
        </w:tc>
        <w:tc>
          <w:tcPr>
            <w:tcW w:w="480" w:type="dxa"/>
            <w:vAlign w:val="bottom"/>
          </w:tcPr>
          <w:p>
            <w:pPr>
              <w:spacing w:after="0"/>
              <w:rPr>
                <w:sz w:val="11"/>
                <w:szCs w:val="11"/>
                <w:color w:val="auto"/>
              </w:rPr>
            </w:pPr>
          </w:p>
        </w:tc>
        <w:tc>
          <w:tcPr>
            <w:tcW w:w="360" w:type="dxa"/>
            <w:vAlign w:val="bottom"/>
            <w:gridSpan w:val="2"/>
          </w:tcPr>
          <w:p>
            <w:pPr>
              <w:jc w:val="right"/>
              <w:ind w:right="240"/>
              <w:spacing w:after="0" w:line="119" w:lineRule="exact"/>
              <w:rPr>
                <w:sz w:val="20"/>
                <w:szCs w:val="20"/>
                <w:color w:val="auto"/>
              </w:rPr>
            </w:pPr>
            <w:r>
              <w:rPr>
                <w:rFonts w:ascii="Calibri" w:cs="Calibri" w:eastAsia="Calibri" w:hAnsi="Calibri"/>
                <w:sz w:val="10"/>
                <w:szCs w:val="10"/>
                <w:color w:val="auto"/>
              </w:rPr>
              <w:t>—</w:t>
            </w:r>
          </w:p>
        </w:tc>
        <w:tc>
          <w:tcPr>
            <w:tcW w:w="80" w:type="dxa"/>
            <w:vAlign w:val="bottom"/>
          </w:tcPr>
          <w:p>
            <w:pPr>
              <w:spacing w:after="0"/>
              <w:rPr>
                <w:sz w:val="11"/>
                <w:szCs w:val="11"/>
                <w:color w:val="auto"/>
              </w:rPr>
            </w:pPr>
          </w:p>
        </w:tc>
        <w:tc>
          <w:tcPr>
            <w:tcW w:w="780" w:type="dxa"/>
            <w:vAlign w:val="bottom"/>
            <w:gridSpan w:val="2"/>
          </w:tcPr>
          <w:p>
            <w:pPr>
              <w:jc w:val="right"/>
              <w:ind w:right="240"/>
              <w:spacing w:after="0" w:line="119" w:lineRule="exact"/>
              <w:rPr>
                <w:sz w:val="20"/>
                <w:szCs w:val="20"/>
                <w:color w:val="auto"/>
              </w:rPr>
            </w:pPr>
            <w:r>
              <w:rPr>
                <w:rFonts w:ascii="Calibri" w:cs="Calibri" w:eastAsia="Calibri" w:hAnsi="Calibri"/>
                <w:sz w:val="10"/>
                <w:szCs w:val="10"/>
                <w:color w:val="auto"/>
              </w:rPr>
              <w:t>—</w:t>
            </w:r>
          </w:p>
        </w:tc>
        <w:tc>
          <w:tcPr>
            <w:tcW w:w="80" w:type="dxa"/>
            <w:vAlign w:val="bottom"/>
          </w:tcPr>
          <w:p>
            <w:pPr>
              <w:spacing w:after="0"/>
              <w:rPr>
                <w:sz w:val="11"/>
                <w:szCs w:val="11"/>
                <w:color w:val="auto"/>
              </w:rPr>
            </w:pPr>
          </w:p>
        </w:tc>
        <w:tc>
          <w:tcPr>
            <w:tcW w:w="540" w:type="dxa"/>
            <w:vAlign w:val="bottom"/>
          </w:tcPr>
          <w:p>
            <w:pPr>
              <w:jc w:val="right"/>
              <w:spacing w:after="0" w:line="119" w:lineRule="exact"/>
              <w:rPr>
                <w:sz w:val="20"/>
                <w:szCs w:val="20"/>
                <w:color w:val="auto"/>
              </w:rPr>
            </w:pPr>
            <w:r>
              <w:rPr>
                <w:rFonts w:ascii="Calibri" w:cs="Calibri" w:eastAsia="Calibri" w:hAnsi="Calibri"/>
                <w:sz w:val="10"/>
                <w:szCs w:val="10"/>
                <w:color w:val="auto"/>
              </w:rPr>
              <w:t>109,244</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220"/>
              <w:spacing w:after="0" w:line="119" w:lineRule="exact"/>
              <w:rPr>
                <w:sz w:val="20"/>
                <w:szCs w:val="20"/>
                <w:color w:val="auto"/>
              </w:rPr>
            </w:pPr>
            <w:r>
              <w:rPr>
                <w:rFonts w:ascii="Calibri" w:cs="Calibri" w:eastAsia="Calibri" w:hAnsi="Calibri"/>
                <w:sz w:val="10"/>
                <w:szCs w:val="10"/>
                <w:color w:val="auto"/>
              </w:rPr>
              <w:t>—</w:t>
            </w:r>
          </w:p>
        </w:tc>
        <w:tc>
          <w:tcPr>
            <w:tcW w:w="60" w:type="dxa"/>
            <w:vAlign w:val="bottom"/>
          </w:tcPr>
          <w:p>
            <w:pPr>
              <w:spacing w:after="0"/>
              <w:rPr>
                <w:sz w:val="11"/>
                <w:szCs w:val="11"/>
                <w:color w:val="auto"/>
              </w:rPr>
            </w:pPr>
          </w:p>
        </w:tc>
        <w:tc>
          <w:tcPr>
            <w:tcW w:w="640" w:type="dxa"/>
            <w:vAlign w:val="bottom"/>
          </w:tcPr>
          <w:p>
            <w:pPr>
              <w:jc w:val="right"/>
              <w:spacing w:after="0" w:line="119" w:lineRule="exact"/>
              <w:rPr>
                <w:sz w:val="20"/>
                <w:szCs w:val="20"/>
                <w:color w:val="auto"/>
              </w:rPr>
            </w:pPr>
            <w:r>
              <w:rPr>
                <w:rFonts w:ascii="Calibri" w:cs="Calibri" w:eastAsia="Calibri" w:hAnsi="Calibri"/>
                <w:sz w:val="10"/>
                <w:szCs w:val="10"/>
                <w:color w:val="auto"/>
              </w:rPr>
              <w:t>109,244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440" w:type="dxa"/>
            <w:vAlign w:val="bottom"/>
            <w:shd w:val="clear" w:color="auto" w:fill="CFF0FC"/>
          </w:tcPr>
          <w:p>
            <w:pPr>
              <w:ind w:left="220"/>
              <w:spacing w:after="0"/>
              <w:rPr>
                <w:sz w:val="20"/>
                <w:szCs w:val="20"/>
                <w:color w:val="auto"/>
              </w:rPr>
            </w:pPr>
            <w:r>
              <w:rPr>
                <w:rFonts w:ascii="Calibri" w:cs="Calibri" w:eastAsia="Calibri" w:hAnsi="Calibri"/>
                <w:sz w:val="10"/>
                <w:szCs w:val="10"/>
                <w:color w:val="auto"/>
              </w:rPr>
              <w:t>Stock–based compensaton expense</w:t>
            </w:r>
          </w:p>
        </w:tc>
        <w:tc>
          <w:tcPr>
            <w:tcW w:w="60" w:type="dxa"/>
            <w:vAlign w:val="bottom"/>
            <w:shd w:val="clear" w:color="auto" w:fill="CFF0FC"/>
          </w:tcPr>
          <w:p>
            <w:pPr>
              <w:spacing w:after="0"/>
              <w:rPr>
                <w:sz w:val="12"/>
                <w:szCs w:val="12"/>
                <w:color w:val="auto"/>
              </w:rPr>
            </w:pPr>
          </w:p>
        </w:tc>
        <w:tc>
          <w:tcPr>
            <w:tcW w:w="820" w:type="dxa"/>
            <w:vAlign w:val="bottom"/>
            <w:tcBorders>
              <w:right w:val="single" w:sz="8" w:color="auto"/>
            </w:tcBorders>
            <w:gridSpan w:val="2"/>
            <w:shd w:val="clear" w:color="auto" w:fill="CFF0FC"/>
          </w:tcPr>
          <w:p>
            <w:pPr>
              <w:jc w:val="right"/>
              <w:ind w:right="160"/>
              <w:spacing w:after="0"/>
              <w:rPr>
                <w:sz w:val="20"/>
                <w:szCs w:val="20"/>
                <w:color w:val="auto"/>
              </w:rPr>
            </w:pPr>
            <w:r>
              <w:rPr>
                <w:rFonts w:ascii="Calibri" w:cs="Calibri" w:eastAsia="Calibri" w:hAnsi="Calibri"/>
                <w:sz w:val="10"/>
                <w:szCs w:val="10"/>
                <w:color w:val="auto"/>
              </w:rPr>
              <w:t>—</w:t>
            </w: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40"/>
              <w:spacing w:after="0"/>
              <w:rPr>
                <w:sz w:val="20"/>
                <w:szCs w:val="20"/>
                <w:color w:val="auto"/>
              </w:rPr>
            </w:pPr>
            <w:r>
              <w:rPr>
                <w:rFonts w:ascii="Calibri" w:cs="Calibri" w:eastAsia="Calibri" w:hAnsi="Calibri"/>
                <w:sz w:val="10"/>
                <w:szCs w:val="10"/>
                <w:color w:val="auto"/>
              </w:rPr>
              <w:t>—</w:t>
            </w:r>
          </w:p>
        </w:tc>
        <w:tc>
          <w:tcPr>
            <w:tcW w:w="10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240"/>
              <w:spacing w:after="0"/>
              <w:rPr>
                <w:sz w:val="20"/>
                <w:szCs w:val="20"/>
                <w:color w:val="auto"/>
              </w:rPr>
            </w:pPr>
            <w:r>
              <w:rPr>
                <w:rFonts w:ascii="Calibri" w:cs="Calibri" w:eastAsia="Calibri" w:hAnsi="Calibri"/>
                <w:sz w:val="10"/>
                <w:szCs w:val="10"/>
                <w:color w:val="auto"/>
              </w:rPr>
              <w:t>—</w:t>
            </w:r>
          </w:p>
        </w:tc>
        <w:tc>
          <w:tcPr>
            <w:tcW w:w="900" w:type="dxa"/>
            <w:vAlign w:val="bottom"/>
            <w:gridSpan w:val="2"/>
            <w:shd w:val="clear" w:color="auto" w:fill="CFF0FC"/>
          </w:tcPr>
          <w:p>
            <w:pPr>
              <w:jc w:val="right"/>
              <w:ind w:right="260"/>
              <w:spacing w:after="0"/>
              <w:rPr>
                <w:sz w:val="20"/>
                <w:szCs w:val="20"/>
                <w:color w:val="auto"/>
              </w:rPr>
            </w:pPr>
            <w:r>
              <w:rPr>
                <w:rFonts w:ascii="Calibri" w:cs="Calibri" w:eastAsia="Calibri" w:hAnsi="Calibri"/>
                <w:sz w:val="10"/>
                <w:szCs w:val="10"/>
                <w:color w:val="auto"/>
              </w:rPr>
              <w:t>—</w:t>
            </w:r>
          </w:p>
        </w:tc>
        <w:tc>
          <w:tcPr>
            <w:tcW w:w="48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240"/>
              <w:spacing w:after="0"/>
              <w:rPr>
                <w:sz w:val="20"/>
                <w:szCs w:val="20"/>
                <w:color w:val="auto"/>
              </w:rPr>
            </w:pPr>
            <w:r>
              <w:rPr>
                <w:rFonts w:ascii="Calibri" w:cs="Calibri" w:eastAsia="Calibri" w:hAnsi="Calibri"/>
                <w:sz w:val="10"/>
                <w:szCs w:val="10"/>
                <w:color w:val="auto"/>
              </w:rPr>
              <w:t>—</w:t>
            </w: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Calibri" w:cs="Calibri" w:eastAsia="Calibri" w:hAnsi="Calibri"/>
                <w:sz w:val="10"/>
                <w:szCs w:val="10"/>
                <w:color w:val="auto"/>
              </w:rPr>
              <w:t>56,772</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220"/>
              <w:spacing w:after="0"/>
              <w:rPr>
                <w:sz w:val="20"/>
                <w:szCs w:val="20"/>
                <w:color w:val="auto"/>
              </w:rPr>
            </w:pPr>
            <w:r>
              <w:rPr>
                <w:rFonts w:ascii="Calibri" w:cs="Calibri" w:eastAsia="Calibri" w:hAnsi="Calibri"/>
                <w:sz w:val="10"/>
                <w:szCs w:val="10"/>
                <w:color w:val="auto"/>
              </w:rPr>
              <w:t>—</w:t>
            </w:r>
          </w:p>
        </w:tc>
        <w:tc>
          <w:tcPr>
            <w:tcW w:w="6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20"/>
              <w:spacing w:after="0"/>
              <w:rPr>
                <w:sz w:val="20"/>
                <w:szCs w:val="20"/>
                <w:color w:val="auto"/>
              </w:rPr>
            </w:pPr>
            <w:r>
              <w:rPr>
                <w:rFonts w:ascii="Calibri" w:cs="Calibri" w:eastAsia="Calibri" w:hAnsi="Calibri"/>
                <w:sz w:val="10"/>
                <w:szCs w:val="10"/>
                <w:color w:val="auto"/>
              </w:rPr>
              <w:t>—</w:t>
            </w:r>
          </w:p>
        </w:tc>
        <w:tc>
          <w:tcPr>
            <w:tcW w:w="6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Calibri" w:cs="Calibri" w:eastAsia="Calibri" w:hAnsi="Calibri"/>
                <w:sz w:val="10"/>
                <w:szCs w:val="10"/>
                <w:color w:val="auto"/>
              </w:rPr>
              <w:t>56,772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440" w:type="dxa"/>
            <w:vAlign w:val="bottom"/>
          </w:tcPr>
          <w:p>
            <w:pPr>
              <w:ind w:left="220"/>
              <w:spacing w:after="0" w:line="119" w:lineRule="exact"/>
              <w:rPr>
                <w:sz w:val="20"/>
                <w:szCs w:val="20"/>
                <w:color w:val="auto"/>
              </w:rPr>
            </w:pPr>
            <w:r>
              <w:rPr>
                <w:rFonts w:ascii="Calibri" w:cs="Calibri" w:eastAsia="Calibri" w:hAnsi="Calibri"/>
                <w:sz w:val="10"/>
                <w:szCs w:val="10"/>
                <w:color w:val="auto"/>
              </w:rPr>
              <w:t>Issuance of common stock upon exercise of stock optons</w:t>
            </w:r>
          </w:p>
        </w:tc>
        <w:tc>
          <w:tcPr>
            <w:tcW w:w="60" w:type="dxa"/>
            <w:vAlign w:val="bottom"/>
          </w:tcPr>
          <w:p>
            <w:pPr>
              <w:spacing w:after="0"/>
              <w:rPr>
                <w:sz w:val="11"/>
                <w:szCs w:val="11"/>
                <w:color w:val="auto"/>
              </w:rPr>
            </w:pPr>
          </w:p>
        </w:tc>
        <w:tc>
          <w:tcPr>
            <w:tcW w:w="820" w:type="dxa"/>
            <w:vAlign w:val="bottom"/>
            <w:tcBorders>
              <w:right w:val="single" w:sz="8" w:color="auto"/>
            </w:tcBorders>
            <w:gridSpan w:val="2"/>
          </w:tcPr>
          <w:p>
            <w:pPr>
              <w:jc w:val="right"/>
              <w:ind w:right="160"/>
              <w:spacing w:after="0" w:line="119" w:lineRule="exact"/>
              <w:rPr>
                <w:sz w:val="20"/>
                <w:szCs w:val="20"/>
                <w:color w:val="auto"/>
              </w:rPr>
            </w:pPr>
            <w:r>
              <w:rPr>
                <w:rFonts w:ascii="Calibri" w:cs="Calibri" w:eastAsia="Calibri" w:hAnsi="Calibri"/>
                <w:sz w:val="10"/>
                <w:szCs w:val="10"/>
                <w:color w:val="auto"/>
              </w:rPr>
              <w:t>—</w:t>
            </w:r>
          </w:p>
        </w:tc>
        <w:tc>
          <w:tcPr>
            <w:tcW w:w="100" w:type="dxa"/>
            <w:vAlign w:val="bottom"/>
          </w:tcPr>
          <w:p>
            <w:pPr>
              <w:spacing w:after="0"/>
              <w:rPr>
                <w:sz w:val="11"/>
                <w:szCs w:val="11"/>
                <w:color w:val="auto"/>
              </w:rPr>
            </w:pPr>
          </w:p>
        </w:tc>
        <w:tc>
          <w:tcPr>
            <w:tcW w:w="660" w:type="dxa"/>
            <w:vAlign w:val="bottom"/>
          </w:tcPr>
          <w:p>
            <w:pPr>
              <w:jc w:val="right"/>
              <w:spacing w:after="0" w:line="119" w:lineRule="exact"/>
              <w:rPr>
                <w:sz w:val="20"/>
                <w:szCs w:val="20"/>
                <w:color w:val="auto"/>
              </w:rPr>
            </w:pPr>
            <w:r>
              <w:rPr>
                <w:rFonts w:ascii="Calibri" w:cs="Calibri" w:eastAsia="Calibri" w:hAnsi="Calibri"/>
                <w:sz w:val="10"/>
                <w:szCs w:val="10"/>
                <w:color w:val="auto"/>
              </w:rPr>
              <w:t>222,147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240"/>
              <w:spacing w:after="0" w:line="119" w:lineRule="exact"/>
              <w:rPr>
                <w:sz w:val="20"/>
                <w:szCs w:val="20"/>
                <w:color w:val="auto"/>
              </w:rPr>
            </w:pPr>
            <w:r>
              <w:rPr>
                <w:rFonts w:ascii="Calibri" w:cs="Calibri" w:eastAsia="Calibri" w:hAnsi="Calibri"/>
                <w:sz w:val="10"/>
                <w:szCs w:val="10"/>
                <w:color w:val="auto"/>
              </w:rPr>
              <w:t>—</w:t>
            </w:r>
          </w:p>
        </w:tc>
        <w:tc>
          <w:tcPr>
            <w:tcW w:w="900" w:type="dxa"/>
            <w:vAlign w:val="bottom"/>
            <w:gridSpan w:val="2"/>
          </w:tcPr>
          <w:p>
            <w:pPr>
              <w:jc w:val="right"/>
              <w:ind w:right="260"/>
              <w:spacing w:after="0" w:line="119" w:lineRule="exact"/>
              <w:rPr>
                <w:sz w:val="20"/>
                <w:szCs w:val="20"/>
                <w:color w:val="auto"/>
              </w:rPr>
            </w:pPr>
            <w:r>
              <w:rPr>
                <w:rFonts w:ascii="Calibri" w:cs="Calibri" w:eastAsia="Calibri" w:hAnsi="Calibri"/>
                <w:sz w:val="10"/>
                <w:szCs w:val="10"/>
                <w:color w:val="auto"/>
              </w:rPr>
              <w:t>—</w:t>
            </w:r>
          </w:p>
        </w:tc>
        <w:tc>
          <w:tcPr>
            <w:tcW w:w="480" w:type="dxa"/>
            <w:vAlign w:val="bottom"/>
          </w:tcPr>
          <w:p>
            <w:pPr>
              <w:spacing w:after="0"/>
              <w:rPr>
                <w:sz w:val="11"/>
                <w:szCs w:val="11"/>
                <w:color w:val="auto"/>
              </w:rPr>
            </w:pPr>
          </w:p>
        </w:tc>
        <w:tc>
          <w:tcPr>
            <w:tcW w:w="360" w:type="dxa"/>
            <w:vAlign w:val="bottom"/>
            <w:gridSpan w:val="2"/>
          </w:tcPr>
          <w:p>
            <w:pPr>
              <w:jc w:val="right"/>
              <w:ind w:right="240"/>
              <w:spacing w:after="0" w:line="119" w:lineRule="exact"/>
              <w:rPr>
                <w:sz w:val="20"/>
                <w:szCs w:val="20"/>
                <w:color w:val="auto"/>
              </w:rPr>
            </w:pPr>
            <w:r>
              <w:rPr>
                <w:rFonts w:ascii="Calibri" w:cs="Calibri" w:eastAsia="Calibri" w:hAnsi="Calibri"/>
                <w:sz w:val="10"/>
                <w:szCs w:val="10"/>
                <w:color w:val="auto"/>
              </w:rPr>
              <w:t>—</w:t>
            </w:r>
          </w:p>
        </w:tc>
        <w:tc>
          <w:tcPr>
            <w:tcW w:w="80" w:type="dxa"/>
            <w:vAlign w:val="bottom"/>
          </w:tcPr>
          <w:p>
            <w:pPr>
              <w:spacing w:after="0"/>
              <w:rPr>
                <w:sz w:val="11"/>
                <w:szCs w:val="11"/>
                <w:color w:val="auto"/>
              </w:rPr>
            </w:pPr>
          </w:p>
        </w:tc>
        <w:tc>
          <w:tcPr>
            <w:tcW w:w="540" w:type="dxa"/>
            <w:vAlign w:val="bottom"/>
          </w:tcPr>
          <w:p>
            <w:pPr>
              <w:jc w:val="right"/>
              <w:spacing w:after="0" w:line="119" w:lineRule="exact"/>
              <w:rPr>
                <w:sz w:val="20"/>
                <w:szCs w:val="20"/>
                <w:color w:val="auto"/>
              </w:rPr>
            </w:pPr>
            <w:r>
              <w:rPr>
                <w:rFonts w:ascii="Calibri" w:cs="Calibri" w:eastAsia="Calibri" w:hAnsi="Calibri"/>
                <w:sz w:val="10"/>
                <w:szCs w:val="10"/>
                <w:color w:val="auto"/>
              </w:rPr>
              <w:t>663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220"/>
              <w:spacing w:after="0" w:line="119" w:lineRule="exact"/>
              <w:rPr>
                <w:sz w:val="20"/>
                <w:szCs w:val="20"/>
                <w:color w:val="auto"/>
              </w:rPr>
            </w:pPr>
            <w:r>
              <w:rPr>
                <w:rFonts w:ascii="Calibri" w:cs="Calibri" w:eastAsia="Calibri" w:hAnsi="Calibri"/>
                <w:sz w:val="10"/>
                <w:szCs w:val="10"/>
                <w:color w:val="auto"/>
              </w:rPr>
              <w:t>—</w:t>
            </w:r>
          </w:p>
        </w:tc>
        <w:tc>
          <w:tcPr>
            <w:tcW w:w="60" w:type="dxa"/>
            <w:vAlign w:val="bottom"/>
          </w:tcPr>
          <w:p>
            <w:pPr>
              <w:spacing w:after="0"/>
              <w:rPr>
                <w:sz w:val="11"/>
                <w:szCs w:val="11"/>
                <w:color w:val="auto"/>
              </w:rPr>
            </w:pPr>
          </w:p>
        </w:tc>
        <w:tc>
          <w:tcPr>
            <w:tcW w:w="860" w:type="dxa"/>
            <w:vAlign w:val="bottom"/>
            <w:gridSpan w:val="2"/>
          </w:tcPr>
          <w:p>
            <w:pPr>
              <w:jc w:val="right"/>
              <w:ind w:right="220"/>
              <w:spacing w:after="0" w:line="119" w:lineRule="exact"/>
              <w:rPr>
                <w:sz w:val="20"/>
                <w:szCs w:val="20"/>
                <w:color w:val="auto"/>
              </w:rPr>
            </w:pPr>
            <w:r>
              <w:rPr>
                <w:rFonts w:ascii="Calibri" w:cs="Calibri" w:eastAsia="Calibri" w:hAnsi="Calibri"/>
                <w:sz w:val="10"/>
                <w:szCs w:val="10"/>
                <w:color w:val="auto"/>
              </w:rPr>
              <w:t>—</w:t>
            </w:r>
          </w:p>
        </w:tc>
        <w:tc>
          <w:tcPr>
            <w:tcW w:w="60" w:type="dxa"/>
            <w:vAlign w:val="bottom"/>
          </w:tcPr>
          <w:p>
            <w:pPr>
              <w:spacing w:after="0"/>
              <w:rPr>
                <w:sz w:val="11"/>
                <w:szCs w:val="11"/>
                <w:color w:val="auto"/>
              </w:rPr>
            </w:pPr>
          </w:p>
        </w:tc>
        <w:tc>
          <w:tcPr>
            <w:tcW w:w="640" w:type="dxa"/>
            <w:vAlign w:val="bottom"/>
          </w:tcPr>
          <w:p>
            <w:pPr>
              <w:jc w:val="right"/>
              <w:spacing w:after="0" w:line="119" w:lineRule="exact"/>
              <w:rPr>
                <w:sz w:val="20"/>
                <w:szCs w:val="20"/>
                <w:color w:val="auto"/>
              </w:rPr>
            </w:pPr>
            <w:r>
              <w:rPr>
                <w:rFonts w:ascii="Calibri" w:cs="Calibri" w:eastAsia="Calibri" w:hAnsi="Calibri"/>
                <w:sz w:val="10"/>
                <w:szCs w:val="10"/>
                <w:color w:val="auto"/>
              </w:rPr>
              <w:t>663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440" w:type="dxa"/>
            <w:vAlign w:val="bottom"/>
            <w:shd w:val="clear" w:color="auto" w:fill="CFF0FC"/>
          </w:tcPr>
          <w:p>
            <w:pPr>
              <w:ind w:left="220"/>
              <w:spacing w:after="0"/>
              <w:rPr>
                <w:sz w:val="20"/>
                <w:szCs w:val="20"/>
                <w:color w:val="auto"/>
              </w:rPr>
            </w:pPr>
            <w:r>
              <w:rPr>
                <w:rFonts w:ascii="Calibri" w:cs="Calibri" w:eastAsia="Calibri" w:hAnsi="Calibri"/>
                <w:sz w:val="10"/>
                <w:szCs w:val="10"/>
                <w:color w:val="auto"/>
              </w:rPr>
              <w:t>Issuance of common stock upon vestng of restricted stock units</w:t>
            </w:r>
          </w:p>
        </w:tc>
        <w:tc>
          <w:tcPr>
            <w:tcW w:w="60" w:type="dxa"/>
            <w:vAlign w:val="bottom"/>
            <w:shd w:val="clear" w:color="auto" w:fill="CFF0FC"/>
          </w:tcPr>
          <w:p>
            <w:pPr>
              <w:spacing w:after="0"/>
              <w:rPr>
                <w:sz w:val="12"/>
                <w:szCs w:val="12"/>
                <w:color w:val="auto"/>
              </w:rPr>
            </w:pPr>
          </w:p>
        </w:tc>
        <w:tc>
          <w:tcPr>
            <w:tcW w:w="820" w:type="dxa"/>
            <w:vAlign w:val="bottom"/>
            <w:tcBorders>
              <w:right w:val="single" w:sz="8" w:color="auto"/>
            </w:tcBorders>
            <w:gridSpan w:val="2"/>
            <w:shd w:val="clear" w:color="auto" w:fill="CFF0FC"/>
          </w:tcPr>
          <w:p>
            <w:pPr>
              <w:jc w:val="right"/>
              <w:ind w:right="160"/>
              <w:spacing w:after="0"/>
              <w:rPr>
                <w:sz w:val="20"/>
                <w:szCs w:val="20"/>
                <w:color w:val="auto"/>
              </w:rPr>
            </w:pPr>
            <w:r>
              <w:rPr>
                <w:rFonts w:ascii="Calibri" w:cs="Calibri" w:eastAsia="Calibri" w:hAnsi="Calibri"/>
                <w:sz w:val="10"/>
                <w:szCs w:val="10"/>
                <w:color w:val="auto"/>
              </w:rPr>
              <w:t>—</w:t>
            </w: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Calibri" w:cs="Calibri" w:eastAsia="Calibri" w:hAnsi="Calibri"/>
                <w:sz w:val="10"/>
                <w:szCs w:val="10"/>
                <w:color w:val="auto"/>
              </w:rPr>
              <w:t>1,575,206</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Calibri" w:cs="Calibri" w:eastAsia="Calibri" w:hAnsi="Calibri"/>
                <w:sz w:val="10"/>
                <w:szCs w:val="10"/>
                <w:color w:val="auto"/>
              </w:rPr>
              <w:t>2</w:t>
            </w:r>
          </w:p>
        </w:tc>
        <w:tc>
          <w:tcPr>
            <w:tcW w:w="24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60"/>
              <w:spacing w:after="0"/>
              <w:rPr>
                <w:sz w:val="20"/>
                <w:szCs w:val="20"/>
                <w:color w:val="auto"/>
              </w:rPr>
            </w:pPr>
            <w:r>
              <w:rPr>
                <w:rFonts w:ascii="Calibri" w:cs="Calibri" w:eastAsia="Calibri" w:hAnsi="Calibri"/>
                <w:sz w:val="10"/>
                <w:szCs w:val="10"/>
                <w:color w:val="auto"/>
              </w:rPr>
              <w:t>—</w:t>
            </w:r>
          </w:p>
        </w:tc>
        <w:tc>
          <w:tcPr>
            <w:tcW w:w="48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240"/>
              <w:spacing w:after="0"/>
              <w:rPr>
                <w:sz w:val="20"/>
                <w:szCs w:val="20"/>
                <w:color w:val="auto"/>
              </w:rPr>
            </w:pPr>
            <w:r>
              <w:rPr>
                <w:rFonts w:ascii="Calibri" w:cs="Calibri" w:eastAsia="Calibri" w:hAnsi="Calibri"/>
                <w:sz w:val="10"/>
                <w:szCs w:val="10"/>
                <w:color w:val="auto"/>
              </w:rPr>
              <w:t>—</w:t>
            </w:r>
          </w:p>
        </w:tc>
        <w:tc>
          <w:tcPr>
            <w:tcW w:w="8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00"/>
              <w:spacing w:after="0"/>
              <w:rPr>
                <w:sz w:val="20"/>
                <w:szCs w:val="20"/>
                <w:color w:val="auto"/>
              </w:rPr>
            </w:pPr>
            <w:r>
              <w:rPr>
                <w:rFonts w:ascii="Calibri" w:cs="Calibri" w:eastAsia="Calibri" w:hAnsi="Calibri"/>
                <w:sz w:val="10"/>
                <w:szCs w:val="10"/>
                <w:color w:val="auto"/>
              </w:rPr>
              <w:t>(2 )</w:t>
            </w:r>
          </w:p>
        </w:tc>
        <w:tc>
          <w:tcPr>
            <w:tcW w:w="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220"/>
              <w:spacing w:after="0"/>
              <w:rPr>
                <w:sz w:val="20"/>
                <w:szCs w:val="20"/>
                <w:color w:val="auto"/>
              </w:rPr>
            </w:pPr>
            <w:r>
              <w:rPr>
                <w:rFonts w:ascii="Calibri" w:cs="Calibri" w:eastAsia="Calibri" w:hAnsi="Calibri"/>
                <w:sz w:val="10"/>
                <w:szCs w:val="10"/>
                <w:color w:val="auto"/>
              </w:rPr>
              <w:t>—</w:t>
            </w:r>
          </w:p>
        </w:tc>
        <w:tc>
          <w:tcPr>
            <w:tcW w:w="6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20"/>
              <w:spacing w:after="0"/>
              <w:rPr>
                <w:sz w:val="20"/>
                <w:szCs w:val="20"/>
                <w:color w:val="auto"/>
              </w:rPr>
            </w:pPr>
            <w:r>
              <w:rPr>
                <w:rFonts w:ascii="Calibri" w:cs="Calibri" w:eastAsia="Calibri" w:hAnsi="Calibri"/>
                <w:sz w:val="10"/>
                <w:szCs w:val="10"/>
                <w:color w:val="auto"/>
              </w:rPr>
              <w:t>—</w:t>
            </w:r>
          </w:p>
        </w:tc>
        <w:tc>
          <w:tcPr>
            <w:tcW w:w="6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20"/>
              <w:spacing w:after="0"/>
              <w:rPr>
                <w:sz w:val="20"/>
                <w:szCs w:val="20"/>
                <w:color w:val="auto"/>
              </w:rPr>
            </w:pPr>
            <w:r>
              <w:rPr>
                <w:rFonts w:ascii="Calibri" w:cs="Calibri" w:eastAsia="Calibri" w:hAnsi="Calibri"/>
                <w:sz w:val="10"/>
                <w:szCs w:val="10"/>
                <w:color w:val="auto"/>
              </w:rPr>
              <w:t>—</w:t>
            </w:r>
          </w:p>
        </w:tc>
        <w:tc>
          <w:tcPr>
            <w:tcW w:w="0" w:type="dxa"/>
            <w:vAlign w:val="bottom"/>
          </w:tcPr>
          <w:p>
            <w:pPr>
              <w:spacing w:after="0"/>
              <w:rPr>
                <w:sz w:val="1"/>
                <w:szCs w:val="1"/>
                <w:color w:val="auto"/>
              </w:rPr>
            </w:pPr>
          </w:p>
        </w:tc>
      </w:tr>
      <w:tr>
        <w:trPr>
          <w:trHeight w:val="112"/>
        </w:trPr>
        <w:tc>
          <w:tcPr>
            <w:tcW w:w="3440" w:type="dxa"/>
            <w:vAlign w:val="bottom"/>
          </w:tcPr>
          <w:p>
            <w:pPr>
              <w:ind w:left="220"/>
              <w:spacing w:after="0" w:line="112" w:lineRule="exact"/>
              <w:rPr>
                <w:sz w:val="20"/>
                <w:szCs w:val="20"/>
                <w:color w:val="auto"/>
              </w:rPr>
            </w:pPr>
            <w:r>
              <w:rPr>
                <w:rFonts w:ascii="Calibri" w:cs="Calibri" w:eastAsia="Calibri" w:hAnsi="Calibri"/>
                <w:sz w:val="10"/>
                <w:szCs w:val="10"/>
                <w:color w:val="auto"/>
              </w:rPr>
              <w:t>Payment of withholding taxes on net share setlements of restricted stock</w:t>
            </w: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3440" w:type="dxa"/>
            <w:vAlign w:val="bottom"/>
          </w:tcPr>
          <w:p>
            <w:pPr>
              <w:ind w:left="220"/>
              <w:spacing w:after="0" w:line="119" w:lineRule="exact"/>
              <w:rPr>
                <w:sz w:val="20"/>
                <w:szCs w:val="20"/>
                <w:color w:val="auto"/>
              </w:rPr>
            </w:pPr>
            <w:r>
              <w:rPr>
                <w:rFonts w:ascii="Calibri" w:cs="Calibri" w:eastAsia="Calibri" w:hAnsi="Calibri"/>
                <w:sz w:val="10"/>
                <w:szCs w:val="10"/>
                <w:color w:val="auto"/>
              </w:rPr>
              <w:t>units</w:t>
            </w:r>
          </w:p>
        </w:tc>
        <w:tc>
          <w:tcPr>
            <w:tcW w:w="60" w:type="dxa"/>
            <w:vAlign w:val="bottom"/>
          </w:tcPr>
          <w:p>
            <w:pPr>
              <w:spacing w:after="0"/>
              <w:rPr>
                <w:sz w:val="10"/>
                <w:szCs w:val="10"/>
                <w:color w:val="auto"/>
              </w:rPr>
            </w:pPr>
          </w:p>
        </w:tc>
        <w:tc>
          <w:tcPr>
            <w:tcW w:w="820" w:type="dxa"/>
            <w:vAlign w:val="bottom"/>
            <w:tcBorders>
              <w:right w:val="single" w:sz="8" w:color="auto"/>
            </w:tcBorders>
            <w:gridSpan w:val="2"/>
          </w:tcPr>
          <w:p>
            <w:pPr>
              <w:jc w:val="right"/>
              <w:ind w:right="160"/>
              <w:spacing w:after="0" w:line="119" w:lineRule="exact"/>
              <w:rPr>
                <w:sz w:val="20"/>
                <w:szCs w:val="20"/>
                <w:color w:val="auto"/>
              </w:rPr>
            </w:pPr>
            <w:r>
              <w:rPr>
                <w:rFonts w:ascii="Calibri" w:cs="Calibri" w:eastAsia="Calibri" w:hAnsi="Calibri"/>
                <w:sz w:val="10"/>
                <w:szCs w:val="10"/>
                <w:color w:val="auto"/>
              </w:rPr>
              <w:t>—</w:t>
            </w:r>
          </w:p>
        </w:tc>
        <w:tc>
          <w:tcPr>
            <w:tcW w:w="100" w:type="dxa"/>
            <w:vAlign w:val="bottom"/>
          </w:tcPr>
          <w:p>
            <w:pPr>
              <w:spacing w:after="0"/>
              <w:rPr>
                <w:sz w:val="10"/>
                <w:szCs w:val="10"/>
                <w:color w:val="auto"/>
              </w:rPr>
            </w:pPr>
          </w:p>
        </w:tc>
        <w:tc>
          <w:tcPr>
            <w:tcW w:w="880" w:type="dxa"/>
            <w:vAlign w:val="bottom"/>
            <w:gridSpan w:val="2"/>
          </w:tcPr>
          <w:p>
            <w:pPr>
              <w:jc w:val="right"/>
              <w:ind w:right="180"/>
              <w:spacing w:after="0" w:line="119" w:lineRule="exact"/>
              <w:rPr>
                <w:sz w:val="20"/>
                <w:szCs w:val="20"/>
                <w:color w:val="auto"/>
              </w:rPr>
            </w:pPr>
            <w:r>
              <w:rPr>
                <w:rFonts w:ascii="Calibri" w:cs="Calibri" w:eastAsia="Calibri" w:hAnsi="Calibri"/>
                <w:sz w:val="10"/>
                <w:szCs w:val="10"/>
                <w:color w:val="auto"/>
              </w:rPr>
              <w:t>(527,237 )</w:t>
            </w:r>
          </w:p>
        </w:tc>
        <w:tc>
          <w:tcPr>
            <w:tcW w:w="100" w:type="dxa"/>
            <w:vAlign w:val="bottom"/>
          </w:tcPr>
          <w:p>
            <w:pPr>
              <w:spacing w:after="0"/>
              <w:rPr>
                <w:sz w:val="10"/>
                <w:szCs w:val="10"/>
                <w:color w:val="auto"/>
              </w:rPr>
            </w:pPr>
          </w:p>
        </w:tc>
        <w:tc>
          <w:tcPr>
            <w:tcW w:w="720" w:type="dxa"/>
            <w:vAlign w:val="bottom"/>
            <w:gridSpan w:val="2"/>
          </w:tcPr>
          <w:p>
            <w:pPr>
              <w:jc w:val="right"/>
              <w:ind w:right="240"/>
              <w:spacing w:after="0" w:line="119" w:lineRule="exact"/>
              <w:rPr>
                <w:sz w:val="20"/>
                <w:szCs w:val="20"/>
                <w:color w:val="auto"/>
              </w:rPr>
            </w:pPr>
            <w:r>
              <w:rPr>
                <w:rFonts w:ascii="Calibri" w:cs="Calibri" w:eastAsia="Calibri" w:hAnsi="Calibri"/>
                <w:sz w:val="10"/>
                <w:szCs w:val="10"/>
                <w:color w:val="auto"/>
              </w:rPr>
              <w:t>—</w:t>
            </w:r>
          </w:p>
        </w:tc>
        <w:tc>
          <w:tcPr>
            <w:tcW w:w="900" w:type="dxa"/>
            <w:vAlign w:val="bottom"/>
            <w:gridSpan w:val="2"/>
          </w:tcPr>
          <w:p>
            <w:pPr>
              <w:jc w:val="right"/>
              <w:ind w:right="260"/>
              <w:spacing w:after="0" w:line="119" w:lineRule="exact"/>
              <w:rPr>
                <w:sz w:val="20"/>
                <w:szCs w:val="20"/>
                <w:color w:val="auto"/>
              </w:rPr>
            </w:pPr>
            <w:r>
              <w:rPr>
                <w:rFonts w:ascii="Calibri" w:cs="Calibri" w:eastAsia="Calibri" w:hAnsi="Calibri"/>
                <w:sz w:val="10"/>
                <w:szCs w:val="10"/>
                <w:color w:val="auto"/>
              </w:rPr>
              <w:t>—</w:t>
            </w:r>
          </w:p>
        </w:tc>
        <w:tc>
          <w:tcPr>
            <w:tcW w:w="480" w:type="dxa"/>
            <w:vAlign w:val="bottom"/>
          </w:tcPr>
          <w:p>
            <w:pPr>
              <w:spacing w:after="0"/>
              <w:rPr>
                <w:sz w:val="10"/>
                <w:szCs w:val="10"/>
                <w:color w:val="auto"/>
              </w:rPr>
            </w:pPr>
          </w:p>
        </w:tc>
        <w:tc>
          <w:tcPr>
            <w:tcW w:w="360" w:type="dxa"/>
            <w:vAlign w:val="bottom"/>
            <w:gridSpan w:val="2"/>
          </w:tcPr>
          <w:p>
            <w:pPr>
              <w:jc w:val="right"/>
              <w:ind w:right="240"/>
              <w:spacing w:after="0" w:line="119" w:lineRule="exact"/>
              <w:rPr>
                <w:sz w:val="20"/>
                <w:szCs w:val="20"/>
                <w:color w:val="auto"/>
              </w:rPr>
            </w:pPr>
            <w:r>
              <w:rPr>
                <w:rFonts w:ascii="Calibri" w:cs="Calibri" w:eastAsia="Calibri" w:hAnsi="Calibri"/>
                <w:sz w:val="10"/>
                <w:szCs w:val="10"/>
                <w:color w:val="auto"/>
              </w:rPr>
              <w:t>—</w:t>
            </w:r>
          </w:p>
        </w:tc>
        <w:tc>
          <w:tcPr>
            <w:tcW w:w="80" w:type="dxa"/>
            <w:vAlign w:val="bottom"/>
          </w:tcPr>
          <w:p>
            <w:pPr>
              <w:spacing w:after="0"/>
              <w:rPr>
                <w:sz w:val="10"/>
                <w:szCs w:val="10"/>
                <w:color w:val="auto"/>
              </w:rPr>
            </w:pPr>
          </w:p>
        </w:tc>
        <w:tc>
          <w:tcPr>
            <w:tcW w:w="780" w:type="dxa"/>
            <w:vAlign w:val="bottom"/>
            <w:gridSpan w:val="2"/>
          </w:tcPr>
          <w:p>
            <w:pPr>
              <w:jc w:val="right"/>
              <w:ind w:right="200"/>
              <w:spacing w:after="0" w:line="119" w:lineRule="exact"/>
              <w:rPr>
                <w:sz w:val="20"/>
                <w:szCs w:val="20"/>
                <w:color w:val="auto"/>
              </w:rPr>
            </w:pPr>
            <w:r>
              <w:rPr>
                <w:rFonts w:ascii="Calibri" w:cs="Calibri" w:eastAsia="Calibri" w:hAnsi="Calibri"/>
                <w:sz w:val="10"/>
                <w:szCs w:val="10"/>
                <w:color w:val="auto"/>
              </w:rPr>
              <w:t>(15,388 )</w:t>
            </w:r>
          </w:p>
        </w:tc>
        <w:tc>
          <w:tcPr>
            <w:tcW w:w="80" w:type="dxa"/>
            <w:vAlign w:val="bottom"/>
          </w:tcPr>
          <w:p>
            <w:pPr>
              <w:spacing w:after="0"/>
              <w:rPr>
                <w:sz w:val="10"/>
                <w:szCs w:val="10"/>
                <w:color w:val="auto"/>
              </w:rPr>
            </w:pPr>
          </w:p>
        </w:tc>
        <w:tc>
          <w:tcPr>
            <w:tcW w:w="740" w:type="dxa"/>
            <w:vAlign w:val="bottom"/>
            <w:gridSpan w:val="2"/>
          </w:tcPr>
          <w:p>
            <w:pPr>
              <w:jc w:val="right"/>
              <w:ind w:right="220"/>
              <w:spacing w:after="0" w:line="119" w:lineRule="exact"/>
              <w:rPr>
                <w:sz w:val="20"/>
                <w:szCs w:val="20"/>
                <w:color w:val="auto"/>
              </w:rPr>
            </w:pPr>
            <w:r>
              <w:rPr>
                <w:rFonts w:ascii="Calibri" w:cs="Calibri" w:eastAsia="Calibri" w:hAnsi="Calibri"/>
                <w:sz w:val="10"/>
                <w:szCs w:val="10"/>
                <w:color w:val="auto"/>
              </w:rPr>
              <w:t>—</w:t>
            </w:r>
          </w:p>
        </w:tc>
        <w:tc>
          <w:tcPr>
            <w:tcW w:w="60" w:type="dxa"/>
            <w:vAlign w:val="bottom"/>
          </w:tcPr>
          <w:p>
            <w:pPr>
              <w:spacing w:after="0"/>
              <w:rPr>
                <w:sz w:val="10"/>
                <w:szCs w:val="10"/>
                <w:color w:val="auto"/>
              </w:rPr>
            </w:pPr>
          </w:p>
        </w:tc>
        <w:tc>
          <w:tcPr>
            <w:tcW w:w="860" w:type="dxa"/>
            <w:vAlign w:val="bottom"/>
            <w:gridSpan w:val="2"/>
          </w:tcPr>
          <w:p>
            <w:pPr>
              <w:jc w:val="right"/>
              <w:ind w:right="220"/>
              <w:spacing w:after="0" w:line="119" w:lineRule="exact"/>
              <w:rPr>
                <w:sz w:val="20"/>
                <w:szCs w:val="20"/>
                <w:color w:val="auto"/>
              </w:rPr>
            </w:pPr>
            <w:r>
              <w:rPr>
                <w:rFonts w:ascii="Calibri" w:cs="Calibri" w:eastAsia="Calibri" w:hAnsi="Calibri"/>
                <w:sz w:val="10"/>
                <w:szCs w:val="10"/>
                <w:color w:val="auto"/>
              </w:rPr>
              <w:t>—</w:t>
            </w:r>
          </w:p>
        </w:tc>
        <w:tc>
          <w:tcPr>
            <w:tcW w:w="60" w:type="dxa"/>
            <w:vAlign w:val="bottom"/>
          </w:tcPr>
          <w:p>
            <w:pPr>
              <w:spacing w:after="0"/>
              <w:rPr>
                <w:sz w:val="10"/>
                <w:szCs w:val="10"/>
                <w:color w:val="auto"/>
              </w:rPr>
            </w:pPr>
          </w:p>
        </w:tc>
        <w:tc>
          <w:tcPr>
            <w:tcW w:w="740" w:type="dxa"/>
            <w:vAlign w:val="bottom"/>
            <w:gridSpan w:val="2"/>
          </w:tcPr>
          <w:p>
            <w:pPr>
              <w:jc w:val="right"/>
              <w:ind w:right="60"/>
              <w:spacing w:after="0" w:line="119" w:lineRule="exact"/>
              <w:rPr>
                <w:sz w:val="20"/>
                <w:szCs w:val="20"/>
                <w:color w:val="auto"/>
              </w:rPr>
            </w:pPr>
            <w:r>
              <w:rPr>
                <w:rFonts w:ascii="Calibri" w:cs="Calibri" w:eastAsia="Calibri" w:hAnsi="Calibri"/>
                <w:sz w:val="10"/>
                <w:szCs w:val="10"/>
                <w:color w:val="auto"/>
              </w:rPr>
              <w:t>(15,388 )</w:t>
            </w:r>
          </w:p>
        </w:tc>
        <w:tc>
          <w:tcPr>
            <w:tcW w:w="0" w:type="dxa"/>
            <w:vAlign w:val="bottom"/>
          </w:tcPr>
          <w:p>
            <w:pPr>
              <w:spacing w:after="0"/>
              <w:rPr>
                <w:sz w:val="1"/>
                <w:szCs w:val="1"/>
                <w:color w:val="auto"/>
              </w:rPr>
            </w:pPr>
          </w:p>
        </w:tc>
      </w:tr>
      <w:tr>
        <w:trPr>
          <w:trHeight w:val="22"/>
        </w:trPr>
        <w:tc>
          <w:tcPr>
            <w:tcW w:w="3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3440" w:type="dxa"/>
            <w:vAlign w:val="bottom"/>
            <w:shd w:val="clear" w:color="auto" w:fill="CFF0FC"/>
          </w:tcPr>
          <w:p>
            <w:pPr>
              <w:ind w:left="220"/>
              <w:spacing w:after="0" w:line="119" w:lineRule="exact"/>
              <w:rPr>
                <w:sz w:val="20"/>
                <w:szCs w:val="20"/>
                <w:color w:val="auto"/>
              </w:rPr>
            </w:pPr>
            <w:r>
              <w:rPr>
                <w:rFonts w:ascii="Calibri" w:cs="Calibri" w:eastAsia="Calibri" w:hAnsi="Calibri"/>
                <w:sz w:val="10"/>
                <w:szCs w:val="10"/>
                <w:color w:val="auto"/>
              </w:rPr>
              <w:t>Conversion of common stock</w:t>
            </w:r>
          </w:p>
        </w:tc>
        <w:tc>
          <w:tcPr>
            <w:tcW w:w="60" w:type="dxa"/>
            <w:vAlign w:val="bottom"/>
            <w:shd w:val="clear" w:color="auto" w:fill="CFF0FC"/>
          </w:tcPr>
          <w:p>
            <w:pPr>
              <w:spacing w:after="0"/>
              <w:rPr>
                <w:sz w:val="12"/>
                <w:szCs w:val="12"/>
                <w:color w:val="auto"/>
              </w:rPr>
            </w:pPr>
          </w:p>
        </w:tc>
        <w:tc>
          <w:tcPr>
            <w:tcW w:w="820" w:type="dxa"/>
            <w:vAlign w:val="bottom"/>
            <w:tcBorders>
              <w:right w:val="single" w:sz="8" w:color="auto"/>
            </w:tcBorders>
            <w:gridSpan w:val="2"/>
            <w:shd w:val="clear" w:color="auto" w:fill="CFF0FC"/>
          </w:tcPr>
          <w:p>
            <w:pPr>
              <w:jc w:val="right"/>
              <w:ind w:right="160"/>
              <w:spacing w:after="0" w:line="119" w:lineRule="exact"/>
              <w:rPr>
                <w:sz w:val="20"/>
                <w:szCs w:val="20"/>
                <w:color w:val="auto"/>
              </w:rPr>
            </w:pPr>
            <w:r>
              <w:rPr>
                <w:rFonts w:ascii="Calibri" w:cs="Calibri" w:eastAsia="Calibri" w:hAnsi="Calibri"/>
                <w:sz w:val="10"/>
                <w:szCs w:val="10"/>
                <w:color w:val="auto"/>
              </w:rPr>
              <w:t>—</w:t>
            </w: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19" w:lineRule="exact"/>
              <w:rPr>
                <w:sz w:val="20"/>
                <w:szCs w:val="20"/>
                <w:color w:val="auto"/>
              </w:rPr>
            </w:pPr>
            <w:r>
              <w:rPr>
                <w:rFonts w:ascii="Calibri" w:cs="Calibri" w:eastAsia="Calibri" w:hAnsi="Calibri"/>
                <w:sz w:val="10"/>
                <w:szCs w:val="10"/>
                <w:color w:val="auto"/>
              </w:rPr>
              <w:t>3,077,327</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line="119" w:lineRule="exact"/>
              <w:rPr>
                <w:sz w:val="20"/>
                <w:szCs w:val="20"/>
                <w:color w:val="auto"/>
              </w:rPr>
            </w:pPr>
            <w:r>
              <w:rPr>
                <w:rFonts w:ascii="Calibri" w:cs="Calibri" w:eastAsia="Calibri" w:hAnsi="Calibri"/>
                <w:sz w:val="10"/>
                <w:szCs w:val="10"/>
                <w:color w:val="auto"/>
              </w:rPr>
              <w:t>3</w:t>
            </w:r>
          </w:p>
        </w:tc>
        <w:tc>
          <w:tcPr>
            <w:tcW w:w="24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00"/>
              <w:spacing w:after="0" w:line="119" w:lineRule="exact"/>
              <w:rPr>
                <w:sz w:val="20"/>
                <w:szCs w:val="20"/>
                <w:color w:val="auto"/>
              </w:rPr>
            </w:pPr>
            <w:r>
              <w:rPr>
                <w:rFonts w:ascii="Calibri" w:cs="Calibri" w:eastAsia="Calibri" w:hAnsi="Calibri"/>
                <w:sz w:val="10"/>
                <w:szCs w:val="10"/>
                <w:color w:val="auto"/>
              </w:rPr>
              <w:t>(3,077,327 )</w:t>
            </w:r>
          </w:p>
        </w:tc>
        <w:tc>
          <w:tcPr>
            <w:tcW w:w="48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180"/>
              <w:spacing w:after="0" w:line="119" w:lineRule="exact"/>
              <w:rPr>
                <w:sz w:val="20"/>
                <w:szCs w:val="20"/>
                <w:color w:val="auto"/>
              </w:rPr>
            </w:pPr>
            <w:r>
              <w:rPr>
                <w:rFonts w:ascii="Calibri" w:cs="Calibri" w:eastAsia="Calibri" w:hAnsi="Calibri"/>
                <w:sz w:val="10"/>
                <w:szCs w:val="10"/>
                <w:color w:val="auto"/>
              </w:rPr>
              <w:t>(3 )</w:t>
            </w:r>
          </w:p>
        </w:tc>
        <w:tc>
          <w:tcPr>
            <w:tcW w:w="8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40"/>
              <w:spacing w:after="0" w:line="119" w:lineRule="exact"/>
              <w:rPr>
                <w:sz w:val="20"/>
                <w:szCs w:val="20"/>
                <w:color w:val="auto"/>
              </w:rPr>
            </w:pPr>
            <w:r>
              <w:rPr>
                <w:rFonts w:ascii="Calibri" w:cs="Calibri" w:eastAsia="Calibri" w:hAnsi="Calibri"/>
                <w:sz w:val="10"/>
                <w:szCs w:val="10"/>
                <w:color w:val="auto"/>
              </w:rPr>
              <w:t>—</w:t>
            </w:r>
          </w:p>
        </w:tc>
        <w:tc>
          <w:tcPr>
            <w:tcW w:w="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220"/>
              <w:spacing w:after="0" w:line="119" w:lineRule="exact"/>
              <w:rPr>
                <w:sz w:val="20"/>
                <w:szCs w:val="20"/>
                <w:color w:val="auto"/>
              </w:rPr>
            </w:pPr>
            <w:r>
              <w:rPr>
                <w:rFonts w:ascii="Calibri" w:cs="Calibri" w:eastAsia="Calibri" w:hAnsi="Calibri"/>
                <w:sz w:val="10"/>
                <w:szCs w:val="10"/>
                <w:color w:val="auto"/>
              </w:rPr>
              <w:t>—</w:t>
            </w:r>
          </w:p>
        </w:tc>
        <w:tc>
          <w:tcPr>
            <w:tcW w:w="6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20"/>
              <w:spacing w:after="0" w:line="119" w:lineRule="exact"/>
              <w:rPr>
                <w:sz w:val="20"/>
                <w:szCs w:val="20"/>
                <w:color w:val="auto"/>
              </w:rPr>
            </w:pPr>
            <w:r>
              <w:rPr>
                <w:rFonts w:ascii="Calibri" w:cs="Calibri" w:eastAsia="Calibri" w:hAnsi="Calibri"/>
                <w:sz w:val="10"/>
                <w:szCs w:val="10"/>
                <w:color w:val="auto"/>
              </w:rPr>
              <w:t>—</w:t>
            </w:r>
          </w:p>
        </w:tc>
        <w:tc>
          <w:tcPr>
            <w:tcW w:w="6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20"/>
              <w:spacing w:after="0" w:line="119" w:lineRule="exact"/>
              <w:rPr>
                <w:sz w:val="20"/>
                <w:szCs w:val="20"/>
                <w:color w:val="auto"/>
              </w:rPr>
            </w:pPr>
            <w:r>
              <w:rPr>
                <w:rFonts w:ascii="Calibri" w:cs="Calibri" w:eastAsia="Calibri" w:hAnsi="Calibri"/>
                <w:sz w:val="10"/>
                <w:szCs w:val="10"/>
                <w:color w:val="auto"/>
              </w:rPr>
              <w:t>—</w:t>
            </w:r>
          </w:p>
        </w:tc>
        <w:tc>
          <w:tcPr>
            <w:tcW w:w="0" w:type="dxa"/>
            <w:vAlign w:val="bottom"/>
          </w:tcPr>
          <w:p>
            <w:pPr>
              <w:spacing w:after="0"/>
              <w:rPr>
                <w:sz w:val="1"/>
                <w:szCs w:val="1"/>
                <w:color w:val="auto"/>
              </w:rPr>
            </w:pPr>
          </w:p>
        </w:tc>
      </w:tr>
      <w:tr>
        <w:trPr>
          <w:trHeight w:val="128"/>
        </w:trPr>
        <w:tc>
          <w:tcPr>
            <w:tcW w:w="3440" w:type="dxa"/>
            <w:vAlign w:val="bottom"/>
          </w:tcPr>
          <w:p>
            <w:pPr>
              <w:ind w:left="220"/>
              <w:spacing w:after="0" w:line="119" w:lineRule="exact"/>
              <w:rPr>
                <w:sz w:val="20"/>
                <w:szCs w:val="20"/>
                <w:color w:val="auto"/>
              </w:rPr>
            </w:pPr>
            <w:r>
              <w:rPr>
                <w:rFonts w:ascii="Calibri" w:cs="Calibri" w:eastAsia="Calibri" w:hAnsi="Calibri"/>
                <w:sz w:val="10"/>
                <w:szCs w:val="10"/>
                <w:color w:val="auto"/>
              </w:rPr>
              <w:t>Issuance of common stock upon for acquisiton</w:t>
            </w:r>
          </w:p>
        </w:tc>
        <w:tc>
          <w:tcPr>
            <w:tcW w:w="60" w:type="dxa"/>
            <w:vAlign w:val="bottom"/>
          </w:tcPr>
          <w:p>
            <w:pPr>
              <w:spacing w:after="0"/>
              <w:rPr>
                <w:sz w:val="11"/>
                <w:szCs w:val="11"/>
                <w:color w:val="auto"/>
              </w:rPr>
            </w:pPr>
          </w:p>
        </w:tc>
        <w:tc>
          <w:tcPr>
            <w:tcW w:w="820" w:type="dxa"/>
            <w:vAlign w:val="bottom"/>
            <w:tcBorders>
              <w:right w:val="single" w:sz="8" w:color="auto"/>
            </w:tcBorders>
            <w:gridSpan w:val="2"/>
          </w:tcPr>
          <w:p>
            <w:pPr>
              <w:jc w:val="right"/>
              <w:ind w:right="160"/>
              <w:spacing w:after="0" w:line="119" w:lineRule="exact"/>
              <w:rPr>
                <w:sz w:val="20"/>
                <w:szCs w:val="20"/>
                <w:color w:val="auto"/>
              </w:rPr>
            </w:pPr>
            <w:r>
              <w:rPr>
                <w:rFonts w:ascii="Calibri" w:cs="Calibri" w:eastAsia="Calibri" w:hAnsi="Calibri"/>
                <w:sz w:val="10"/>
                <w:szCs w:val="10"/>
                <w:color w:val="auto"/>
              </w:rPr>
              <w:t>—</w:t>
            </w:r>
          </w:p>
        </w:tc>
        <w:tc>
          <w:tcPr>
            <w:tcW w:w="100" w:type="dxa"/>
            <w:vAlign w:val="bottom"/>
          </w:tcPr>
          <w:p>
            <w:pPr>
              <w:spacing w:after="0"/>
              <w:rPr>
                <w:sz w:val="11"/>
                <w:szCs w:val="11"/>
                <w:color w:val="auto"/>
              </w:rPr>
            </w:pPr>
          </w:p>
        </w:tc>
        <w:tc>
          <w:tcPr>
            <w:tcW w:w="660" w:type="dxa"/>
            <w:vAlign w:val="bottom"/>
          </w:tcPr>
          <w:p>
            <w:pPr>
              <w:jc w:val="right"/>
              <w:spacing w:after="0" w:line="119" w:lineRule="exact"/>
              <w:rPr>
                <w:sz w:val="20"/>
                <w:szCs w:val="20"/>
                <w:color w:val="auto"/>
              </w:rPr>
            </w:pPr>
            <w:r>
              <w:rPr>
                <w:rFonts w:ascii="Calibri" w:cs="Calibri" w:eastAsia="Calibri" w:hAnsi="Calibri"/>
                <w:sz w:val="10"/>
                <w:szCs w:val="10"/>
                <w:color w:val="auto"/>
              </w:rPr>
              <w:t>3,115,282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19" w:lineRule="exact"/>
              <w:rPr>
                <w:sz w:val="20"/>
                <w:szCs w:val="20"/>
                <w:color w:val="auto"/>
              </w:rPr>
            </w:pPr>
            <w:r>
              <w:rPr>
                <w:rFonts w:ascii="Calibri" w:cs="Calibri" w:eastAsia="Calibri" w:hAnsi="Calibri"/>
                <w:sz w:val="10"/>
                <w:szCs w:val="10"/>
                <w:color w:val="auto"/>
              </w:rPr>
              <w:t>3</w:t>
            </w:r>
          </w:p>
        </w:tc>
        <w:tc>
          <w:tcPr>
            <w:tcW w:w="240" w:type="dxa"/>
            <w:vAlign w:val="bottom"/>
          </w:tcPr>
          <w:p>
            <w:pPr>
              <w:spacing w:after="0"/>
              <w:rPr>
                <w:sz w:val="11"/>
                <w:szCs w:val="11"/>
                <w:color w:val="auto"/>
              </w:rPr>
            </w:pPr>
          </w:p>
        </w:tc>
        <w:tc>
          <w:tcPr>
            <w:tcW w:w="900" w:type="dxa"/>
            <w:vAlign w:val="bottom"/>
            <w:gridSpan w:val="2"/>
          </w:tcPr>
          <w:p>
            <w:pPr>
              <w:jc w:val="right"/>
              <w:ind w:right="260"/>
              <w:spacing w:after="0" w:line="119" w:lineRule="exact"/>
              <w:rPr>
                <w:sz w:val="20"/>
                <w:szCs w:val="20"/>
                <w:color w:val="auto"/>
              </w:rPr>
            </w:pPr>
            <w:r>
              <w:rPr>
                <w:rFonts w:ascii="Calibri" w:cs="Calibri" w:eastAsia="Calibri" w:hAnsi="Calibri"/>
                <w:sz w:val="10"/>
                <w:szCs w:val="10"/>
                <w:color w:val="auto"/>
              </w:rPr>
              <w:t>—</w:t>
            </w:r>
          </w:p>
        </w:tc>
        <w:tc>
          <w:tcPr>
            <w:tcW w:w="480" w:type="dxa"/>
            <w:vAlign w:val="bottom"/>
          </w:tcPr>
          <w:p>
            <w:pPr>
              <w:spacing w:after="0"/>
              <w:rPr>
                <w:sz w:val="11"/>
                <w:szCs w:val="11"/>
                <w:color w:val="auto"/>
              </w:rPr>
            </w:pPr>
          </w:p>
        </w:tc>
        <w:tc>
          <w:tcPr>
            <w:tcW w:w="360" w:type="dxa"/>
            <w:vAlign w:val="bottom"/>
            <w:gridSpan w:val="2"/>
          </w:tcPr>
          <w:p>
            <w:pPr>
              <w:jc w:val="right"/>
              <w:ind w:right="240"/>
              <w:spacing w:after="0" w:line="119" w:lineRule="exact"/>
              <w:rPr>
                <w:sz w:val="20"/>
                <w:szCs w:val="20"/>
                <w:color w:val="auto"/>
              </w:rPr>
            </w:pPr>
            <w:r>
              <w:rPr>
                <w:rFonts w:ascii="Calibri" w:cs="Calibri" w:eastAsia="Calibri" w:hAnsi="Calibri"/>
                <w:sz w:val="10"/>
                <w:szCs w:val="10"/>
                <w:color w:val="auto"/>
              </w:rPr>
              <w:t>—</w:t>
            </w:r>
          </w:p>
        </w:tc>
        <w:tc>
          <w:tcPr>
            <w:tcW w:w="80" w:type="dxa"/>
            <w:vAlign w:val="bottom"/>
          </w:tcPr>
          <w:p>
            <w:pPr>
              <w:spacing w:after="0"/>
              <w:rPr>
                <w:sz w:val="11"/>
                <w:szCs w:val="11"/>
                <w:color w:val="auto"/>
              </w:rPr>
            </w:pPr>
          </w:p>
        </w:tc>
        <w:tc>
          <w:tcPr>
            <w:tcW w:w="540" w:type="dxa"/>
            <w:vAlign w:val="bottom"/>
          </w:tcPr>
          <w:p>
            <w:pPr>
              <w:jc w:val="right"/>
              <w:spacing w:after="0" w:line="119" w:lineRule="exact"/>
              <w:rPr>
                <w:sz w:val="20"/>
                <w:szCs w:val="20"/>
                <w:color w:val="auto"/>
              </w:rPr>
            </w:pPr>
            <w:r>
              <w:rPr>
                <w:rFonts w:ascii="Calibri" w:cs="Calibri" w:eastAsia="Calibri" w:hAnsi="Calibri"/>
                <w:sz w:val="10"/>
                <w:szCs w:val="10"/>
                <w:color w:val="auto"/>
              </w:rPr>
              <w:t>103,642</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220"/>
              <w:spacing w:after="0" w:line="119" w:lineRule="exact"/>
              <w:rPr>
                <w:sz w:val="20"/>
                <w:szCs w:val="20"/>
                <w:color w:val="auto"/>
              </w:rPr>
            </w:pPr>
            <w:r>
              <w:rPr>
                <w:rFonts w:ascii="Calibri" w:cs="Calibri" w:eastAsia="Calibri" w:hAnsi="Calibri"/>
                <w:sz w:val="10"/>
                <w:szCs w:val="10"/>
                <w:color w:val="auto"/>
              </w:rPr>
              <w:t>—</w:t>
            </w:r>
          </w:p>
        </w:tc>
        <w:tc>
          <w:tcPr>
            <w:tcW w:w="60" w:type="dxa"/>
            <w:vAlign w:val="bottom"/>
          </w:tcPr>
          <w:p>
            <w:pPr>
              <w:spacing w:after="0"/>
              <w:rPr>
                <w:sz w:val="11"/>
                <w:szCs w:val="11"/>
                <w:color w:val="auto"/>
              </w:rPr>
            </w:pPr>
          </w:p>
        </w:tc>
        <w:tc>
          <w:tcPr>
            <w:tcW w:w="860" w:type="dxa"/>
            <w:vAlign w:val="bottom"/>
            <w:gridSpan w:val="2"/>
          </w:tcPr>
          <w:p>
            <w:pPr>
              <w:jc w:val="right"/>
              <w:ind w:right="220"/>
              <w:spacing w:after="0" w:line="119" w:lineRule="exact"/>
              <w:rPr>
                <w:sz w:val="20"/>
                <w:szCs w:val="20"/>
                <w:color w:val="auto"/>
              </w:rPr>
            </w:pPr>
            <w:r>
              <w:rPr>
                <w:rFonts w:ascii="Calibri" w:cs="Calibri" w:eastAsia="Calibri" w:hAnsi="Calibri"/>
                <w:sz w:val="10"/>
                <w:szCs w:val="10"/>
                <w:color w:val="auto"/>
              </w:rPr>
              <w:t>—</w:t>
            </w:r>
          </w:p>
        </w:tc>
        <w:tc>
          <w:tcPr>
            <w:tcW w:w="60" w:type="dxa"/>
            <w:vAlign w:val="bottom"/>
          </w:tcPr>
          <w:p>
            <w:pPr>
              <w:spacing w:after="0"/>
              <w:rPr>
                <w:sz w:val="11"/>
                <w:szCs w:val="11"/>
                <w:color w:val="auto"/>
              </w:rPr>
            </w:pPr>
          </w:p>
        </w:tc>
        <w:tc>
          <w:tcPr>
            <w:tcW w:w="640" w:type="dxa"/>
            <w:vAlign w:val="bottom"/>
          </w:tcPr>
          <w:p>
            <w:pPr>
              <w:jc w:val="right"/>
              <w:spacing w:after="0" w:line="119" w:lineRule="exact"/>
              <w:rPr>
                <w:sz w:val="20"/>
                <w:szCs w:val="20"/>
                <w:color w:val="auto"/>
              </w:rPr>
            </w:pPr>
            <w:r>
              <w:rPr>
                <w:rFonts w:ascii="Calibri" w:cs="Calibri" w:eastAsia="Calibri" w:hAnsi="Calibri"/>
                <w:sz w:val="10"/>
                <w:szCs w:val="10"/>
                <w:color w:val="auto"/>
              </w:rPr>
              <w:t>103,645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440" w:type="dxa"/>
            <w:vAlign w:val="bottom"/>
            <w:shd w:val="clear" w:color="auto" w:fill="CFF0FC"/>
          </w:tcPr>
          <w:p>
            <w:pPr>
              <w:ind w:left="220"/>
              <w:spacing w:after="0"/>
              <w:rPr>
                <w:sz w:val="20"/>
                <w:szCs w:val="20"/>
                <w:color w:val="auto"/>
              </w:rPr>
            </w:pPr>
            <w:r>
              <w:rPr>
                <w:rFonts w:ascii="Calibri" w:cs="Calibri" w:eastAsia="Calibri" w:hAnsi="Calibri"/>
                <w:sz w:val="10"/>
                <w:szCs w:val="10"/>
                <w:color w:val="auto"/>
              </w:rPr>
              <w:t>Acquisiton of a 51% interest in CarOfer, LLC</w:t>
            </w:r>
          </w:p>
        </w:tc>
        <w:tc>
          <w:tcPr>
            <w:tcW w:w="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Calibri" w:cs="Calibri" w:eastAsia="Calibri" w:hAnsi="Calibri"/>
                <w:sz w:val="10"/>
                <w:szCs w:val="10"/>
                <w:color w:val="auto"/>
              </w:rPr>
              <w:t>60,982</w:t>
            </w:r>
          </w:p>
        </w:tc>
        <w:tc>
          <w:tcPr>
            <w:tcW w:w="14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40"/>
              <w:spacing w:after="0"/>
              <w:rPr>
                <w:sz w:val="20"/>
                <w:szCs w:val="20"/>
                <w:color w:val="auto"/>
              </w:rPr>
            </w:pPr>
            <w:r>
              <w:rPr>
                <w:rFonts w:ascii="Calibri" w:cs="Calibri" w:eastAsia="Calibri" w:hAnsi="Calibri"/>
                <w:sz w:val="10"/>
                <w:szCs w:val="10"/>
                <w:color w:val="auto"/>
              </w:rPr>
              <w:t>—</w:t>
            </w:r>
          </w:p>
        </w:tc>
        <w:tc>
          <w:tcPr>
            <w:tcW w:w="10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240"/>
              <w:spacing w:after="0"/>
              <w:rPr>
                <w:sz w:val="20"/>
                <w:szCs w:val="20"/>
                <w:color w:val="auto"/>
              </w:rPr>
            </w:pPr>
            <w:r>
              <w:rPr>
                <w:rFonts w:ascii="Calibri" w:cs="Calibri" w:eastAsia="Calibri" w:hAnsi="Calibri"/>
                <w:sz w:val="10"/>
                <w:szCs w:val="10"/>
                <w:color w:val="auto"/>
              </w:rPr>
              <w:t>—</w:t>
            </w:r>
          </w:p>
        </w:tc>
        <w:tc>
          <w:tcPr>
            <w:tcW w:w="900" w:type="dxa"/>
            <w:vAlign w:val="bottom"/>
            <w:gridSpan w:val="2"/>
            <w:shd w:val="clear" w:color="auto" w:fill="CFF0FC"/>
          </w:tcPr>
          <w:p>
            <w:pPr>
              <w:jc w:val="right"/>
              <w:ind w:right="260"/>
              <w:spacing w:after="0"/>
              <w:rPr>
                <w:sz w:val="20"/>
                <w:szCs w:val="20"/>
                <w:color w:val="auto"/>
              </w:rPr>
            </w:pPr>
            <w:r>
              <w:rPr>
                <w:rFonts w:ascii="Calibri" w:cs="Calibri" w:eastAsia="Calibri" w:hAnsi="Calibri"/>
                <w:sz w:val="10"/>
                <w:szCs w:val="10"/>
                <w:color w:val="auto"/>
              </w:rPr>
              <w:t>—</w:t>
            </w:r>
          </w:p>
        </w:tc>
        <w:tc>
          <w:tcPr>
            <w:tcW w:w="48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240"/>
              <w:spacing w:after="0"/>
              <w:rPr>
                <w:sz w:val="20"/>
                <w:szCs w:val="20"/>
                <w:color w:val="auto"/>
              </w:rPr>
            </w:pPr>
            <w:r>
              <w:rPr>
                <w:rFonts w:ascii="Calibri" w:cs="Calibri" w:eastAsia="Calibri" w:hAnsi="Calibri"/>
                <w:sz w:val="10"/>
                <w:szCs w:val="10"/>
                <w:color w:val="auto"/>
              </w:rPr>
              <w:t>—</w:t>
            </w:r>
          </w:p>
        </w:tc>
        <w:tc>
          <w:tcPr>
            <w:tcW w:w="8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40"/>
              <w:spacing w:after="0"/>
              <w:rPr>
                <w:sz w:val="20"/>
                <w:szCs w:val="20"/>
                <w:color w:val="auto"/>
              </w:rPr>
            </w:pPr>
            <w:r>
              <w:rPr>
                <w:rFonts w:ascii="Calibri" w:cs="Calibri" w:eastAsia="Calibri" w:hAnsi="Calibri"/>
                <w:sz w:val="10"/>
                <w:szCs w:val="10"/>
                <w:color w:val="auto"/>
              </w:rPr>
              <w:t>—</w:t>
            </w:r>
          </w:p>
        </w:tc>
        <w:tc>
          <w:tcPr>
            <w:tcW w:w="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220"/>
              <w:spacing w:after="0"/>
              <w:rPr>
                <w:sz w:val="20"/>
                <w:szCs w:val="20"/>
                <w:color w:val="auto"/>
              </w:rPr>
            </w:pPr>
            <w:r>
              <w:rPr>
                <w:rFonts w:ascii="Calibri" w:cs="Calibri" w:eastAsia="Calibri" w:hAnsi="Calibri"/>
                <w:sz w:val="10"/>
                <w:szCs w:val="10"/>
                <w:color w:val="auto"/>
              </w:rPr>
              <w:t>—</w:t>
            </w:r>
          </w:p>
        </w:tc>
        <w:tc>
          <w:tcPr>
            <w:tcW w:w="6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20"/>
              <w:spacing w:after="0"/>
              <w:rPr>
                <w:sz w:val="20"/>
                <w:szCs w:val="20"/>
                <w:color w:val="auto"/>
              </w:rPr>
            </w:pPr>
            <w:r>
              <w:rPr>
                <w:rFonts w:ascii="Calibri" w:cs="Calibri" w:eastAsia="Calibri" w:hAnsi="Calibri"/>
                <w:sz w:val="10"/>
                <w:szCs w:val="10"/>
                <w:color w:val="auto"/>
              </w:rPr>
              <w:t>—</w:t>
            </w:r>
          </w:p>
        </w:tc>
        <w:tc>
          <w:tcPr>
            <w:tcW w:w="6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20"/>
              <w:spacing w:after="0"/>
              <w:rPr>
                <w:sz w:val="20"/>
                <w:szCs w:val="20"/>
                <w:color w:val="auto"/>
              </w:rPr>
            </w:pPr>
            <w:r>
              <w:rPr>
                <w:rFonts w:ascii="Calibri" w:cs="Calibri" w:eastAsia="Calibri" w:hAnsi="Calibri"/>
                <w:sz w:val="10"/>
                <w:szCs w:val="10"/>
                <w:color w:val="auto"/>
              </w:rPr>
              <w:t>—</w:t>
            </w:r>
          </w:p>
        </w:tc>
        <w:tc>
          <w:tcPr>
            <w:tcW w:w="0" w:type="dxa"/>
            <w:vAlign w:val="bottom"/>
          </w:tcPr>
          <w:p>
            <w:pPr>
              <w:spacing w:after="0"/>
              <w:rPr>
                <w:sz w:val="1"/>
                <w:szCs w:val="1"/>
                <w:color w:val="auto"/>
              </w:rPr>
            </w:pPr>
          </w:p>
        </w:tc>
      </w:tr>
      <w:tr>
        <w:trPr>
          <w:trHeight w:val="128"/>
        </w:trPr>
        <w:tc>
          <w:tcPr>
            <w:tcW w:w="3440" w:type="dxa"/>
            <w:vAlign w:val="bottom"/>
          </w:tcPr>
          <w:p>
            <w:pPr>
              <w:ind w:left="220"/>
              <w:spacing w:after="0" w:line="119" w:lineRule="exact"/>
              <w:rPr>
                <w:sz w:val="20"/>
                <w:szCs w:val="20"/>
                <w:color w:val="auto"/>
              </w:rPr>
            </w:pPr>
            <w:r>
              <w:rPr>
                <w:rFonts w:ascii="Calibri" w:cs="Calibri" w:eastAsia="Calibri" w:hAnsi="Calibri"/>
                <w:sz w:val="10"/>
                <w:szCs w:val="10"/>
                <w:color w:val="auto"/>
              </w:rPr>
              <w:t>Accreton of redeemable noncontrolling interest to redempton value</w:t>
            </w:r>
          </w:p>
        </w:tc>
        <w:tc>
          <w:tcPr>
            <w:tcW w:w="60" w:type="dxa"/>
            <w:vAlign w:val="bottom"/>
          </w:tcPr>
          <w:p>
            <w:pPr>
              <w:spacing w:after="0"/>
              <w:rPr>
                <w:sz w:val="11"/>
                <w:szCs w:val="11"/>
                <w:color w:val="auto"/>
              </w:rPr>
            </w:pPr>
          </w:p>
        </w:tc>
        <w:tc>
          <w:tcPr>
            <w:tcW w:w="680" w:type="dxa"/>
            <w:vAlign w:val="bottom"/>
          </w:tcPr>
          <w:p>
            <w:pPr>
              <w:jc w:val="right"/>
              <w:spacing w:after="0" w:line="119" w:lineRule="exact"/>
              <w:rPr>
                <w:sz w:val="20"/>
                <w:szCs w:val="20"/>
                <w:color w:val="auto"/>
              </w:rPr>
            </w:pPr>
            <w:r>
              <w:rPr>
                <w:rFonts w:ascii="Calibri" w:cs="Calibri" w:eastAsia="Calibri" w:hAnsi="Calibri"/>
                <w:sz w:val="10"/>
                <w:szCs w:val="10"/>
                <w:color w:val="auto"/>
              </w:rPr>
              <w:t>109,398</w:t>
            </w:r>
          </w:p>
        </w:tc>
        <w:tc>
          <w:tcPr>
            <w:tcW w:w="1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240"/>
              <w:spacing w:after="0" w:line="119" w:lineRule="exact"/>
              <w:rPr>
                <w:sz w:val="20"/>
                <w:szCs w:val="20"/>
                <w:color w:val="auto"/>
              </w:rPr>
            </w:pPr>
            <w:r>
              <w:rPr>
                <w:rFonts w:ascii="Calibri" w:cs="Calibri" w:eastAsia="Calibri" w:hAnsi="Calibri"/>
                <w:sz w:val="10"/>
                <w:szCs w:val="10"/>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240"/>
              <w:spacing w:after="0" w:line="119" w:lineRule="exact"/>
              <w:rPr>
                <w:sz w:val="20"/>
                <w:szCs w:val="20"/>
                <w:color w:val="auto"/>
              </w:rPr>
            </w:pPr>
            <w:r>
              <w:rPr>
                <w:rFonts w:ascii="Calibri" w:cs="Calibri" w:eastAsia="Calibri" w:hAnsi="Calibri"/>
                <w:sz w:val="10"/>
                <w:szCs w:val="10"/>
                <w:color w:val="auto"/>
              </w:rPr>
              <w:t>—</w:t>
            </w:r>
          </w:p>
        </w:tc>
        <w:tc>
          <w:tcPr>
            <w:tcW w:w="900" w:type="dxa"/>
            <w:vAlign w:val="bottom"/>
            <w:gridSpan w:val="2"/>
          </w:tcPr>
          <w:p>
            <w:pPr>
              <w:jc w:val="right"/>
              <w:ind w:right="260"/>
              <w:spacing w:after="0" w:line="119" w:lineRule="exact"/>
              <w:rPr>
                <w:sz w:val="20"/>
                <w:szCs w:val="20"/>
                <w:color w:val="auto"/>
              </w:rPr>
            </w:pPr>
            <w:r>
              <w:rPr>
                <w:rFonts w:ascii="Calibri" w:cs="Calibri" w:eastAsia="Calibri" w:hAnsi="Calibri"/>
                <w:sz w:val="10"/>
                <w:szCs w:val="10"/>
                <w:color w:val="auto"/>
              </w:rPr>
              <w:t>—</w:t>
            </w:r>
          </w:p>
        </w:tc>
        <w:tc>
          <w:tcPr>
            <w:tcW w:w="480" w:type="dxa"/>
            <w:vAlign w:val="bottom"/>
          </w:tcPr>
          <w:p>
            <w:pPr>
              <w:spacing w:after="0"/>
              <w:rPr>
                <w:sz w:val="11"/>
                <w:szCs w:val="11"/>
                <w:color w:val="auto"/>
              </w:rPr>
            </w:pPr>
          </w:p>
        </w:tc>
        <w:tc>
          <w:tcPr>
            <w:tcW w:w="360" w:type="dxa"/>
            <w:vAlign w:val="bottom"/>
            <w:gridSpan w:val="2"/>
          </w:tcPr>
          <w:p>
            <w:pPr>
              <w:jc w:val="right"/>
              <w:ind w:right="240"/>
              <w:spacing w:after="0" w:line="119" w:lineRule="exact"/>
              <w:rPr>
                <w:sz w:val="20"/>
                <w:szCs w:val="20"/>
                <w:color w:val="auto"/>
              </w:rPr>
            </w:pPr>
            <w:r>
              <w:rPr>
                <w:rFonts w:ascii="Calibri" w:cs="Calibri" w:eastAsia="Calibri" w:hAnsi="Calibri"/>
                <w:sz w:val="10"/>
                <w:szCs w:val="10"/>
                <w:color w:val="auto"/>
              </w:rPr>
              <w:t>—</w:t>
            </w:r>
          </w:p>
        </w:tc>
        <w:tc>
          <w:tcPr>
            <w:tcW w:w="80" w:type="dxa"/>
            <w:vAlign w:val="bottom"/>
          </w:tcPr>
          <w:p>
            <w:pPr>
              <w:spacing w:after="0"/>
              <w:rPr>
                <w:sz w:val="11"/>
                <w:szCs w:val="11"/>
                <w:color w:val="auto"/>
              </w:rPr>
            </w:pPr>
          </w:p>
        </w:tc>
        <w:tc>
          <w:tcPr>
            <w:tcW w:w="780" w:type="dxa"/>
            <w:vAlign w:val="bottom"/>
            <w:gridSpan w:val="2"/>
          </w:tcPr>
          <w:p>
            <w:pPr>
              <w:jc w:val="right"/>
              <w:ind w:right="240"/>
              <w:spacing w:after="0" w:line="119" w:lineRule="exact"/>
              <w:rPr>
                <w:sz w:val="20"/>
                <w:szCs w:val="20"/>
                <w:color w:val="auto"/>
              </w:rPr>
            </w:pPr>
            <w:r>
              <w:rPr>
                <w:rFonts w:ascii="Calibri" w:cs="Calibri" w:eastAsia="Calibri" w:hAnsi="Calibri"/>
                <w:sz w:val="10"/>
                <w:szCs w:val="10"/>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160"/>
              <w:spacing w:after="0" w:line="119" w:lineRule="exact"/>
              <w:rPr>
                <w:sz w:val="20"/>
                <w:szCs w:val="20"/>
                <w:color w:val="auto"/>
              </w:rPr>
            </w:pPr>
            <w:r>
              <w:rPr>
                <w:rFonts w:ascii="Calibri" w:cs="Calibri" w:eastAsia="Calibri" w:hAnsi="Calibri"/>
                <w:sz w:val="10"/>
                <w:szCs w:val="10"/>
                <w:color w:val="auto"/>
              </w:rPr>
              <w:t>(109,398 )</w:t>
            </w:r>
          </w:p>
        </w:tc>
        <w:tc>
          <w:tcPr>
            <w:tcW w:w="60" w:type="dxa"/>
            <w:vAlign w:val="bottom"/>
          </w:tcPr>
          <w:p>
            <w:pPr>
              <w:spacing w:after="0"/>
              <w:rPr>
                <w:sz w:val="11"/>
                <w:szCs w:val="11"/>
                <w:color w:val="auto"/>
              </w:rPr>
            </w:pPr>
          </w:p>
        </w:tc>
        <w:tc>
          <w:tcPr>
            <w:tcW w:w="860" w:type="dxa"/>
            <w:vAlign w:val="bottom"/>
            <w:gridSpan w:val="2"/>
          </w:tcPr>
          <w:p>
            <w:pPr>
              <w:jc w:val="right"/>
              <w:ind w:right="220"/>
              <w:spacing w:after="0" w:line="119" w:lineRule="exact"/>
              <w:rPr>
                <w:sz w:val="20"/>
                <w:szCs w:val="20"/>
                <w:color w:val="auto"/>
              </w:rPr>
            </w:pPr>
            <w:r>
              <w:rPr>
                <w:rFonts w:ascii="Calibri" w:cs="Calibri" w:eastAsia="Calibri" w:hAnsi="Calibri"/>
                <w:sz w:val="10"/>
                <w:szCs w:val="10"/>
                <w:color w:val="auto"/>
              </w:rPr>
              <w:t>—</w:t>
            </w:r>
          </w:p>
        </w:tc>
        <w:tc>
          <w:tcPr>
            <w:tcW w:w="60" w:type="dxa"/>
            <w:vAlign w:val="bottom"/>
          </w:tcPr>
          <w:p>
            <w:pPr>
              <w:spacing w:after="0"/>
              <w:rPr>
                <w:sz w:val="11"/>
                <w:szCs w:val="11"/>
                <w:color w:val="auto"/>
              </w:rPr>
            </w:pPr>
          </w:p>
        </w:tc>
        <w:tc>
          <w:tcPr>
            <w:tcW w:w="740" w:type="dxa"/>
            <w:vAlign w:val="bottom"/>
            <w:gridSpan w:val="2"/>
          </w:tcPr>
          <w:p>
            <w:pPr>
              <w:jc w:val="right"/>
              <w:ind w:right="60"/>
              <w:spacing w:after="0" w:line="119" w:lineRule="exact"/>
              <w:rPr>
                <w:sz w:val="20"/>
                <w:szCs w:val="20"/>
                <w:color w:val="auto"/>
              </w:rPr>
            </w:pPr>
            <w:r>
              <w:rPr>
                <w:rFonts w:ascii="Calibri" w:cs="Calibri" w:eastAsia="Calibri" w:hAnsi="Calibri"/>
                <w:sz w:val="10"/>
                <w:szCs w:val="10"/>
                <w:color w:val="auto"/>
              </w:rPr>
              <w:t>(109,398 )</w:t>
            </w:r>
          </w:p>
        </w:tc>
        <w:tc>
          <w:tcPr>
            <w:tcW w:w="0" w:type="dxa"/>
            <w:vAlign w:val="bottom"/>
          </w:tcPr>
          <w:p>
            <w:pPr>
              <w:spacing w:after="0"/>
              <w:rPr>
                <w:sz w:val="1"/>
                <w:szCs w:val="1"/>
                <w:color w:val="auto"/>
              </w:rPr>
            </w:pPr>
          </w:p>
        </w:tc>
      </w:tr>
      <w:tr>
        <w:trPr>
          <w:trHeight w:val="148"/>
        </w:trPr>
        <w:tc>
          <w:tcPr>
            <w:tcW w:w="3440" w:type="dxa"/>
            <w:vAlign w:val="bottom"/>
            <w:shd w:val="clear" w:color="auto" w:fill="CFF0FC"/>
          </w:tcPr>
          <w:p>
            <w:pPr>
              <w:ind w:left="220"/>
              <w:spacing w:after="0"/>
              <w:rPr>
                <w:sz w:val="20"/>
                <w:szCs w:val="20"/>
                <w:color w:val="auto"/>
              </w:rPr>
            </w:pPr>
            <w:r>
              <w:rPr>
                <w:rFonts w:ascii="Calibri" w:cs="Calibri" w:eastAsia="Calibri" w:hAnsi="Calibri"/>
                <w:sz w:val="10"/>
                <w:szCs w:val="10"/>
                <w:color w:val="auto"/>
              </w:rPr>
              <w:t>Tax distributons to redeemable noncontrolling interest holders</w:t>
            </w:r>
          </w:p>
        </w:tc>
        <w:tc>
          <w:tcPr>
            <w:tcW w:w="60" w:type="dxa"/>
            <w:vAlign w:val="bottom"/>
            <w:shd w:val="clear" w:color="auto" w:fill="CFF0FC"/>
          </w:tcPr>
          <w:p>
            <w:pPr>
              <w:spacing w:after="0"/>
              <w:rPr>
                <w:sz w:val="12"/>
                <w:szCs w:val="12"/>
                <w:color w:val="auto"/>
              </w:rPr>
            </w:pPr>
          </w:p>
        </w:tc>
        <w:tc>
          <w:tcPr>
            <w:tcW w:w="820" w:type="dxa"/>
            <w:vAlign w:val="bottom"/>
            <w:tcBorders>
              <w:right w:val="single" w:sz="8" w:color="auto"/>
            </w:tcBorders>
            <w:gridSpan w:val="2"/>
            <w:shd w:val="clear" w:color="auto" w:fill="CFF0FC"/>
          </w:tcPr>
          <w:p>
            <w:pPr>
              <w:jc w:val="right"/>
              <w:ind w:right="100"/>
              <w:spacing w:after="0"/>
              <w:rPr>
                <w:sz w:val="20"/>
                <w:szCs w:val="20"/>
                <w:color w:val="auto"/>
              </w:rPr>
            </w:pPr>
            <w:r>
              <w:rPr>
                <w:rFonts w:ascii="Calibri" w:cs="Calibri" w:eastAsia="Calibri" w:hAnsi="Calibri"/>
                <w:sz w:val="10"/>
                <w:szCs w:val="10"/>
                <w:color w:val="auto"/>
              </w:rPr>
              <w:t>(8,701 )</w:t>
            </w: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40"/>
              <w:spacing w:after="0"/>
              <w:rPr>
                <w:sz w:val="20"/>
                <w:szCs w:val="20"/>
                <w:color w:val="auto"/>
              </w:rPr>
            </w:pPr>
            <w:r>
              <w:rPr>
                <w:rFonts w:ascii="Calibri" w:cs="Calibri" w:eastAsia="Calibri" w:hAnsi="Calibri"/>
                <w:sz w:val="10"/>
                <w:szCs w:val="10"/>
                <w:color w:val="auto"/>
              </w:rPr>
              <w:t>—</w:t>
            </w:r>
          </w:p>
        </w:tc>
        <w:tc>
          <w:tcPr>
            <w:tcW w:w="10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240"/>
              <w:spacing w:after="0"/>
              <w:rPr>
                <w:sz w:val="20"/>
                <w:szCs w:val="20"/>
                <w:color w:val="auto"/>
              </w:rPr>
            </w:pPr>
            <w:r>
              <w:rPr>
                <w:rFonts w:ascii="Calibri" w:cs="Calibri" w:eastAsia="Calibri" w:hAnsi="Calibri"/>
                <w:sz w:val="10"/>
                <w:szCs w:val="10"/>
                <w:color w:val="auto"/>
              </w:rPr>
              <w:t>—</w:t>
            </w:r>
          </w:p>
        </w:tc>
        <w:tc>
          <w:tcPr>
            <w:tcW w:w="900" w:type="dxa"/>
            <w:vAlign w:val="bottom"/>
            <w:gridSpan w:val="2"/>
            <w:shd w:val="clear" w:color="auto" w:fill="CFF0FC"/>
          </w:tcPr>
          <w:p>
            <w:pPr>
              <w:jc w:val="right"/>
              <w:ind w:right="260"/>
              <w:spacing w:after="0"/>
              <w:rPr>
                <w:sz w:val="20"/>
                <w:szCs w:val="20"/>
                <w:color w:val="auto"/>
              </w:rPr>
            </w:pPr>
            <w:r>
              <w:rPr>
                <w:rFonts w:ascii="Calibri" w:cs="Calibri" w:eastAsia="Calibri" w:hAnsi="Calibri"/>
                <w:sz w:val="10"/>
                <w:szCs w:val="10"/>
                <w:color w:val="auto"/>
              </w:rPr>
              <w:t>—</w:t>
            </w:r>
          </w:p>
        </w:tc>
        <w:tc>
          <w:tcPr>
            <w:tcW w:w="48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240"/>
              <w:spacing w:after="0"/>
              <w:rPr>
                <w:sz w:val="20"/>
                <w:szCs w:val="20"/>
                <w:color w:val="auto"/>
              </w:rPr>
            </w:pPr>
            <w:r>
              <w:rPr>
                <w:rFonts w:ascii="Calibri" w:cs="Calibri" w:eastAsia="Calibri" w:hAnsi="Calibri"/>
                <w:sz w:val="10"/>
                <w:szCs w:val="10"/>
                <w:color w:val="auto"/>
              </w:rPr>
              <w:t>—</w:t>
            </w:r>
          </w:p>
        </w:tc>
        <w:tc>
          <w:tcPr>
            <w:tcW w:w="8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40"/>
              <w:spacing w:after="0"/>
              <w:rPr>
                <w:sz w:val="20"/>
                <w:szCs w:val="20"/>
                <w:color w:val="auto"/>
              </w:rPr>
            </w:pPr>
            <w:r>
              <w:rPr>
                <w:rFonts w:ascii="Calibri" w:cs="Calibri" w:eastAsia="Calibri" w:hAnsi="Calibri"/>
                <w:sz w:val="10"/>
                <w:szCs w:val="10"/>
                <w:color w:val="auto"/>
              </w:rPr>
              <w:t>—</w:t>
            </w:r>
          </w:p>
        </w:tc>
        <w:tc>
          <w:tcPr>
            <w:tcW w:w="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220"/>
              <w:spacing w:after="0"/>
              <w:rPr>
                <w:sz w:val="20"/>
                <w:szCs w:val="20"/>
                <w:color w:val="auto"/>
              </w:rPr>
            </w:pPr>
            <w:r>
              <w:rPr>
                <w:rFonts w:ascii="Calibri" w:cs="Calibri" w:eastAsia="Calibri" w:hAnsi="Calibri"/>
                <w:sz w:val="10"/>
                <w:szCs w:val="10"/>
                <w:color w:val="auto"/>
              </w:rPr>
              <w:t>—</w:t>
            </w:r>
          </w:p>
        </w:tc>
        <w:tc>
          <w:tcPr>
            <w:tcW w:w="6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20"/>
              <w:spacing w:after="0"/>
              <w:rPr>
                <w:sz w:val="20"/>
                <w:szCs w:val="20"/>
                <w:color w:val="auto"/>
              </w:rPr>
            </w:pPr>
            <w:r>
              <w:rPr>
                <w:rFonts w:ascii="Calibri" w:cs="Calibri" w:eastAsia="Calibri" w:hAnsi="Calibri"/>
                <w:sz w:val="10"/>
                <w:szCs w:val="10"/>
                <w:color w:val="auto"/>
              </w:rPr>
              <w:t>—</w:t>
            </w:r>
          </w:p>
        </w:tc>
        <w:tc>
          <w:tcPr>
            <w:tcW w:w="6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20"/>
              <w:spacing w:after="0"/>
              <w:rPr>
                <w:sz w:val="20"/>
                <w:szCs w:val="20"/>
                <w:color w:val="auto"/>
              </w:rPr>
            </w:pPr>
            <w:r>
              <w:rPr>
                <w:rFonts w:ascii="Calibri" w:cs="Calibri" w:eastAsia="Calibri" w:hAnsi="Calibri"/>
                <w:sz w:val="10"/>
                <w:szCs w:val="10"/>
                <w:color w:val="auto"/>
              </w:rPr>
              <w:t>—</w:t>
            </w:r>
          </w:p>
        </w:tc>
        <w:tc>
          <w:tcPr>
            <w:tcW w:w="0" w:type="dxa"/>
            <w:vAlign w:val="bottom"/>
          </w:tcPr>
          <w:p>
            <w:pPr>
              <w:spacing w:after="0"/>
              <w:rPr>
                <w:sz w:val="1"/>
                <w:szCs w:val="1"/>
                <w:color w:val="auto"/>
              </w:rPr>
            </w:pPr>
          </w:p>
        </w:tc>
      </w:tr>
      <w:tr>
        <w:trPr>
          <w:trHeight w:val="128"/>
        </w:trPr>
        <w:tc>
          <w:tcPr>
            <w:tcW w:w="3440" w:type="dxa"/>
            <w:vAlign w:val="bottom"/>
          </w:tcPr>
          <w:p>
            <w:pPr>
              <w:ind w:left="220"/>
              <w:spacing w:after="0" w:line="119" w:lineRule="exact"/>
              <w:rPr>
                <w:sz w:val="20"/>
                <w:szCs w:val="20"/>
                <w:color w:val="auto"/>
              </w:rPr>
            </w:pPr>
            <w:r>
              <w:rPr>
                <w:rFonts w:ascii="Calibri" w:cs="Calibri" w:eastAsia="Calibri" w:hAnsi="Calibri"/>
                <w:sz w:val="10"/>
                <w:szCs w:val="10"/>
                <w:color w:val="auto"/>
              </w:rPr>
              <w:t>Foreign currency translaton adjustment</w:t>
            </w:r>
          </w:p>
        </w:tc>
        <w:tc>
          <w:tcPr>
            <w:tcW w:w="60" w:type="dxa"/>
            <w:vAlign w:val="bottom"/>
          </w:tcPr>
          <w:p>
            <w:pPr>
              <w:spacing w:after="0"/>
              <w:rPr>
                <w:sz w:val="11"/>
                <w:szCs w:val="11"/>
                <w:color w:val="auto"/>
              </w:rPr>
            </w:pPr>
          </w:p>
        </w:tc>
        <w:tc>
          <w:tcPr>
            <w:tcW w:w="680" w:type="dxa"/>
            <w:vAlign w:val="bottom"/>
          </w:tcPr>
          <w:p>
            <w:pPr>
              <w:jc w:val="right"/>
              <w:spacing w:after="0" w:line="119" w:lineRule="exact"/>
              <w:rPr>
                <w:sz w:val="20"/>
                <w:szCs w:val="20"/>
                <w:color w:val="auto"/>
              </w:rPr>
            </w:pPr>
            <w:r>
              <w:rPr>
                <w:rFonts w:ascii="Calibri" w:cs="Calibri" w:eastAsia="Calibri" w:hAnsi="Calibri"/>
                <w:sz w:val="10"/>
                <w:szCs w:val="10"/>
                <w:color w:val="auto"/>
              </w:rPr>
              <w:t>—</w:t>
            </w:r>
          </w:p>
        </w:tc>
        <w:tc>
          <w:tcPr>
            <w:tcW w:w="1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19" w:lineRule="exact"/>
              <w:rPr>
                <w:sz w:val="20"/>
                <w:szCs w:val="20"/>
                <w:color w:val="auto"/>
              </w:rPr>
            </w:pPr>
            <w:r>
              <w:rPr>
                <w:rFonts w:ascii="Calibri" w:cs="Calibri" w:eastAsia="Calibri" w:hAnsi="Calibri"/>
                <w:sz w:val="10"/>
                <w:szCs w:val="10"/>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19" w:lineRule="exact"/>
              <w:rPr>
                <w:sz w:val="20"/>
                <w:szCs w:val="20"/>
                <w:color w:val="auto"/>
              </w:rPr>
            </w:pPr>
            <w:r>
              <w:rPr>
                <w:rFonts w:ascii="Calibri" w:cs="Calibri" w:eastAsia="Calibri" w:hAnsi="Calibri"/>
                <w:sz w:val="10"/>
                <w:szCs w:val="10"/>
                <w:color w:val="auto"/>
              </w:rPr>
              <w:t>—</w:t>
            </w:r>
          </w:p>
        </w:tc>
        <w:tc>
          <w:tcPr>
            <w:tcW w:w="240" w:type="dxa"/>
            <w:vAlign w:val="bottom"/>
          </w:tcPr>
          <w:p>
            <w:pPr>
              <w:spacing w:after="0"/>
              <w:rPr>
                <w:sz w:val="11"/>
                <w:szCs w:val="11"/>
                <w:color w:val="auto"/>
              </w:rPr>
            </w:pPr>
          </w:p>
        </w:tc>
        <w:tc>
          <w:tcPr>
            <w:tcW w:w="660" w:type="dxa"/>
            <w:vAlign w:val="bottom"/>
          </w:tcPr>
          <w:p>
            <w:pPr>
              <w:jc w:val="right"/>
              <w:spacing w:after="0" w:line="119" w:lineRule="exact"/>
              <w:rPr>
                <w:sz w:val="20"/>
                <w:szCs w:val="20"/>
                <w:color w:val="auto"/>
              </w:rPr>
            </w:pPr>
            <w:r>
              <w:rPr>
                <w:rFonts w:ascii="Calibri" w:cs="Calibri" w:eastAsia="Calibri" w:hAnsi="Calibri"/>
                <w:sz w:val="10"/>
                <w:szCs w:val="10"/>
                <w:color w:val="auto"/>
              </w:rPr>
              <w:t>—</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jc w:val="right"/>
              <w:spacing w:after="0" w:line="119" w:lineRule="exact"/>
              <w:rPr>
                <w:sz w:val="20"/>
                <w:szCs w:val="20"/>
                <w:color w:val="auto"/>
              </w:rPr>
            </w:pPr>
            <w:r>
              <w:rPr>
                <w:rFonts w:ascii="Calibri" w:cs="Calibri" w:eastAsia="Calibri" w:hAnsi="Calibri"/>
                <w:sz w:val="10"/>
                <w:szCs w:val="10"/>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line="119" w:lineRule="exact"/>
              <w:rPr>
                <w:sz w:val="20"/>
                <w:szCs w:val="20"/>
                <w:color w:val="auto"/>
              </w:rPr>
            </w:pPr>
            <w:r>
              <w:rPr>
                <w:rFonts w:ascii="Calibri" w:cs="Calibri" w:eastAsia="Calibri" w:hAnsi="Calibri"/>
                <w:sz w:val="10"/>
                <w:szCs w:val="10"/>
                <w:color w:val="auto"/>
              </w:rPr>
              <w:t>—</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line="119" w:lineRule="exact"/>
              <w:rPr>
                <w:sz w:val="20"/>
                <w:szCs w:val="20"/>
                <w:color w:val="auto"/>
              </w:rPr>
            </w:pPr>
            <w:r>
              <w:rPr>
                <w:rFonts w:ascii="Calibri" w:cs="Calibri" w:eastAsia="Calibri" w:hAnsi="Calibri"/>
                <w:sz w:val="10"/>
                <w:szCs w:val="10"/>
                <w:color w:val="auto"/>
              </w:rPr>
              <w:t>—</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160"/>
              <w:spacing w:after="0" w:line="119" w:lineRule="exact"/>
              <w:rPr>
                <w:sz w:val="20"/>
                <w:szCs w:val="20"/>
                <w:color w:val="auto"/>
              </w:rPr>
            </w:pPr>
            <w:r>
              <w:rPr>
                <w:rFonts w:ascii="Calibri" w:cs="Calibri" w:eastAsia="Calibri" w:hAnsi="Calibri"/>
                <w:sz w:val="10"/>
                <w:szCs w:val="10"/>
                <w:color w:val="auto"/>
              </w:rPr>
              <w:t>(2,283 )</w:t>
            </w:r>
          </w:p>
        </w:tc>
        <w:tc>
          <w:tcPr>
            <w:tcW w:w="60" w:type="dxa"/>
            <w:vAlign w:val="bottom"/>
          </w:tcPr>
          <w:p>
            <w:pPr>
              <w:spacing w:after="0"/>
              <w:rPr>
                <w:sz w:val="11"/>
                <w:szCs w:val="11"/>
                <w:color w:val="auto"/>
              </w:rPr>
            </w:pPr>
          </w:p>
        </w:tc>
        <w:tc>
          <w:tcPr>
            <w:tcW w:w="740" w:type="dxa"/>
            <w:vAlign w:val="bottom"/>
            <w:gridSpan w:val="2"/>
          </w:tcPr>
          <w:p>
            <w:pPr>
              <w:jc w:val="right"/>
              <w:ind w:right="60"/>
              <w:spacing w:after="0" w:line="119" w:lineRule="exact"/>
              <w:rPr>
                <w:sz w:val="20"/>
                <w:szCs w:val="20"/>
                <w:color w:val="auto"/>
              </w:rPr>
            </w:pPr>
            <w:r>
              <w:rPr>
                <w:rFonts w:ascii="Calibri" w:cs="Calibri" w:eastAsia="Calibri" w:hAnsi="Calibri"/>
                <w:sz w:val="10"/>
                <w:szCs w:val="10"/>
                <w:color w:val="auto"/>
              </w:rPr>
              <w:t>(2,283 )</w:t>
            </w:r>
          </w:p>
        </w:tc>
        <w:tc>
          <w:tcPr>
            <w:tcW w:w="0" w:type="dxa"/>
            <w:vAlign w:val="bottom"/>
          </w:tcPr>
          <w:p>
            <w:pPr>
              <w:spacing w:after="0"/>
              <w:rPr>
                <w:sz w:val="1"/>
                <w:szCs w:val="1"/>
                <w:color w:val="auto"/>
              </w:rPr>
            </w:pPr>
          </w:p>
        </w:tc>
      </w:tr>
      <w:tr>
        <w:trPr>
          <w:trHeight w:val="21"/>
        </w:trPr>
        <w:tc>
          <w:tcPr>
            <w:tcW w:w="34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3440" w:type="dxa"/>
            <w:vAlign w:val="bottom"/>
            <w:shd w:val="clear" w:color="auto" w:fill="CFF0FC"/>
          </w:tcPr>
          <w:p>
            <w:pPr>
              <w:spacing w:after="0" w:line="119" w:lineRule="exact"/>
              <w:rPr>
                <w:sz w:val="20"/>
                <w:szCs w:val="20"/>
                <w:color w:val="auto"/>
              </w:rPr>
            </w:pPr>
            <w:r>
              <w:rPr>
                <w:rFonts w:ascii="Calibri" w:cs="Calibri" w:eastAsia="Calibri" w:hAnsi="Calibri"/>
                <w:sz w:val="10"/>
                <w:szCs w:val="10"/>
                <w:color w:val="auto"/>
              </w:rPr>
              <w:t>Balance as of December 31, 2021</w:t>
            </w:r>
          </w:p>
        </w:tc>
        <w:tc>
          <w:tcPr>
            <w:tcW w:w="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19" w:lineRule="exact"/>
              <w:rPr>
                <w:sz w:val="20"/>
                <w:szCs w:val="20"/>
                <w:color w:val="auto"/>
              </w:rPr>
            </w:pPr>
            <w:r>
              <w:rPr>
                <w:rFonts w:ascii="Calibri" w:cs="Calibri" w:eastAsia="Calibri" w:hAnsi="Calibri"/>
                <w:sz w:val="10"/>
                <w:szCs w:val="10"/>
                <w:color w:val="auto"/>
              </w:rPr>
              <w:t>162,808</w:t>
            </w:r>
          </w:p>
        </w:tc>
        <w:tc>
          <w:tcPr>
            <w:tcW w:w="14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19" w:lineRule="exact"/>
              <w:rPr>
                <w:sz w:val="20"/>
                <w:szCs w:val="20"/>
                <w:color w:val="auto"/>
              </w:rPr>
            </w:pPr>
            <w:r>
              <w:rPr>
                <w:rFonts w:ascii="Calibri" w:cs="Calibri" w:eastAsia="Calibri" w:hAnsi="Calibri"/>
                <w:sz w:val="10"/>
                <w:szCs w:val="10"/>
                <w:color w:val="auto"/>
              </w:rPr>
              <w:t>101,773,034</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line="119" w:lineRule="exact"/>
              <w:rPr>
                <w:sz w:val="20"/>
                <w:szCs w:val="20"/>
                <w:color w:val="auto"/>
              </w:rPr>
            </w:pPr>
            <w:r>
              <w:rPr>
                <w:rFonts w:ascii="Calibri" w:cs="Calibri" w:eastAsia="Calibri" w:hAnsi="Calibri"/>
                <w:sz w:val="10"/>
                <w:szCs w:val="10"/>
                <w:color w:val="auto"/>
              </w:rPr>
              <w:t>102</w:t>
            </w: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19" w:lineRule="exact"/>
              <w:rPr>
                <w:sz w:val="20"/>
                <w:szCs w:val="20"/>
                <w:color w:val="auto"/>
              </w:rPr>
            </w:pPr>
            <w:r>
              <w:rPr>
                <w:rFonts w:ascii="Calibri" w:cs="Calibri" w:eastAsia="Calibri" w:hAnsi="Calibri"/>
                <w:sz w:val="10"/>
                <w:szCs w:val="10"/>
                <w:color w:val="auto"/>
              </w:rPr>
              <w:t>15,999,173</w:t>
            </w:r>
          </w:p>
        </w:tc>
        <w:tc>
          <w:tcPr>
            <w:tcW w:w="24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line="119" w:lineRule="exact"/>
              <w:rPr>
                <w:sz w:val="20"/>
                <w:szCs w:val="20"/>
                <w:color w:val="auto"/>
              </w:rPr>
            </w:pPr>
            <w:r>
              <w:rPr>
                <w:rFonts w:ascii="Calibri" w:cs="Calibri" w:eastAsia="Calibri" w:hAnsi="Calibri"/>
                <w:sz w:val="10"/>
                <w:szCs w:val="10"/>
                <w:color w:val="auto"/>
                <w:w w:val="98"/>
              </w:rPr>
              <w:t>16</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19" w:lineRule="exact"/>
              <w:rPr>
                <w:sz w:val="20"/>
                <w:szCs w:val="20"/>
                <w:color w:val="auto"/>
              </w:rPr>
            </w:pPr>
            <w:r>
              <w:rPr>
                <w:rFonts w:ascii="Calibri" w:cs="Calibri" w:eastAsia="Calibri" w:hAnsi="Calibri"/>
                <w:sz w:val="10"/>
                <w:szCs w:val="10"/>
                <w:color w:val="auto"/>
              </w:rPr>
              <w:t>387,868</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19" w:lineRule="exact"/>
              <w:rPr>
                <w:sz w:val="20"/>
                <w:szCs w:val="20"/>
                <w:color w:val="auto"/>
              </w:rPr>
            </w:pPr>
            <w:r>
              <w:rPr>
                <w:rFonts w:ascii="Calibri" w:cs="Calibri" w:eastAsia="Calibri" w:hAnsi="Calibri"/>
                <w:sz w:val="10"/>
                <w:szCs w:val="10"/>
                <w:color w:val="auto"/>
              </w:rPr>
              <w:t>129,258</w:t>
            </w: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60"/>
              <w:spacing w:after="0" w:line="119" w:lineRule="exact"/>
              <w:rPr>
                <w:sz w:val="20"/>
                <w:szCs w:val="20"/>
                <w:color w:val="auto"/>
              </w:rPr>
            </w:pPr>
            <w:r>
              <w:rPr>
                <w:rFonts w:ascii="Calibri" w:cs="Calibri" w:eastAsia="Calibri" w:hAnsi="Calibri"/>
                <w:sz w:val="10"/>
                <w:szCs w:val="10"/>
                <w:color w:val="auto"/>
              </w:rPr>
              <w:t>(403 )</w:t>
            </w:r>
          </w:p>
        </w:tc>
        <w:tc>
          <w:tcPr>
            <w:tcW w:w="6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19" w:lineRule="exact"/>
              <w:rPr>
                <w:sz w:val="20"/>
                <w:szCs w:val="20"/>
                <w:color w:val="auto"/>
              </w:rPr>
            </w:pPr>
            <w:r>
              <w:rPr>
                <w:rFonts w:ascii="Calibri" w:cs="Calibri" w:eastAsia="Calibri" w:hAnsi="Calibri"/>
                <w:sz w:val="10"/>
                <w:szCs w:val="10"/>
                <w:color w:val="auto"/>
              </w:rPr>
              <w:t>516,841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440" w:type="dxa"/>
            <w:vAlign w:val="bottom"/>
          </w:tcPr>
          <w:p>
            <w:pPr>
              <w:ind w:left="220"/>
              <w:spacing w:after="0" w:line="119" w:lineRule="exact"/>
              <w:rPr>
                <w:sz w:val="20"/>
                <w:szCs w:val="20"/>
                <w:color w:val="auto"/>
              </w:rPr>
            </w:pPr>
            <w:r>
              <w:rPr>
                <w:rFonts w:ascii="Calibri" w:cs="Calibri" w:eastAsia="Calibri" w:hAnsi="Calibri"/>
                <w:sz w:val="10"/>
                <w:szCs w:val="10"/>
                <w:color w:val="auto"/>
              </w:rPr>
              <w:t>Net (loss) income</w:t>
            </w:r>
          </w:p>
        </w:tc>
        <w:tc>
          <w:tcPr>
            <w:tcW w:w="60" w:type="dxa"/>
            <w:vAlign w:val="bottom"/>
          </w:tcPr>
          <w:p>
            <w:pPr>
              <w:spacing w:after="0"/>
              <w:rPr>
                <w:sz w:val="11"/>
                <w:szCs w:val="11"/>
                <w:color w:val="auto"/>
              </w:rPr>
            </w:pPr>
          </w:p>
        </w:tc>
        <w:tc>
          <w:tcPr>
            <w:tcW w:w="820" w:type="dxa"/>
            <w:vAlign w:val="bottom"/>
            <w:tcBorders>
              <w:right w:val="single" w:sz="8" w:color="auto"/>
            </w:tcBorders>
            <w:gridSpan w:val="2"/>
          </w:tcPr>
          <w:p>
            <w:pPr>
              <w:jc w:val="right"/>
              <w:ind w:right="100"/>
              <w:spacing w:after="0" w:line="119" w:lineRule="exact"/>
              <w:rPr>
                <w:sz w:val="20"/>
                <w:szCs w:val="20"/>
                <w:color w:val="auto"/>
              </w:rPr>
            </w:pPr>
            <w:r>
              <w:rPr>
                <w:rFonts w:ascii="Calibri" w:cs="Calibri" w:eastAsia="Calibri" w:hAnsi="Calibri"/>
                <w:sz w:val="10"/>
                <w:szCs w:val="10"/>
                <w:color w:val="auto"/>
              </w:rPr>
              <w:t>(5,433 )</w:t>
            </w:r>
          </w:p>
        </w:tc>
        <w:tc>
          <w:tcPr>
            <w:tcW w:w="100" w:type="dxa"/>
            <w:vAlign w:val="bottom"/>
          </w:tcPr>
          <w:p>
            <w:pPr>
              <w:spacing w:after="0"/>
              <w:rPr>
                <w:sz w:val="11"/>
                <w:szCs w:val="11"/>
                <w:color w:val="auto"/>
              </w:rPr>
            </w:pPr>
          </w:p>
        </w:tc>
        <w:tc>
          <w:tcPr>
            <w:tcW w:w="880" w:type="dxa"/>
            <w:vAlign w:val="bottom"/>
            <w:gridSpan w:val="2"/>
          </w:tcPr>
          <w:p>
            <w:pPr>
              <w:jc w:val="right"/>
              <w:ind w:right="240"/>
              <w:spacing w:after="0" w:line="119" w:lineRule="exact"/>
              <w:rPr>
                <w:sz w:val="20"/>
                <w:szCs w:val="20"/>
                <w:color w:val="auto"/>
              </w:rPr>
            </w:pPr>
            <w:r>
              <w:rPr>
                <w:rFonts w:ascii="Calibri" w:cs="Calibri" w:eastAsia="Calibri" w:hAnsi="Calibri"/>
                <w:sz w:val="10"/>
                <w:szCs w:val="10"/>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240"/>
              <w:spacing w:after="0" w:line="119" w:lineRule="exact"/>
              <w:rPr>
                <w:sz w:val="20"/>
                <w:szCs w:val="20"/>
                <w:color w:val="auto"/>
              </w:rPr>
            </w:pPr>
            <w:r>
              <w:rPr>
                <w:rFonts w:ascii="Calibri" w:cs="Calibri" w:eastAsia="Calibri" w:hAnsi="Calibri"/>
                <w:sz w:val="10"/>
                <w:szCs w:val="10"/>
                <w:color w:val="auto"/>
              </w:rPr>
              <w:t>—</w:t>
            </w:r>
          </w:p>
        </w:tc>
        <w:tc>
          <w:tcPr>
            <w:tcW w:w="900" w:type="dxa"/>
            <w:vAlign w:val="bottom"/>
            <w:gridSpan w:val="2"/>
          </w:tcPr>
          <w:p>
            <w:pPr>
              <w:jc w:val="right"/>
              <w:ind w:right="260"/>
              <w:spacing w:after="0" w:line="119" w:lineRule="exact"/>
              <w:rPr>
                <w:sz w:val="20"/>
                <w:szCs w:val="20"/>
                <w:color w:val="auto"/>
              </w:rPr>
            </w:pPr>
            <w:r>
              <w:rPr>
                <w:rFonts w:ascii="Calibri" w:cs="Calibri" w:eastAsia="Calibri" w:hAnsi="Calibri"/>
                <w:sz w:val="10"/>
                <w:szCs w:val="10"/>
                <w:color w:val="auto"/>
              </w:rPr>
              <w:t>—</w:t>
            </w:r>
          </w:p>
        </w:tc>
        <w:tc>
          <w:tcPr>
            <w:tcW w:w="480" w:type="dxa"/>
            <w:vAlign w:val="bottom"/>
          </w:tcPr>
          <w:p>
            <w:pPr>
              <w:spacing w:after="0"/>
              <w:rPr>
                <w:sz w:val="11"/>
                <w:szCs w:val="11"/>
                <w:color w:val="auto"/>
              </w:rPr>
            </w:pPr>
          </w:p>
        </w:tc>
        <w:tc>
          <w:tcPr>
            <w:tcW w:w="360" w:type="dxa"/>
            <w:vAlign w:val="bottom"/>
            <w:gridSpan w:val="2"/>
          </w:tcPr>
          <w:p>
            <w:pPr>
              <w:jc w:val="right"/>
              <w:ind w:right="240"/>
              <w:spacing w:after="0" w:line="119" w:lineRule="exact"/>
              <w:rPr>
                <w:sz w:val="20"/>
                <w:szCs w:val="20"/>
                <w:color w:val="auto"/>
              </w:rPr>
            </w:pPr>
            <w:r>
              <w:rPr>
                <w:rFonts w:ascii="Calibri" w:cs="Calibri" w:eastAsia="Calibri" w:hAnsi="Calibri"/>
                <w:sz w:val="10"/>
                <w:szCs w:val="10"/>
                <w:color w:val="auto"/>
              </w:rPr>
              <w:t>—</w:t>
            </w:r>
          </w:p>
        </w:tc>
        <w:tc>
          <w:tcPr>
            <w:tcW w:w="80" w:type="dxa"/>
            <w:vAlign w:val="bottom"/>
          </w:tcPr>
          <w:p>
            <w:pPr>
              <w:spacing w:after="0"/>
              <w:rPr>
                <w:sz w:val="11"/>
                <w:szCs w:val="11"/>
                <w:color w:val="auto"/>
              </w:rPr>
            </w:pPr>
          </w:p>
        </w:tc>
        <w:tc>
          <w:tcPr>
            <w:tcW w:w="780" w:type="dxa"/>
            <w:vAlign w:val="bottom"/>
            <w:gridSpan w:val="2"/>
          </w:tcPr>
          <w:p>
            <w:pPr>
              <w:jc w:val="right"/>
              <w:ind w:right="240"/>
              <w:spacing w:after="0" w:line="119" w:lineRule="exact"/>
              <w:rPr>
                <w:sz w:val="20"/>
                <w:szCs w:val="20"/>
                <w:color w:val="auto"/>
              </w:rPr>
            </w:pPr>
            <w:r>
              <w:rPr>
                <w:rFonts w:ascii="Calibri" w:cs="Calibri" w:eastAsia="Calibri" w:hAnsi="Calibri"/>
                <w:sz w:val="10"/>
                <w:szCs w:val="10"/>
                <w:color w:val="auto"/>
              </w:rPr>
              <w:t>—</w:t>
            </w:r>
          </w:p>
        </w:tc>
        <w:tc>
          <w:tcPr>
            <w:tcW w:w="80" w:type="dxa"/>
            <w:vAlign w:val="bottom"/>
          </w:tcPr>
          <w:p>
            <w:pPr>
              <w:spacing w:after="0"/>
              <w:rPr>
                <w:sz w:val="11"/>
                <w:szCs w:val="11"/>
                <w:color w:val="auto"/>
              </w:rPr>
            </w:pPr>
          </w:p>
        </w:tc>
        <w:tc>
          <w:tcPr>
            <w:tcW w:w="540" w:type="dxa"/>
            <w:vAlign w:val="bottom"/>
          </w:tcPr>
          <w:p>
            <w:pPr>
              <w:jc w:val="right"/>
              <w:spacing w:after="0" w:line="119" w:lineRule="exact"/>
              <w:rPr>
                <w:sz w:val="20"/>
                <w:szCs w:val="20"/>
                <w:color w:val="auto"/>
              </w:rPr>
            </w:pPr>
            <w:r>
              <w:rPr>
                <w:rFonts w:ascii="Calibri" w:cs="Calibri" w:eastAsia="Calibri" w:hAnsi="Calibri"/>
                <w:sz w:val="10"/>
                <w:szCs w:val="10"/>
                <w:color w:val="auto"/>
              </w:rPr>
              <w:t>84,387</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220"/>
              <w:spacing w:after="0" w:line="119" w:lineRule="exact"/>
              <w:rPr>
                <w:sz w:val="20"/>
                <w:szCs w:val="20"/>
                <w:color w:val="auto"/>
              </w:rPr>
            </w:pPr>
            <w:r>
              <w:rPr>
                <w:rFonts w:ascii="Calibri" w:cs="Calibri" w:eastAsia="Calibri" w:hAnsi="Calibri"/>
                <w:sz w:val="10"/>
                <w:szCs w:val="10"/>
                <w:color w:val="auto"/>
              </w:rPr>
              <w:t>—</w:t>
            </w:r>
          </w:p>
        </w:tc>
        <w:tc>
          <w:tcPr>
            <w:tcW w:w="60" w:type="dxa"/>
            <w:vAlign w:val="bottom"/>
          </w:tcPr>
          <w:p>
            <w:pPr>
              <w:spacing w:after="0"/>
              <w:rPr>
                <w:sz w:val="11"/>
                <w:szCs w:val="11"/>
                <w:color w:val="auto"/>
              </w:rPr>
            </w:pPr>
          </w:p>
        </w:tc>
        <w:tc>
          <w:tcPr>
            <w:tcW w:w="640" w:type="dxa"/>
            <w:vAlign w:val="bottom"/>
          </w:tcPr>
          <w:p>
            <w:pPr>
              <w:jc w:val="right"/>
              <w:spacing w:after="0" w:line="119" w:lineRule="exact"/>
              <w:rPr>
                <w:sz w:val="20"/>
                <w:szCs w:val="20"/>
                <w:color w:val="auto"/>
              </w:rPr>
            </w:pPr>
            <w:r>
              <w:rPr>
                <w:rFonts w:ascii="Calibri" w:cs="Calibri" w:eastAsia="Calibri" w:hAnsi="Calibri"/>
                <w:sz w:val="10"/>
                <w:szCs w:val="10"/>
                <w:color w:val="auto"/>
              </w:rPr>
              <w:t>84,387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440" w:type="dxa"/>
            <w:vAlign w:val="bottom"/>
            <w:shd w:val="clear" w:color="auto" w:fill="CFF0FC"/>
          </w:tcPr>
          <w:p>
            <w:pPr>
              <w:ind w:left="220"/>
              <w:spacing w:after="0"/>
              <w:rPr>
                <w:sz w:val="20"/>
                <w:szCs w:val="20"/>
                <w:color w:val="auto"/>
              </w:rPr>
            </w:pPr>
            <w:r>
              <w:rPr>
                <w:rFonts w:ascii="Calibri" w:cs="Calibri" w:eastAsia="Calibri" w:hAnsi="Calibri"/>
                <w:sz w:val="10"/>
                <w:szCs w:val="10"/>
                <w:color w:val="auto"/>
              </w:rPr>
              <w:t>Stock–based compensaton expense</w:t>
            </w:r>
          </w:p>
        </w:tc>
        <w:tc>
          <w:tcPr>
            <w:tcW w:w="60" w:type="dxa"/>
            <w:vAlign w:val="bottom"/>
            <w:shd w:val="clear" w:color="auto" w:fill="CFF0FC"/>
          </w:tcPr>
          <w:p>
            <w:pPr>
              <w:spacing w:after="0"/>
              <w:rPr>
                <w:sz w:val="12"/>
                <w:szCs w:val="12"/>
                <w:color w:val="auto"/>
              </w:rPr>
            </w:pPr>
          </w:p>
        </w:tc>
        <w:tc>
          <w:tcPr>
            <w:tcW w:w="820" w:type="dxa"/>
            <w:vAlign w:val="bottom"/>
            <w:tcBorders>
              <w:right w:val="single" w:sz="8" w:color="auto"/>
            </w:tcBorders>
            <w:gridSpan w:val="2"/>
            <w:shd w:val="clear" w:color="auto" w:fill="CFF0FC"/>
          </w:tcPr>
          <w:p>
            <w:pPr>
              <w:jc w:val="right"/>
              <w:ind w:right="160"/>
              <w:spacing w:after="0"/>
              <w:rPr>
                <w:sz w:val="20"/>
                <w:szCs w:val="20"/>
                <w:color w:val="auto"/>
              </w:rPr>
            </w:pPr>
            <w:r>
              <w:rPr>
                <w:rFonts w:ascii="Calibri" w:cs="Calibri" w:eastAsia="Calibri" w:hAnsi="Calibri"/>
                <w:sz w:val="10"/>
                <w:szCs w:val="10"/>
                <w:color w:val="auto"/>
              </w:rPr>
              <w:t>—</w:t>
            </w: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40"/>
              <w:spacing w:after="0"/>
              <w:rPr>
                <w:sz w:val="20"/>
                <w:szCs w:val="20"/>
                <w:color w:val="auto"/>
              </w:rPr>
            </w:pPr>
            <w:r>
              <w:rPr>
                <w:rFonts w:ascii="Calibri" w:cs="Calibri" w:eastAsia="Calibri" w:hAnsi="Calibri"/>
                <w:sz w:val="10"/>
                <w:szCs w:val="10"/>
                <w:color w:val="auto"/>
              </w:rPr>
              <w:t>—</w:t>
            </w:r>
          </w:p>
        </w:tc>
        <w:tc>
          <w:tcPr>
            <w:tcW w:w="10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240"/>
              <w:spacing w:after="0"/>
              <w:rPr>
                <w:sz w:val="20"/>
                <w:szCs w:val="20"/>
                <w:color w:val="auto"/>
              </w:rPr>
            </w:pPr>
            <w:r>
              <w:rPr>
                <w:rFonts w:ascii="Calibri" w:cs="Calibri" w:eastAsia="Calibri" w:hAnsi="Calibri"/>
                <w:sz w:val="10"/>
                <w:szCs w:val="10"/>
                <w:color w:val="auto"/>
              </w:rPr>
              <w:t>—</w:t>
            </w:r>
          </w:p>
        </w:tc>
        <w:tc>
          <w:tcPr>
            <w:tcW w:w="900" w:type="dxa"/>
            <w:vAlign w:val="bottom"/>
            <w:gridSpan w:val="2"/>
            <w:shd w:val="clear" w:color="auto" w:fill="CFF0FC"/>
          </w:tcPr>
          <w:p>
            <w:pPr>
              <w:jc w:val="right"/>
              <w:ind w:right="260"/>
              <w:spacing w:after="0"/>
              <w:rPr>
                <w:sz w:val="20"/>
                <w:szCs w:val="20"/>
                <w:color w:val="auto"/>
              </w:rPr>
            </w:pPr>
            <w:r>
              <w:rPr>
                <w:rFonts w:ascii="Calibri" w:cs="Calibri" w:eastAsia="Calibri" w:hAnsi="Calibri"/>
                <w:sz w:val="10"/>
                <w:szCs w:val="10"/>
                <w:color w:val="auto"/>
              </w:rPr>
              <w:t>—</w:t>
            </w:r>
          </w:p>
        </w:tc>
        <w:tc>
          <w:tcPr>
            <w:tcW w:w="48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240"/>
              <w:spacing w:after="0"/>
              <w:rPr>
                <w:sz w:val="20"/>
                <w:szCs w:val="20"/>
                <w:color w:val="auto"/>
              </w:rPr>
            </w:pPr>
            <w:r>
              <w:rPr>
                <w:rFonts w:ascii="Calibri" w:cs="Calibri" w:eastAsia="Calibri" w:hAnsi="Calibri"/>
                <w:sz w:val="10"/>
                <w:szCs w:val="10"/>
                <w:color w:val="auto"/>
              </w:rPr>
              <w:t>—</w:t>
            </w: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Calibri" w:cs="Calibri" w:eastAsia="Calibri" w:hAnsi="Calibri"/>
                <w:sz w:val="10"/>
                <w:szCs w:val="10"/>
                <w:color w:val="auto"/>
              </w:rPr>
              <w:t>59,245</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220"/>
              <w:spacing w:after="0"/>
              <w:rPr>
                <w:sz w:val="20"/>
                <w:szCs w:val="20"/>
                <w:color w:val="auto"/>
              </w:rPr>
            </w:pPr>
            <w:r>
              <w:rPr>
                <w:rFonts w:ascii="Calibri" w:cs="Calibri" w:eastAsia="Calibri" w:hAnsi="Calibri"/>
                <w:sz w:val="10"/>
                <w:szCs w:val="10"/>
                <w:color w:val="auto"/>
              </w:rPr>
              <w:t>—</w:t>
            </w:r>
          </w:p>
        </w:tc>
        <w:tc>
          <w:tcPr>
            <w:tcW w:w="6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20"/>
              <w:spacing w:after="0"/>
              <w:rPr>
                <w:sz w:val="20"/>
                <w:szCs w:val="20"/>
                <w:color w:val="auto"/>
              </w:rPr>
            </w:pPr>
            <w:r>
              <w:rPr>
                <w:rFonts w:ascii="Calibri" w:cs="Calibri" w:eastAsia="Calibri" w:hAnsi="Calibri"/>
                <w:sz w:val="10"/>
                <w:szCs w:val="10"/>
                <w:color w:val="auto"/>
              </w:rPr>
              <w:t>—</w:t>
            </w:r>
          </w:p>
        </w:tc>
        <w:tc>
          <w:tcPr>
            <w:tcW w:w="6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Calibri" w:cs="Calibri" w:eastAsia="Calibri" w:hAnsi="Calibri"/>
                <w:sz w:val="10"/>
                <w:szCs w:val="10"/>
                <w:color w:val="auto"/>
              </w:rPr>
              <w:t>59,245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440" w:type="dxa"/>
            <w:vAlign w:val="bottom"/>
          </w:tcPr>
          <w:p>
            <w:pPr>
              <w:ind w:left="220"/>
              <w:spacing w:after="0" w:line="119" w:lineRule="exact"/>
              <w:rPr>
                <w:sz w:val="20"/>
                <w:szCs w:val="20"/>
                <w:color w:val="auto"/>
              </w:rPr>
            </w:pPr>
            <w:r>
              <w:rPr>
                <w:rFonts w:ascii="Calibri" w:cs="Calibri" w:eastAsia="Calibri" w:hAnsi="Calibri"/>
                <w:sz w:val="10"/>
                <w:szCs w:val="10"/>
                <w:color w:val="auto"/>
              </w:rPr>
              <w:t>Issuance of common stock upon exercise of stock optons</w:t>
            </w:r>
          </w:p>
        </w:tc>
        <w:tc>
          <w:tcPr>
            <w:tcW w:w="60" w:type="dxa"/>
            <w:vAlign w:val="bottom"/>
          </w:tcPr>
          <w:p>
            <w:pPr>
              <w:spacing w:after="0"/>
              <w:rPr>
                <w:sz w:val="11"/>
                <w:szCs w:val="11"/>
                <w:color w:val="auto"/>
              </w:rPr>
            </w:pPr>
          </w:p>
        </w:tc>
        <w:tc>
          <w:tcPr>
            <w:tcW w:w="820" w:type="dxa"/>
            <w:vAlign w:val="bottom"/>
            <w:tcBorders>
              <w:right w:val="single" w:sz="8" w:color="auto"/>
            </w:tcBorders>
            <w:gridSpan w:val="2"/>
          </w:tcPr>
          <w:p>
            <w:pPr>
              <w:jc w:val="right"/>
              <w:ind w:right="160"/>
              <w:spacing w:after="0" w:line="119" w:lineRule="exact"/>
              <w:rPr>
                <w:sz w:val="20"/>
                <w:szCs w:val="20"/>
                <w:color w:val="auto"/>
              </w:rPr>
            </w:pPr>
            <w:r>
              <w:rPr>
                <w:rFonts w:ascii="Calibri" w:cs="Calibri" w:eastAsia="Calibri" w:hAnsi="Calibri"/>
                <w:sz w:val="10"/>
                <w:szCs w:val="10"/>
                <w:color w:val="auto"/>
              </w:rPr>
              <w:t>—</w:t>
            </w:r>
          </w:p>
        </w:tc>
        <w:tc>
          <w:tcPr>
            <w:tcW w:w="100" w:type="dxa"/>
            <w:vAlign w:val="bottom"/>
          </w:tcPr>
          <w:p>
            <w:pPr>
              <w:spacing w:after="0"/>
              <w:rPr>
                <w:sz w:val="11"/>
                <w:szCs w:val="11"/>
                <w:color w:val="auto"/>
              </w:rPr>
            </w:pPr>
          </w:p>
        </w:tc>
        <w:tc>
          <w:tcPr>
            <w:tcW w:w="660" w:type="dxa"/>
            <w:vAlign w:val="bottom"/>
          </w:tcPr>
          <w:p>
            <w:pPr>
              <w:jc w:val="right"/>
              <w:spacing w:after="0" w:line="119" w:lineRule="exact"/>
              <w:rPr>
                <w:sz w:val="20"/>
                <w:szCs w:val="20"/>
                <w:color w:val="auto"/>
              </w:rPr>
            </w:pPr>
            <w:r>
              <w:rPr>
                <w:rFonts w:ascii="Calibri" w:cs="Calibri" w:eastAsia="Calibri" w:hAnsi="Calibri"/>
                <w:sz w:val="10"/>
                <w:szCs w:val="10"/>
                <w:color w:val="auto"/>
              </w:rPr>
              <w:t>131,061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240"/>
              <w:spacing w:after="0" w:line="119" w:lineRule="exact"/>
              <w:rPr>
                <w:sz w:val="20"/>
                <w:szCs w:val="20"/>
                <w:color w:val="auto"/>
              </w:rPr>
            </w:pPr>
            <w:r>
              <w:rPr>
                <w:rFonts w:ascii="Calibri" w:cs="Calibri" w:eastAsia="Calibri" w:hAnsi="Calibri"/>
                <w:sz w:val="10"/>
                <w:szCs w:val="10"/>
                <w:color w:val="auto"/>
              </w:rPr>
              <w:t>—</w:t>
            </w:r>
          </w:p>
        </w:tc>
        <w:tc>
          <w:tcPr>
            <w:tcW w:w="900" w:type="dxa"/>
            <w:vAlign w:val="bottom"/>
            <w:gridSpan w:val="2"/>
          </w:tcPr>
          <w:p>
            <w:pPr>
              <w:jc w:val="right"/>
              <w:ind w:right="260"/>
              <w:spacing w:after="0" w:line="119" w:lineRule="exact"/>
              <w:rPr>
                <w:sz w:val="20"/>
                <w:szCs w:val="20"/>
                <w:color w:val="auto"/>
              </w:rPr>
            </w:pPr>
            <w:r>
              <w:rPr>
                <w:rFonts w:ascii="Calibri" w:cs="Calibri" w:eastAsia="Calibri" w:hAnsi="Calibri"/>
                <w:sz w:val="10"/>
                <w:szCs w:val="10"/>
                <w:color w:val="auto"/>
              </w:rPr>
              <w:t>—</w:t>
            </w:r>
          </w:p>
        </w:tc>
        <w:tc>
          <w:tcPr>
            <w:tcW w:w="480" w:type="dxa"/>
            <w:vAlign w:val="bottom"/>
          </w:tcPr>
          <w:p>
            <w:pPr>
              <w:spacing w:after="0"/>
              <w:rPr>
                <w:sz w:val="11"/>
                <w:szCs w:val="11"/>
                <w:color w:val="auto"/>
              </w:rPr>
            </w:pPr>
          </w:p>
        </w:tc>
        <w:tc>
          <w:tcPr>
            <w:tcW w:w="360" w:type="dxa"/>
            <w:vAlign w:val="bottom"/>
            <w:gridSpan w:val="2"/>
          </w:tcPr>
          <w:p>
            <w:pPr>
              <w:jc w:val="right"/>
              <w:ind w:right="240"/>
              <w:spacing w:after="0" w:line="119" w:lineRule="exact"/>
              <w:rPr>
                <w:sz w:val="20"/>
                <w:szCs w:val="20"/>
                <w:color w:val="auto"/>
              </w:rPr>
            </w:pPr>
            <w:r>
              <w:rPr>
                <w:rFonts w:ascii="Calibri" w:cs="Calibri" w:eastAsia="Calibri" w:hAnsi="Calibri"/>
                <w:sz w:val="10"/>
                <w:szCs w:val="10"/>
                <w:color w:val="auto"/>
              </w:rPr>
              <w:t>—</w:t>
            </w:r>
          </w:p>
        </w:tc>
        <w:tc>
          <w:tcPr>
            <w:tcW w:w="80" w:type="dxa"/>
            <w:vAlign w:val="bottom"/>
          </w:tcPr>
          <w:p>
            <w:pPr>
              <w:spacing w:after="0"/>
              <w:rPr>
                <w:sz w:val="11"/>
                <w:szCs w:val="11"/>
                <w:color w:val="auto"/>
              </w:rPr>
            </w:pPr>
          </w:p>
        </w:tc>
        <w:tc>
          <w:tcPr>
            <w:tcW w:w="540" w:type="dxa"/>
            <w:vAlign w:val="bottom"/>
          </w:tcPr>
          <w:p>
            <w:pPr>
              <w:jc w:val="right"/>
              <w:spacing w:after="0" w:line="119" w:lineRule="exact"/>
              <w:rPr>
                <w:sz w:val="20"/>
                <w:szCs w:val="20"/>
                <w:color w:val="auto"/>
              </w:rPr>
            </w:pPr>
            <w:r>
              <w:rPr>
                <w:rFonts w:ascii="Calibri" w:cs="Calibri" w:eastAsia="Calibri" w:hAnsi="Calibri"/>
                <w:sz w:val="10"/>
                <w:szCs w:val="10"/>
                <w:color w:val="auto"/>
              </w:rPr>
              <w:t>721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220"/>
              <w:spacing w:after="0" w:line="119" w:lineRule="exact"/>
              <w:rPr>
                <w:sz w:val="20"/>
                <w:szCs w:val="20"/>
                <w:color w:val="auto"/>
              </w:rPr>
            </w:pPr>
            <w:r>
              <w:rPr>
                <w:rFonts w:ascii="Calibri" w:cs="Calibri" w:eastAsia="Calibri" w:hAnsi="Calibri"/>
                <w:sz w:val="10"/>
                <w:szCs w:val="10"/>
                <w:color w:val="auto"/>
              </w:rPr>
              <w:t>—</w:t>
            </w:r>
          </w:p>
        </w:tc>
        <w:tc>
          <w:tcPr>
            <w:tcW w:w="60" w:type="dxa"/>
            <w:vAlign w:val="bottom"/>
          </w:tcPr>
          <w:p>
            <w:pPr>
              <w:spacing w:after="0"/>
              <w:rPr>
                <w:sz w:val="11"/>
                <w:szCs w:val="11"/>
                <w:color w:val="auto"/>
              </w:rPr>
            </w:pPr>
          </w:p>
        </w:tc>
        <w:tc>
          <w:tcPr>
            <w:tcW w:w="860" w:type="dxa"/>
            <w:vAlign w:val="bottom"/>
            <w:gridSpan w:val="2"/>
          </w:tcPr>
          <w:p>
            <w:pPr>
              <w:jc w:val="right"/>
              <w:ind w:right="220"/>
              <w:spacing w:after="0" w:line="119" w:lineRule="exact"/>
              <w:rPr>
                <w:sz w:val="20"/>
                <w:szCs w:val="20"/>
                <w:color w:val="auto"/>
              </w:rPr>
            </w:pPr>
            <w:r>
              <w:rPr>
                <w:rFonts w:ascii="Calibri" w:cs="Calibri" w:eastAsia="Calibri" w:hAnsi="Calibri"/>
                <w:sz w:val="10"/>
                <w:szCs w:val="10"/>
                <w:color w:val="auto"/>
              </w:rPr>
              <w:t>—</w:t>
            </w:r>
          </w:p>
        </w:tc>
        <w:tc>
          <w:tcPr>
            <w:tcW w:w="60" w:type="dxa"/>
            <w:vAlign w:val="bottom"/>
          </w:tcPr>
          <w:p>
            <w:pPr>
              <w:spacing w:after="0"/>
              <w:rPr>
                <w:sz w:val="11"/>
                <w:szCs w:val="11"/>
                <w:color w:val="auto"/>
              </w:rPr>
            </w:pPr>
          </w:p>
        </w:tc>
        <w:tc>
          <w:tcPr>
            <w:tcW w:w="640" w:type="dxa"/>
            <w:vAlign w:val="bottom"/>
          </w:tcPr>
          <w:p>
            <w:pPr>
              <w:jc w:val="right"/>
              <w:spacing w:after="0" w:line="119" w:lineRule="exact"/>
              <w:rPr>
                <w:sz w:val="20"/>
                <w:szCs w:val="20"/>
                <w:color w:val="auto"/>
              </w:rPr>
            </w:pPr>
            <w:r>
              <w:rPr>
                <w:rFonts w:ascii="Calibri" w:cs="Calibri" w:eastAsia="Calibri" w:hAnsi="Calibri"/>
                <w:sz w:val="10"/>
                <w:szCs w:val="10"/>
                <w:color w:val="auto"/>
              </w:rPr>
              <w:t>721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440" w:type="dxa"/>
            <w:vAlign w:val="bottom"/>
            <w:shd w:val="clear" w:color="auto" w:fill="CFF0FC"/>
          </w:tcPr>
          <w:p>
            <w:pPr>
              <w:ind w:left="220"/>
              <w:spacing w:after="0"/>
              <w:rPr>
                <w:sz w:val="20"/>
                <w:szCs w:val="20"/>
                <w:color w:val="auto"/>
              </w:rPr>
            </w:pPr>
            <w:r>
              <w:rPr>
                <w:rFonts w:ascii="Calibri" w:cs="Calibri" w:eastAsia="Calibri" w:hAnsi="Calibri"/>
                <w:sz w:val="10"/>
                <w:szCs w:val="10"/>
                <w:color w:val="auto"/>
              </w:rPr>
              <w:t>Issuance of common stock upon vestng of restricted stock units</w:t>
            </w:r>
          </w:p>
        </w:tc>
        <w:tc>
          <w:tcPr>
            <w:tcW w:w="60" w:type="dxa"/>
            <w:vAlign w:val="bottom"/>
            <w:shd w:val="clear" w:color="auto" w:fill="CFF0FC"/>
          </w:tcPr>
          <w:p>
            <w:pPr>
              <w:spacing w:after="0"/>
              <w:rPr>
                <w:sz w:val="12"/>
                <w:szCs w:val="12"/>
                <w:color w:val="auto"/>
              </w:rPr>
            </w:pPr>
          </w:p>
        </w:tc>
        <w:tc>
          <w:tcPr>
            <w:tcW w:w="820" w:type="dxa"/>
            <w:vAlign w:val="bottom"/>
            <w:tcBorders>
              <w:right w:val="single" w:sz="8" w:color="auto"/>
            </w:tcBorders>
            <w:gridSpan w:val="2"/>
            <w:shd w:val="clear" w:color="auto" w:fill="CFF0FC"/>
          </w:tcPr>
          <w:p>
            <w:pPr>
              <w:jc w:val="right"/>
              <w:ind w:right="160"/>
              <w:spacing w:after="0"/>
              <w:rPr>
                <w:sz w:val="20"/>
                <w:szCs w:val="20"/>
                <w:color w:val="auto"/>
              </w:rPr>
            </w:pPr>
            <w:r>
              <w:rPr>
                <w:rFonts w:ascii="Calibri" w:cs="Calibri" w:eastAsia="Calibri" w:hAnsi="Calibri"/>
                <w:sz w:val="10"/>
                <w:szCs w:val="10"/>
                <w:color w:val="auto"/>
              </w:rPr>
              <w:t>—</w:t>
            </w: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Calibri" w:cs="Calibri" w:eastAsia="Calibri" w:hAnsi="Calibri"/>
                <w:sz w:val="10"/>
                <w:szCs w:val="10"/>
                <w:color w:val="auto"/>
              </w:rPr>
              <w:t>1,649,294</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Calibri" w:cs="Calibri" w:eastAsia="Calibri" w:hAnsi="Calibri"/>
                <w:sz w:val="10"/>
                <w:szCs w:val="10"/>
                <w:color w:val="auto"/>
              </w:rPr>
              <w:t>1</w:t>
            </w:r>
          </w:p>
        </w:tc>
        <w:tc>
          <w:tcPr>
            <w:tcW w:w="24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60"/>
              <w:spacing w:after="0"/>
              <w:rPr>
                <w:sz w:val="20"/>
                <w:szCs w:val="20"/>
                <w:color w:val="auto"/>
              </w:rPr>
            </w:pPr>
            <w:r>
              <w:rPr>
                <w:rFonts w:ascii="Calibri" w:cs="Calibri" w:eastAsia="Calibri" w:hAnsi="Calibri"/>
                <w:sz w:val="10"/>
                <w:szCs w:val="10"/>
                <w:color w:val="auto"/>
              </w:rPr>
              <w:t>—</w:t>
            </w:r>
          </w:p>
        </w:tc>
        <w:tc>
          <w:tcPr>
            <w:tcW w:w="48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240"/>
              <w:spacing w:after="0"/>
              <w:rPr>
                <w:sz w:val="20"/>
                <w:szCs w:val="20"/>
                <w:color w:val="auto"/>
              </w:rPr>
            </w:pPr>
            <w:r>
              <w:rPr>
                <w:rFonts w:ascii="Calibri" w:cs="Calibri" w:eastAsia="Calibri" w:hAnsi="Calibri"/>
                <w:sz w:val="10"/>
                <w:szCs w:val="10"/>
                <w:color w:val="auto"/>
              </w:rPr>
              <w:t>—</w:t>
            </w:r>
          </w:p>
        </w:tc>
        <w:tc>
          <w:tcPr>
            <w:tcW w:w="8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00"/>
              <w:spacing w:after="0"/>
              <w:rPr>
                <w:sz w:val="20"/>
                <w:szCs w:val="20"/>
                <w:color w:val="auto"/>
              </w:rPr>
            </w:pPr>
            <w:r>
              <w:rPr>
                <w:rFonts w:ascii="Calibri" w:cs="Calibri" w:eastAsia="Calibri" w:hAnsi="Calibri"/>
                <w:sz w:val="10"/>
                <w:szCs w:val="10"/>
                <w:color w:val="auto"/>
              </w:rPr>
              <w:t>(1 )</w:t>
            </w:r>
          </w:p>
        </w:tc>
        <w:tc>
          <w:tcPr>
            <w:tcW w:w="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220"/>
              <w:spacing w:after="0"/>
              <w:rPr>
                <w:sz w:val="20"/>
                <w:szCs w:val="20"/>
                <w:color w:val="auto"/>
              </w:rPr>
            </w:pPr>
            <w:r>
              <w:rPr>
                <w:rFonts w:ascii="Calibri" w:cs="Calibri" w:eastAsia="Calibri" w:hAnsi="Calibri"/>
                <w:sz w:val="10"/>
                <w:szCs w:val="10"/>
                <w:color w:val="auto"/>
              </w:rPr>
              <w:t>—</w:t>
            </w:r>
          </w:p>
        </w:tc>
        <w:tc>
          <w:tcPr>
            <w:tcW w:w="6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20"/>
              <w:spacing w:after="0"/>
              <w:rPr>
                <w:sz w:val="20"/>
                <w:szCs w:val="20"/>
                <w:color w:val="auto"/>
              </w:rPr>
            </w:pPr>
            <w:r>
              <w:rPr>
                <w:rFonts w:ascii="Calibri" w:cs="Calibri" w:eastAsia="Calibri" w:hAnsi="Calibri"/>
                <w:sz w:val="10"/>
                <w:szCs w:val="10"/>
                <w:color w:val="auto"/>
              </w:rPr>
              <w:t>—</w:t>
            </w:r>
          </w:p>
        </w:tc>
        <w:tc>
          <w:tcPr>
            <w:tcW w:w="6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20"/>
              <w:spacing w:after="0"/>
              <w:rPr>
                <w:sz w:val="20"/>
                <w:szCs w:val="20"/>
                <w:color w:val="auto"/>
              </w:rPr>
            </w:pPr>
            <w:r>
              <w:rPr>
                <w:rFonts w:ascii="Calibri" w:cs="Calibri" w:eastAsia="Calibri" w:hAnsi="Calibri"/>
                <w:sz w:val="10"/>
                <w:szCs w:val="10"/>
                <w:color w:val="auto"/>
              </w:rPr>
              <w:t>—</w:t>
            </w:r>
          </w:p>
        </w:tc>
        <w:tc>
          <w:tcPr>
            <w:tcW w:w="0" w:type="dxa"/>
            <w:vAlign w:val="bottom"/>
          </w:tcPr>
          <w:p>
            <w:pPr>
              <w:spacing w:after="0"/>
              <w:rPr>
                <w:sz w:val="1"/>
                <w:szCs w:val="1"/>
                <w:color w:val="auto"/>
              </w:rPr>
            </w:pPr>
          </w:p>
        </w:tc>
      </w:tr>
      <w:tr>
        <w:trPr>
          <w:trHeight w:val="112"/>
        </w:trPr>
        <w:tc>
          <w:tcPr>
            <w:tcW w:w="3440" w:type="dxa"/>
            <w:vAlign w:val="bottom"/>
          </w:tcPr>
          <w:p>
            <w:pPr>
              <w:ind w:left="220"/>
              <w:spacing w:after="0" w:line="112" w:lineRule="exact"/>
              <w:rPr>
                <w:sz w:val="20"/>
                <w:szCs w:val="20"/>
                <w:color w:val="auto"/>
              </w:rPr>
            </w:pPr>
            <w:r>
              <w:rPr>
                <w:rFonts w:ascii="Calibri" w:cs="Calibri" w:eastAsia="Calibri" w:hAnsi="Calibri"/>
                <w:sz w:val="10"/>
                <w:szCs w:val="10"/>
                <w:color w:val="auto"/>
              </w:rPr>
              <w:t>Payment of withholding taxes on net share setlements of restricted stock</w:t>
            </w: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3440" w:type="dxa"/>
            <w:vAlign w:val="bottom"/>
          </w:tcPr>
          <w:p>
            <w:pPr>
              <w:ind w:left="220"/>
              <w:spacing w:after="0" w:line="119" w:lineRule="exact"/>
              <w:rPr>
                <w:sz w:val="20"/>
                <w:szCs w:val="20"/>
                <w:color w:val="auto"/>
              </w:rPr>
            </w:pPr>
            <w:r>
              <w:rPr>
                <w:rFonts w:ascii="Calibri" w:cs="Calibri" w:eastAsia="Calibri" w:hAnsi="Calibri"/>
                <w:sz w:val="10"/>
                <w:szCs w:val="10"/>
                <w:color w:val="auto"/>
              </w:rPr>
              <w:t>units</w:t>
            </w:r>
          </w:p>
        </w:tc>
        <w:tc>
          <w:tcPr>
            <w:tcW w:w="60" w:type="dxa"/>
            <w:vAlign w:val="bottom"/>
          </w:tcPr>
          <w:p>
            <w:pPr>
              <w:spacing w:after="0"/>
              <w:rPr>
                <w:sz w:val="10"/>
                <w:szCs w:val="10"/>
                <w:color w:val="auto"/>
              </w:rPr>
            </w:pPr>
          </w:p>
        </w:tc>
        <w:tc>
          <w:tcPr>
            <w:tcW w:w="820" w:type="dxa"/>
            <w:vAlign w:val="bottom"/>
            <w:tcBorders>
              <w:right w:val="single" w:sz="8" w:color="auto"/>
            </w:tcBorders>
            <w:gridSpan w:val="2"/>
          </w:tcPr>
          <w:p>
            <w:pPr>
              <w:jc w:val="right"/>
              <w:ind w:right="160"/>
              <w:spacing w:after="0" w:line="119" w:lineRule="exact"/>
              <w:rPr>
                <w:sz w:val="20"/>
                <w:szCs w:val="20"/>
                <w:color w:val="auto"/>
              </w:rPr>
            </w:pPr>
            <w:r>
              <w:rPr>
                <w:rFonts w:ascii="Calibri" w:cs="Calibri" w:eastAsia="Calibri" w:hAnsi="Calibri"/>
                <w:sz w:val="10"/>
                <w:szCs w:val="10"/>
                <w:color w:val="auto"/>
              </w:rPr>
              <w:t>—</w:t>
            </w:r>
          </w:p>
        </w:tc>
        <w:tc>
          <w:tcPr>
            <w:tcW w:w="100" w:type="dxa"/>
            <w:vAlign w:val="bottom"/>
          </w:tcPr>
          <w:p>
            <w:pPr>
              <w:spacing w:after="0"/>
              <w:rPr>
                <w:sz w:val="10"/>
                <w:szCs w:val="10"/>
                <w:color w:val="auto"/>
              </w:rPr>
            </w:pPr>
          </w:p>
        </w:tc>
        <w:tc>
          <w:tcPr>
            <w:tcW w:w="880" w:type="dxa"/>
            <w:vAlign w:val="bottom"/>
            <w:gridSpan w:val="2"/>
          </w:tcPr>
          <w:p>
            <w:pPr>
              <w:jc w:val="right"/>
              <w:ind w:right="180"/>
              <w:spacing w:after="0" w:line="119" w:lineRule="exact"/>
              <w:rPr>
                <w:sz w:val="20"/>
                <w:szCs w:val="20"/>
                <w:color w:val="auto"/>
              </w:rPr>
            </w:pPr>
            <w:r>
              <w:rPr>
                <w:rFonts w:ascii="Calibri" w:cs="Calibri" w:eastAsia="Calibri" w:hAnsi="Calibri"/>
                <w:sz w:val="10"/>
                <w:szCs w:val="10"/>
                <w:color w:val="auto"/>
              </w:rPr>
              <w:t>(566,267 )</w:t>
            </w:r>
          </w:p>
        </w:tc>
        <w:tc>
          <w:tcPr>
            <w:tcW w:w="100" w:type="dxa"/>
            <w:vAlign w:val="bottom"/>
          </w:tcPr>
          <w:p>
            <w:pPr>
              <w:spacing w:after="0"/>
              <w:rPr>
                <w:sz w:val="10"/>
                <w:szCs w:val="10"/>
                <w:color w:val="auto"/>
              </w:rPr>
            </w:pPr>
          </w:p>
        </w:tc>
        <w:tc>
          <w:tcPr>
            <w:tcW w:w="720" w:type="dxa"/>
            <w:vAlign w:val="bottom"/>
            <w:gridSpan w:val="2"/>
          </w:tcPr>
          <w:p>
            <w:pPr>
              <w:jc w:val="right"/>
              <w:ind w:right="240"/>
              <w:spacing w:after="0" w:line="119" w:lineRule="exact"/>
              <w:rPr>
                <w:sz w:val="20"/>
                <w:szCs w:val="20"/>
                <w:color w:val="auto"/>
              </w:rPr>
            </w:pPr>
            <w:r>
              <w:rPr>
                <w:rFonts w:ascii="Calibri" w:cs="Calibri" w:eastAsia="Calibri" w:hAnsi="Calibri"/>
                <w:sz w:val="10"/>
                <w:szCs w:val="10"/>
                <w:color w:val="auto"/>
              </w:rPr>
              <w:t>—</w:t>
            </w:r>
          </w:p>
        </w:tc>
        <w:tc>
          <w:tcPr>
            <w:tcW w:w="900" w:type="dxa"/>
            <w:vAlign w:val="bottom"/>
            <w:gridSpan w:val="2"/>
          </w:tcPr>
          <w:p>
            <w:pPr>
              <w:jc w:val="right"/>
              <w:ind w:right="260"/>
              <w:spacing w:after="0" w:line="119" w:lineRule="exact"/>
              <w:rPr>
                <w:sz w:val="20"/>
                <w:szCs w:val="20"/>
                <w:color w:val="auto"/>
              </w:rPr>
            </w:pPr>
            <w:r>
              <w:rPr>
                <w:rFonts w:ascii="Calibri" w:cs="Calibri" w:eastAsia="Calibri" w:hAnsi="Calibri"/>
                <w:sz w:val="10"/>
                <w:szCs w:val="10"/>
                <w:color w:val="auto"/>
              </w:rPr>
              <w:t>—</w:t>
            </w:r>
          </w:p>
        </w:tc>
        <w:tc>
          <w:tcPr>
            <w:tcW w:w="480" w:type="dxa"/>
            <w:vAlign w:val="bottom"/>
          </w:tcPr>
          <w:p>
            <w:pPr>
              <w:spacing w:after="0"/>
              <w:rPr>
                <w:sz w:val="10"/>
                <w:szCs w:val="10"/>
                <w:color w:val="auto"/>
              </w:rPr>
            </w:pPr>
          </w:p>
        </w:tc>
        <w:tc>
          <w:tcPr>
            <w:tcW w:w="360" w:type="dxa"/>
            <w:vAlign w:val="bottom"/>
            <w:gridSpan w:val="2"/>
          </w:tcPr>
          <w:p>
            <w:pPr>
              <w:jc w:val="right"/>
              <w:ind w:right="240"/>
              <w:spacing w:after="0" w:line="119" w:lineRule="exact"/>
              <w:rPr>
                <w:sz w:val="20"/>
                <w:szCs w:val="20"/>
                <w:color w:val="auto"/>
              </w:rPr>
            </w:pPr>
            <w:r>
              <w:rPr>
                <w:rFonts w:ascii="Calibri" w:cs="Calibri" w:eastAsia="Calibri" w:hAnsi="Calibri"/>
                <w:sz w:val="10"/>
                <w:szCs w:val="10"/>
                <w:color w:val="auto"/>
              </w:rPr>
              <w:t>—</w:t>
            </w:r>
          </w:p>
        </w:tc>
        <w:tc>
          <w:tcPr>
            <w:tcW w:w="80" w:type="dxa"/>
            <w:vAlign w:val="bottom"/>
          </w:tcPr>
          <w:p>
            <w:pPr>
              <w:spacing w:after="0"/>
              <w:rPr>
                <w:sz w:val="10"/>
                <w:szCs w:val="10"/>
                <w:color w:val="auto"/>
              </w:rPr>
            </w:pPr>
          </w:p>
        </w:tc>
        <w:tc>
          <w:tcPr>
            <w:tcW w:w="780" w:type="dxa"/>
            <w:vAlign w:val="bottom"/>
            <w:gridSpan w:val="2"/>
          </w:tcPr>
          <w:p>
            <w:pPr>
              <w:jc w:val="right"/>
              <w:ind w:right="200"/>
              <w:spacing w:after="0" w:line="119" w:lineRule="exact"/>
              <w:rPr>
                <w:sz w:val="20"/>
                <w:szCs w:val="20"/>
                <w:color w:val="auto"/>
              </w:rPr>
            </w:pPr>
            <w:r>
              <w:rPr>
                <w:rFonts w:ascii="Calibri" w:cs="Calibri" w:eastAsia="Calibri" w:hAnsi="Calibri"/>
                <w:sz w:val="10"/>
                <w:szCs w:val="10"/>
                <w:color w:val="auto"/>
              </w:rPr>
              <w:t>(16,025 )</w:t>
            </w:r>
          </w:p>
        </w:tc>
        <w:tc>
          <w:tcPr>
            <w:tcW w:w="80" w:type="dxa"/>
            <w:vAlign w:val="bottom"/>
          </w:tcPr>
          <w:p>
            <w:pPr>
              <w:spacing w:after="0"/>
              <w:rPr>
                <w:sz w:val="10"/>
                <w:szCs w:val="10"/>
                <w:color w:val="auto"/>
              </w:rPr>
            </w:pPr>
          </w:p>
        </w:tc>
        <w:tc>
          <w:tcPr>
            <w:tcW w:w="740" w:type="dxa"/>
            <w:vAlign w:val="bottom"/>
            <w:gridSpan w:val="2"/>
          </w:tcPr>
          <w:p>
            <w:pPr>
              <w:jc w:val="right"/>
              <w:ind w:right="220"/>
              <w:spacing w:after="0" w:line="119" w:lineRule="exact"/>
              <w:rPr>
                <w:sz w:val="20"/>
                <w:szCs w:val="20"/>
                <w:color w:val="auto"/>
              </w:rPr>
            </w:pPr>
            <w:r>
              <w:rPr>
                <w:rFonts w:ascii="Calibri" w:cs="Calibri" w:eastAsia="Calibri" w:hAnsi="Calibri"/>
                <w:sz w:val="10"/>
                <w:szCs w:val="10"/>
                <w:color w:val="auto"/>
              </w:rPr>
              <w:t>—</w:t>
            </w:r>
          </w:p>
        </w:tc>
        <w:tc>
          <w:tcPr>
            <w:tcW w:w="60" w:type="dxa"/>
            <w:vAlign w:val="bottom"/>
          </w:tcPr>
          <w:p>
            <w:pPr>
              <w:spacing w:after="0"/>
              <w:rPr>
                <w:sz w:val="10"/>
                <w:szCs w:val="10"/>
                <w:color w:val="auto"/>
              </w:rPr>
            </w:pPr>
          </w:p>
        </w:tc>
        <w:tc>
          <w:tcPr>
            <w:tcW w:w="860" w:type="dxa"/>
            <w:vAlign w:val="bottom"/>
            <w:gridSpan w:val="2"/>
          </w:tcPr>
          <w:p>
            <w:pPr>
              <w:jc w:val="right"/>
              <w:ind w:right="220"/>
              <w:spacing w:after="0" w:line="119" w:lineRule="exact"/>
              <w:rPr>
                <w:sz w:val="20"/>
                <w:szCs w:val="20"/>
                <w:color w:val="auto"/>
              </w:rPr>
            </w:pPr>
            <w:r>
              <w:rPr>
                <w:rFonts w:ascii="Calibri" w:cs="Calibri" w:eastAsia="Calibri" w:hAnsi="Calibri"/>
                <w:sz w:val="10"/>
                <w:szCs w:val="10"/>
                <w:color w:val="auto"/>
              </w:rPr>
              <w:t>—</w:t>
            </w:r>
          </w:p>
        </w:tc>
        <w:tc>
          <w:tcPr>
            <w:tcW w:w="60" w:type="dxa"/>
            <w:vAlign w:val="bottom"/>
          </w:tcPr>
          <w:p>
            <w:pPr>
              <w:spacing w:after="0"/>
              <w:rPr>
                <w:sz w:val="10"/>
                <w:szCs w:val="10"/>
                <w:color w:val="auto"/>
              </w:rPr>
            </w:pPr>
          </w:p>
        </w:tc>
        <w:tc>
          <w:tcPr>
            <w:tcW w:w="740" w:type="dxa"/>
            <w:vAlign w:val="bottom"/>
            <w:gridSpan w:val="2"/>
          </w:tcPr>
          <w:p>
            <w:pPr>
              <w:jc w:val="right"/>
              <w:ind w:right="60"/>
              <w:spacing w:after="0" w:line="119" w:lineRule="exact"/>
              <w:rPr>
                <w:sz w:val="20"/>
                <w:szCs w:val="20"/>
                <w:color w:val="auto"/>
              </w:rPr>
            </w:pPr>
            <w:r>
              <w:rPr>
                <w:rFonts w:ascii="Calibri" w:cs="Calibri" w:eastAsia="Calibri" w:hAnsi="Calibri"/>
                <w:sz w:val="10"/>
                <w:szCs w:val="10"/>
                <w:color w:val="auto"/>
              </w:rPr>
              <w:t>(16,025 )</w:t>
            </w:r>
          </w:p>
        </w:tc>
        <w:tc>
          <w:tcPr>
            <w:tcW w:w="0" w:type="dxa"/>
            <w:vAlign w:val="bottom"/>
          </w:tcPr>
          <w:p>
            <w:pPr>
              <w:spacing w:after="0"/>
              <w:rPr>
                <w:sz w:val="1"/>
                <w:szCs w:val="1"/>
                <w:color w:val="auto"/>
              </w:rPr>
            </w:pPr>
          </w:p>
        </w:tc>
      </w:tr>
      <w:tr>
        <w:trPr>
          <w:trHeight w:val="22"/>
        </w:trPr>
        <w:tc>
          <w:tcPr>
            <w:tcW w:w="3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3440" w:type="dxa"/>
            <w:vAlign w:val="bottom"/>
            <w:shd w:val="clear" w:color="auto" w:fill="CFF0FC"/>
          </w:tcPr>
          <w:p>
            <w:pPr>
              <w:ind w:left="220"/>
              <w:spacing w:after="0" w:line="119" w:lineRule="exact"/>
              <w:rPr>
                <w:sz w:val="20"/>
                <w:szCs w:val="20"/>
                <w:color w:val="auto"/>
              </w:rPr>
            </w:pPr>
            <w:r>
              <w:rPr>
                <w:rFonts w:ascii="Calibri" w:cs="Calibri" w:eastAsia="Calibri" w:hAnsi="Calibri"/>
                <w:sz w:val="10"/>
                <w:szCs w:val="10"/>
                <w:color w:val="auto"/>
              </w:rPr>
              <w:t>Repurchase of common stock</w:t>
            </w:r>
          </w:p>
        </w:tc>
        <w:tc>
          <w:tcPr>
            <w:tcW w:w="60" w:type="dxa"/>
            <w:vAlign w:val="bottom"/>
            <w:shd w:val="clear" w:color="auto" w:fill="CFF0FC"/>
          </w:tcPr>
          <w:p>
            <w:pPr>
              <w:spacing w:after="0"/>
              <w:rPr>
                <w:sz w:val="12"/>
                <w:szCs w:val="12"/>
                <w:color w:val="auto"/>
              </w:rPr>
            </w:pPr>
          </w:p>
        </w:tc>
        <w:tc>
          <w:tcPr>
            <w:tcW w:w="820" w:type="dxa"/>
            <w:vAlign w:val="bottom"/>
            <w:tcBorders>
              <w:right w:val="single" w:sz="8" w:color="auto"/>
            </w:tcBorders>
            <w:gridSpan w:val="2"/>
            <w:shd w:val="clear" w:color="auto" w:fill="CFF0FC"/>
          </w:tcPr>
          <w:p>
            <w:pPr>
              <w:jc w:val="right"/>
              <w:ind w:right="160"/>
              <w:spacing w:after="0" w:line="119" w:lineRule="exact"/>
              <w:rPr>
                <w:sz w:val="20"/>
                <w:szCs w:val="20"/>
                <w:color w:val="auto"/>
              </w:rPr>
            </w:pPr>
            <w:r>
              <w:rPr>
                <w:rFonts w:ascii="Calibri" w:cs="Calibri" w:eastAsia="Calibri" w:hAnsi="Calibri"/>
                <w:sz w:val="10"/>
                <w:szCs w:val="10"/>
                <w:color w:val="auto"/>
              </w:rPr>
              <w:t>—</w:t>
            </w: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80"/>
              <w:spacing w:after="0" w:line="119" w:lineRule="exact"/>
              <w:rPr>
                <w:sz w:val="20"/>
                <w:szCs w:val="20"/>
                <w:color w:val="auto"/>
              </w:rPr>
            </w:pPr>
            <w:r>
              <w:rPr>
                <w:rFonts w:ascii="Calibri" w:cs="Calibri" w:eastAsia="Calibri" w:hAnsi="Calibri"/>
                <w:sz w:val="10"/>
                <w:szCs w:val="10"/>
                <w:color w:val="auto"/>
              </w:rPr>
              <w:t>(1,350,473 )</w:t>
            </w:r>
          </w:p>
        </w:tc>
        <w:tc>
          <w:tcPr>
            <w:tcW w:w="10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200"/>
              <w:spacing w:after="0" w:line="119" w:lineRule="exact"/>
              <w:rPr>
                <w:sz w:val="20"/>
                <w:szCs w:val="20"/>
                <w:color w:val="auto"/>
              </w:rPr>
            </w:pPr>
            <w:r>
              <w:rPr>
                <w:rFonts w:ascii="Calibri" w:cs="Calibri" w:eastAsia="Calibri" w:hAnsi="Calibri"/>
                <w:sz w:val="10"/>
                <w:szCs w:val="10"/>
                <w:color w:val="auto"/>
              </w:rPr>
              <w:t>(1 )</w:t>
            </w:r>
          </w:p>
        </w:tc>
        <w:tc>
          <w:tcPr>
            <w:tcW w:w="900" w:type="dxa"/>
            <w:vAlign w:val="bottom"/>
            <w:gridSpan w:val="2"/>
            <w:shd w:val="clear" w:color="auto" w:fill="CFF0FC"/>
          </w:tcPr>
          <w:p>
            <w:pPr>
              <w:jc w:val="right"/>
              <w:ind w:right="260"/>
              <w:spacing w:after="0" w:line="119" w:lineRule="exact"/>
              <w:rPr>
                <w:sz w:val="20"/>
                <w:szCs w:val="20"/>
                <w:color w:val="auto"/>
              </w:rPr>
            </w:pPr>
            <w:r>
              <w:rPr>
                <w:rFonts w:ascii="Calibri" w:cs="Calibri" w:eastAsia="Calibri" w:hAnsi="Calibri"/>
                <w:sz w:val="10"/>
                <w:szCs w:val="10"/>
                <w:color w:val="auto"/>
              </w:rPr>
              <w:t>—</w:t>
            </w:r>
          </w:p>
        </w:tc>
        <w:tc>
          <w:tcPr>
            <w:tcW w:w="48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240"/>
              <w:spacing w:after="0" w:line="119" w:lineRule="exact"/>
              <w:rPr>
                <w:sz w:val="20"/>
                <w:szCs w:val="20"/>
                <w:color w:val="auto"/>
              </w:rPr>
            </w:pPr>
            <w:r>
              <w:rPr>
                <w:rFonts w:ascii="Calibri" w:cs="Calibri" w:eastAsia="Calibri" w:hAnsi="Calibri"/>
                <w:sz w:val="10"/>
                <w:szCs w:val="10"/>
                <w:color w:val="auto"/>
              </w:rPr>
              <w:t>—</w:t>
            </w:r>
          </w:p>
        </w:tc>
        <w:tc>
          <w:tcPr>
            <w:tcW w:w="8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00"/>
              <w:spacing w:after="0" w:line="119" w:lineRule="exact"/>
              <w:rPr>
                <w:sz w:val="20"/>
                <w:szCs w:val="20"/>
                <w:color w:val="auto"/>
              </w:rPr>
            </w:pPr>
            <w:r>
              <w:rPr>
                <w:rFonts w:ascii="Calibri" w:cs="Calibri" w:eastAsia="Calibri" w:hAnsi="Calibri"/>
                <w:sz w:val="10"/>
                <w:szCs w:val="10"/>
                <w:color w:val="auto"/>
              </w:rPr>
              <w:t>(18,716 )</w:t>
            </w:r>
          </w:p>
        </w:tc>
        <w:tc>
          <w:tcPr>
            <w:tcW w:w="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220"/>
              <w:spacing w:after="0" w:line="119" w:lineRule="exact"/>
              <w:rPr>
                <w:sz w:val="20"/>
                <w:szCs w:val="20"/>
                <w:color w:val="auto"/>
              </w:rPr>
            </w:pPr>
            <w:r>
              <w:rPr>
                <w:rFonts w:ascii="Calibri" w:cs="Calibri" w:eastAsia="Calibri" w:hAnsi="Calibri"/>
                <w:sz w:val="10"/>
                <w:szCs w:val="10"/>
                <w:color w:val="auto"/>
              </w:rPr>
              <w:t>—</w:t>
            </w:r>
          </w:p>
        </w:tc>
        <w:tc>
          <w:tcPr>
            <w:tcW w:w="6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20"/>
              <w:spacing w:after="0" w:line="119" w:lineRule="exact"/>
              <w:rPr>
                <w:sz w:val="20"/>
                <w:szCs w:val="20"/>
                <w:color w:val="auto"/>
              </w:rPr>
            </w:pPr>
            <w:r>
              <w:rPr>
                <w:rFonts w:ascii="Calibri" w:cs="Calibri" w:eastAsia="Calibri" w:hAnsi="Calibri"/>
                <w:sz w:val="10"/>
                <w:szCs w:val="10"/>
                <w:color w:val="auto"/>
              </w:rPr>
              <w:t>—</w:t>
            </w:r>
          </w:p>
        </w:tc>
        <w:tc>
          <w:tcPr>
            <w:tcW w:w="6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60"/>
              <w:spacing w:after="0" w:line="119" w:lineRule="exact"/>
              <w:rPr>
                <w:sz w:val="20"/>
                <w:szCs w:val="20"/>
                <w:color w:val="auto"/>
              </w:rPr>
            </w:pPr>
            <w:r>
              <w:rPr>
                <w:rFonts w:ascii="Calibri" w:cs="Calibri" w:eastAsia="Calibri" w:hAnsi="Calibri"/>
                <w:sz w:val="10"/>
                <w:szCs w:val="10"/>
                <w:color w:val="auto"/>
              </w:rPr>
              <w:t>(18,717 )</w:t>
            </w:r>
          </w:p>
        </w:tc>
        <w:tc>
          <w:tcPr>
            <w:tcW w:w="0" w:type="dxa"/>
            <w:vAlign w:val="bottom"/>
          </w:tcPr>
          <w:p>
            <w:pPr>
              <w:spacing w:after="0"/>
              <w:rPr>
                <w:sz w:val="1"/>
                <w:szCs w:val="1"/>
                <w:color w:val="auto"/>
              </w:rPr>
            </w:pPr>
          </w:p>
        </w:tc>
      </w:tr>
      <w:tr>
        <w:trPr>
          <w:trHeight w:val="128"/>
        </w:trPr>
        <w:tc>
          <w:tcPr>
            <w:tcW w:w="3440" w:type="dxa"/>
            <w:vAlign w:val="bottom"/>
          </w:tcPr>
          <w:p>
            <w:pPr>
              <w:ind w:left="220"/>
              <w:spacing w:after="0" w:line="119" w:lineRule="exact"/>
              <w:rPr>
                <w:sz w:val="20"/>
                <w:szCs w:val="20"/>
                <w:color w:val="auto"/>
              </w:rPr>
            </w:pPr>
            <w:r>
              <w:rPr>
                <w:rFonts w:ascii="Calibri" w:cs="Calibri" w:eastAsia="Calibri" w:hAnsi="Calibri"/>
                <w:sz w:val="10"/>
                <w:szCs w:val="10"/>
                <w:color w:val="auto"/>
              </w:rPr>
              <w:t>Accreton of redeemable noncontrolling interest to redempton value</w:t>
            </w:r>
          </w:p>
        </w:tc>
        <w:tc>
          <w:tcPr>
            <w:tcW w:w="60" w:type="dxa"/>
            <w:vAlign w:val="bottom"/>
          </w:tcPr>
          <w:p>
            <w:pPr>
              <w:spacing w:after="0"/>
              <w:rPr>
                <w:sz w:val="11"/>
                <w:szCs w:val="11"/>
                <w:color w:val="auto"/>
              </w:rPr>
            </w:pPr>
          </w:p>
        </w:tc>
        <w:tc>
          <w:tcPr>
            <w:tcW w:w="820" w:type="dxa"/>
            <w:vAlign w:val="bottom"/>
            <w:tcBorders>
              <w:right w:val="single" w:sz="8" w:color="auto"/>
            </w:tcBorders>
            <w:gridSpan w:val="2"/>
          </w:tcPr>
          <w:p>
            <w:pPr>
              <w:jc w:val="right"/>
              <w:ind w:right="100"/>
              <w:spacing w:after="0" w:line="119" w:lineRule="exact"/>
              <w:rPr>
                <w:sz w:val="20"/>
                <w:szCs w:val="20"/>
                <w:color w:val="auto"/>
              </w:rPr>
            </w:pPr>
            <w:r>
              <w:rPr>
                <w:rFonts w:ascii="Calibri" w:cs="Calibri" w:eastAsia="Calibri" w:hAnsi="Calibri"/>
                <w:sz w:val="10"/>
                <w:szCs w:val="10"/>
                <w:color w:val="auto"/>
              </w:rPr>
              <w:t>(109,398 )</w:t>
            </w:r>
          </w:p>
        </w:tc>
        <w:tc>
          <w:tcPr>
            <w:tcW w:w="100" w:type="dxa"/>
            <w:vAlign w:val="bottom"/>
          </w:tcPr>
          <w:p>
            <w:pPr>
              <w:spacing w:after="0"/>
              <w:rPr>
                <w:sz w:val="11"/>
                <w:szCs w:val="11"/>
                <w:color w:val="auto"/>
              </w:rPr>
            </w:pPr>
          </w:p>
        </w:tc>
        <w:tc>
          <w:tcPr>
            <w:tcW w:w="880" w:type="dxa"/>
            <w:vAlign w:val="bottom"/>
            <w:gridSpan w:val="2"/>
          </w:tcPr>
          <w:p>
            <w:pPr>
              <w:jc w:val="right"/>
              <w:ind w:right="240"/>
              <w:spacing w:after="0" w:line="119" w:lineRule="exact"/>
              <w:rPr>
                <w:sz w:val="20"/>
                <w:szCs w:val="20"/>
                <w:color w:val="auto"/>
              </w:rPr>
            </w:pPr>
            <w:r>
              <w:rPr>
                <w:rFonts w:ascii="Calibri" w:cs="Calibri" w:eastAsia="Calibri" w:hAnsi="Calibri"/>
                <w:sz w:val="10"/>
                <w:szCs w:val="10"/>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240"/>
              <w:spacing w:after="0" w:line="119" w:lineRule="exact"/>
              <w:rPr>
                <w:sz w:val="20"/>
                <w:szCs w:val="20"/>
                <w:color w:val="auto"/>
              </w:rPr>
            </w:pPr>
            <w:r>
              <w:rPr>
                <w:rFonts w:ascii="Calibri" w:cs="Calibri" w:eastAsia="Calibri" w:hAnsi="Calibri"/>
                <w:sz w:val="10"/>
                <w:szCs w:val="10"/>
                <w:color w:val="auto"/>
              </w:rPr>
              <w:t>—</w:t>
            </w:r>
          </w:p>
        </w:tc>
        <w:tc>
          <w:tcPr>
            <w:tcW w:w="900" w:type="dxa"/>
            <w:vAlign w:val="bottom"/>
            <w:gridSpan w:val="2"/>
          </w:tcPr>
          <w:p>
            <w:pPr>
              <w:jc w:val="right"/>
              <w:ind w:right="260"/>
              <w:spacing w:after="0" w:line="119" w:lineRule="exact"/>
              <w:rPr>
                <w:sz w:val="20"/>
                <w:szCs w:val="20"/>
                <w:color w:val="auto"/>
              </w:rPr>
            </w:pPr>
            <w:r>
              <w:rPr>
                <w:rFonts w:ascii="Calibri" w:cs="Calibri" w:eastAsia="Calibri" w:hAnsi="Calibri"/>
                <w:sz w:val="10"/>
                <w:szCs w:val="10"/>
                <w:color w:val="auto"/>
              </w:rPr>
              <w:t>—</w:t>
            </w:r>
          </w:p>
        </w:tc>
        <w:tc>
          <w:tcPr>
            <w:tcW w:w="480" w:type="dxa"/>
            <w:vAlign w:val="bottom"/>
          </w:tcPr>
          <w:p>
            <w:pPr>
              <w:spacing w:after="0"/>
              <w:rPr>
                <w:sz w:val="11"/>
                <w:szCs w:val="11"/>
                <w:color w:val="auto"/>
              </w:rPr>
            </w:pPr>
          </w:p>
        </w:tc>
        <w:tc>
          <w:tcPr>
            <w:tcW w:w="360" w:type="dxa"/>
            <w:vAlign w:val="bottom"/>
            <w:gridSpan w:val="2"/>
          </w:tcPr>
          <w:p>
            <w:pPr>
              <w:jc w:val="right"/>
              <w:ind w:right="240"/>
              <w:spacing w:after="0" w:line="119" w:lineRule="exact"/>
              <w:rPr>
                <w:sz w:val="20"/>
                <w:szCs w:val="20"/>
                <w:color w:val="auto"/>
              </w:rPr>
            </w:pPr>
            <w:r>
              <w:rPr>
                <w:rFonts w:ascii="Calibri" w:cs="Calibri" w:eastAsia="Calibri" w:hAnsi="Calibri"/>
                <w:sz w:val="10"/>
                <w:szCs w:val="10"/>
                <w:color w:val="auto"/>
              </w:rPr>
              <w:t>—</w:t>
            </w:r>
          </w:p>
        </w:tc>
        <w:tc>
          <w:tcPr>
            <w:tcW w:w="80" w:type="dxa"/>
            <w:vAlign w:val="bottom"/>
          </w:tcPr>
          <w:p>
            <w:pPr>
              <w:spacing w:after="0"/>
              <w:rPr>
                <w:sz w:val="11"/>
                <w:szCs w:val="11"/>
                <w:color w:val="auto"/>
              </w:rPr>
            </w:pPr>
          </w:p>
        </w:tc>
        <w:tc>
          <w:tcPr>
            <w:tcW w:w="780" w:type="dxa"/>
            <w:vAlign w:val="bottom"/>
            <w:gridSpan w:val="2"/>
          </w:tcPr>
          <w:p>
            <w:pPr>
              <w:jc w:val="right"/>
              <w:ind w:right="240"/>
              <w:spacing w:after="0" w:line="119" w:lineRule="exact"/>
              <w:rPr>
                <w:sz w:val="20"/>
                <w:szCs w:val="20"/>
                <w:color w:val="auto"/>
              </w:rPr>
            </w:pPr>
            <w:r>
              <w:rPr>
                <w:rFonts w:ascii="Calibri" w:cs="Calibri" w:eastAsia="Calibri" w:hAnsi="Calibri"/>
                <w:sz w:val="10"/>
                <w:szCs w:val="10"/>
                <w:color w:val="auto"/>
              </w:rPr>
              <w:t>—</w:t>
            </w:r>
          </w:p>
        </w:tc>
        <w:tc>
          <w:tcPr>
            <w:tcW w:w="80" w:type="dxa"/>
            <w:vAlign w:val="bottom"/>
          </w:tcPr>
          <w:p>
            <w:pPr>
              <w:spacing w:after="0"/>
              <w:rPr>
                <w:sz w:val="11"/>
                <w:szCs w:val="11"/>
                <w:color w:val="auto"/>
              </w:rPr>
            </w:pPr>
          </w:p>
        </w:tc>
        <w:tc>
          <w:tcPr>
            <w:tcW w:w="540" w:type="dxa"/>
            <w:vAlign w:val="bottom"/>
          </w:tcPr>
          <w:p>
            <w:pPr>
              <w:jc w:val="right"/>
              <w:spacing w:after="0" w:line="119" w:lineRule="exact"/>
              <w:rPr>
                <w:sz w:val="20"/>
                <w:szCs w:val="20"/>
                <w:color w:val="auto"/>
              </w:rPr>
            </w:pPr>
            <w:r>
              <w:rPr>
                <w:rFonts w:ascii="Calibri" w:cs="Calibri" w:eastAsia="Calibri" w:hAnsi="Calibri"/>
                <w:sz w:val="10"/>
                <w:szCs w:val="10"/>
                <w:color w:val="auto"/>
              </w:rPr>
              <w:t>109,398</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220"/>
              <w:spacing w:after="0" w:line="119" w:lineRule="exact"/>
              <w:rPr>
                <w:sz w:val="20"/>
                <w:szCs w:val="20"/>
                <w:color w:val="auto"/>
              </w:rPr>
            </w:pPr>
            <w:r>
              <w:rPr>
                <w:rFonts w:ascii="Calibri" w:cs="Calibri" w:eastAsia="Calibri" w:hAnsi="Calibri"/>
                <w:sz w:val="10"/>
                <w:szCs w:val="10"/>
                <w:color w:val="auto"/>
              </w:rPr>
              <w:t>—</w:t>
            </w:r>
          </w:p>
        </w:tc>
        <w:tc>
          <w:tcPr>
            <w:tcW w:w="60" w:type="dxa"/>
            <w:vAlign w:val="bottom"/>
          </w:tcPr>
          <w:p>
            <w:pPr>
              <w:spacing w:after="0"/>
              <w:rPr>
                <w:sz w:val="11"/>
                <w:szCs w:val="11"/>
                <w:color w:val="auto"/>
              </w:rPr>
            </w:pPr>
          </w:p>
        </w:tc>
        <w:tc>
          <w:tcPr>
            <w:tcW w:w="640" w:type="dxa"/>
            <w:vAlign w:val="bottom"/>
          </w:tcPr>
          <w:p>
            <w:pPr>
              <w:jc w:val="right"/>
              <w:spacing w:after="0" w:line="119" w:lineRule="exact"/>
              <w:rPr>
                <w:sz w:val="20"/>
                <w:szCs w:val="20"/>
                <w:color w:val="auto"/>
              </w:rPr>
            </w:pPr>
            <w:r>
              <w:rPr>
                <w:rFonts w:ascii="Calibri" w:cs="Calibri" w:eastAsia="Calibri" w:hAnsi="Calibri"/>
                <w:sz w:val="10"/>
                <w:szCs w:val="10"/>
                <w:color w:val="auto"/>
              </w:rPr>
              <w:t>109,398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440" w:type="dxa"/>
            <w:vAlign w:val="bottom"/>
            <w:shd w:val="clear" w:color="auto" w:fill="CFF0FC"/>
          </w:tcPr>
          <w:p>
            <w:pPr>
              <w:ind w:left="220"/>
              <w:spacing w:after="0"/>
              <w:rPr>
                <w:sz w:val="20"/>
                <w:szCs w:val="20"/>
                <w:color w:val="auto"/>
              </w:rPr>
            </w:pPr>
            <w:r>
              <w:rPr>
                <w:rFonts w:ascii="Calibri" w:cs="Calibri" w:eastAsia="Calibri" w:hAnsi="Calibri"/>
                <w:sz w:val="10"/>
                <w:szCs w:val="10"/>
                <w:color w:val="auto"/>
              </w:rPr>
              <w:t>Tax distributons to redeemable noncontrolling interest holders</w:t>
            </w:r>
          </w:p>
        </w:tc>
        <w:tc>
          <w:tcPr>
            <w:tcW w:w="60" w:type="dxa"/>
            <w:vAlign w:val="bottom"/>
            <w:shd w:val="clear" w:color="auto" w:fill="CFF0FC"/>
          </w:tcPr>
          <w:p>
            <w:pPr>
              <w:spacing w:after="0"/>
              <w:rPr>
                <w:sz w:val="12"/>
                <w:szCs w:val="12"/>
                <w:color w:val="auto"/>
              </w:rPr>
            </w:pPr>
          </w:p>
        </w:tc>
        <w:tc>
          <w:tcPr>
            <w:tcW w:w="820" w:type="dxa"/>
            <w:vAlign w:val="bottom"/>
            <w:tcBorders>
              <w:right w:val="single" w:sz="8" w:color="auto"/>
            </w:tcBorders>
            <w:gridSpan w:val="2"/>
            <w:shd w:val="clear" w:color="auto" w:fill="CFF0FC"/>
          </w:tcPr>
          <w:p>
            <w:pPr>
              <w:jc w:val="right"/>
              <w:ind w:right="100"/>
              <w:spacing w:after="0"/>
              <w:rPr>
                <w:sz w:val="20"/>
                <w:szCs w:val="20"/>
                <w:color w:val="auto"/>
              </w:rPr>
            </w:pPr>
            <w:r>
              <w:rPr>
                <w:rFonts w:ascii="Calibri" w:cs="Calibri" w:eastAsia="Calibri" w:hAnsi="Calibri"/>
                <w:sz w:val="10"/>
                <w:szCs w:val="10"/>
                <w:color w:val="auto"/>
              </w:rPr>
              <w:t>(11,228 )</w:t>
            </w: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40"/>
              <w:spacing w:after="0"/>
              <w:rPr>
                <w:sz w:val="20"/>
                <w:szCs w:val="20"/>
                <w:color w:val="auto"/>
              </w:rPr>
            </w:pPr>
            <w:r>
              <w:rPr>
                <w:rFonts w:ascii="Calibri" w:cs="Calibri" w:eastAsia="Calibri" w:hAnsi="Calibri"/>
                <w:sz w:val="10"/>
                <w:szCs w:val="10"/>
                <w:color w:val="auto"/>
              </w:rPr>
              <w:t>—</w:t>
            </w:r>
          </w:p>
        </w:tc>
        <w:tc>
          <w:tcPr>
            <w:tcW w:w="10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240"/>
              <w:spacing w:after="0"/>
              <w:rPr>
                <w:sz w:val="20"/>
                <w:szCs w:val="20"/>
                <w:color w:val="auto"/>
              </w:rPr>
            </w:pPr>
            <w:r>
              <w:rPr>
                <w:rFonts w:ascii="Calibri" w:cs="Calibri" w:eastAsia="Calibri" w:hAnsi="Calibri"/>
                <w:sz w:val="10"/>
                <w:szCs w:val="10"/>
                <w:color w:val="auto"/>
              </w:rPr>
              <w:t>—</w:t>
            </w:r>
          </w:p>
        </w:tc>
        <w:tc>
          <w:tcPr>
            <w:tcW w:w="900" w:type="dxa"/>
            <w:vAlign w:val="bottom"/>
            <w:gridSpan w:val="2"/>
            <w:shd w:val="clear" w:color="auto" w:fill="CFF0FC"/>
          </w:tcPr>
          <w:p>
            <w:pPr>
              <w:jc w:val="right"/>
              <w:ind w:right="260"/>
              <w:spacing w:after="0"/>
              <w:rPr>
                <w:sz w:val="20"/>
                <w:szCs w:val="20"/>
                <w:color w:val="auto"/>
              </w:rPr>
            </w:pPr>
            <w:r>
              <w:rPr>
                <w:rFonts w:ascii="Calibri" w:cs="Calibri" w:eastAsia="Calibri" w:hAnsi="Calibri"/>
                <w:sz w:val="10"/>
                <w:szCs w:val="10"/>
                <w:color w:val="auto"/>
              </w:rPr>
              <w:t>—</w:t>
            </w:r>
          </w:p>
        </w:tc>
        <w:tc>
          <w:tcPr>
            <w:tcW w:w="48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240"/>
              <w:spacing w:after="0"/>
              <w:rPr>
                <w:sz w:val="20"/>
                <w:szCs w:val="20"/>
                <w:color w:val="auto"/>
              </w:rPr>
            </w:pPr>
            <w:r>
              <w:rPr>
                <w:rFonts w:ascii="Calibri" w:cs="Calibri" w:eastAsia="Calibri" w:hAnsi="Calibri"/>
                <w:sz w:val="10"/>
                <w:szCs w:val="10"/>
                <w:color w:val="auto"/>
              </w:rPr>
              <w:t>—</w:t>
            </w:r>
          </w:p>
        </w:tc>
        <w:tc>
          <w:tcPr>
            <w:tcW w:w="8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40"/>
              <w:spacing w:after="0"/>
              <w:rPr>
                <w:sz w:val="20"/>
                <w:szCs w:val="20"/>
                <w:color w:val="auto"/>
              </w:rPr>
            </w:pPr>
            <w:r>
              <w:rPr>
                <w:rFonts w:ascii="Calibri" w:cs="Calibri" w:eastAsia="Calibri" w:hAnsi="Calibri"/>
                <w:sz w:val="10"/>
                <w:szCs w:val="10"/>
                <w:color w:val="auto"/>
              </w:rPr>
              <w:t>—</w:t>
            </w:r>
          </w:p>
        </w:tc>
        <w:tc>
          <w:tcPr>
            <w:tcW w:w="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220"/>
              <w:spacing w:after="0"/>
              <w:rPr>
                <w:sz w:val="20"/>
                <w:szCs w:val="20"/>
                <w:color w:val="auto"/>
              </w:rPr>
            </w:pPr>
            <w:r>
              <w:rPr>
                <w:rFonts w:ascii="Calibri" w:cs="Calibri" w:eastAsia="Calibri" w:hAnsi="Calibri"/>
                <w:sz w:val="10"/>
                <w:szCs w:val="10"/>
                <w:color w:val="auto"/>
              </w:rPr>
              <w:t>—</w:t>
            </w:r>
          </w:p>
        </w:tc>
        <w:tc>
          <w:tcPr>
            <w:tcW w:w="6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20"/>
              <w:spacing w:after="0"/>
              <w:rPr>
                <w:sz w:val="20"/>
                <w:szCs w:val="20"/>
                <w:color w:val="auto"/>
              </w:rPr>
            </w:pPr>
            <w:r>
              <w:rPr>
                <w:rFonts w:ascii="Calibri" w:cs="Calibri" w:eastAsia="Calibri" w:hAnsi="Calibri"/>
                <w:sz w:val="10"/>
                <w:szCs w:val="10"/>
                <w:color w:val="auto"/>
              </w:rPr>
              <w:t>—</w:t>
            </w:r>
          </w:p>
        </w:tc>
        <w:tc>
          <w:tcPr>
            <w:tcW w:w="6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20"/>
              <w:spacing w:after="0"/>
              <w:rPr>
                <w:sz w:val="20"/>
                <w:szCs w:val="20"/>
                <w:color w:val="auto"/>
              </w:rPr>
            </w:pPr>
            <w:r>
              <w:rPr>
                <w:rFonts w:ascii="Calibri" w:cs="Calibri" w:eastAsia="Calibri" w:hAnsi="Calibri"/>
                <w:sz w:val="10"/>
                <w:szCs w:val="10"/>
                <w:color w:val="auto"/>
              </w:rPr>
              <w:t>—</w:t>
            </w:r>
          </w:p>
        </w:tc>
        <w:tc>
          <w:tcPr>
            <w:tcW w:w="0" w:type="dxa"/>
            <w:vAlign w:val="bottom"/>
          </w:tcPr>
          <w:p>
            <w:pPr>
              <w:spacing w:after="0"/>
              <w:rPr>
                <w:sz w:val="1"/>
                <w:szCs w:val="1"/>
                <w:color w:val="auto"/>
              </w:rPr>
            </w:pPr>
          </w:p>
        </w:tc>
      </w:tr>
      <w:tr>
        <w:trPr>
          <w:trHeight w:val="128"/>
        </w:trPr>
        <w:tc>
          <w:tcPr>
            <w:tcW w:w="3440" w:type="dxa"/>
            <w:vAlign w:val="bottom"/>
          </w:tcPr>
          <w:p>
            <w:pPr>
              <w:ind w:left="220"/>
              <w:spacing w:after="0" w:line="119" w:lineRule="exact"/>
              <w:rPr>
                <w:sz w:val="20"/>
                <w:szCs w:val="20"/>
                <w:color w:val="auto"/>
              </w:rPr>
            </w:pPr>
            <w:r>
              <w:rPr>
                <w:rFonts w:ascii="Calibri" w:cs="Calibri" w:eastAsia="Calibri" w:hAnsi="Calibri"/>
                <w:sz w:val="10"/>
                <w:szCs w:val="10"/>
                <w:color w:val="auto"/>
              </w:rPr>
              <w:t>Foreign currency translaton adjustment</w:t>
            </w:r>
          </w:p>
        </w:tc>
        <w:tc>
          <w:tcPr>
            <w:tcW w:w="60" w:type="dxa"/>
            <w:vAlign w:val="bottom"/>
          </w:tcPr>
          <w:p>
            <w:pPr>
              <w:spacing w:after="0"/>
              <w:rPr>
                <w:sz w:val="11"/>
                <w:szCs w:val="11"/>
                <w:color w:val="auto"/>
              </w:rPr>
            </w:pPr>
          </w:p>
        </w:tc>
        <w:tc>
          <w:tcPr>
            <w:tcW w:w="680" w:type="dxa"/>
            <w:vAlign w:val="bottom"/>
          </w:tcPr>
          <w:p>
            <w:pPr>
              <w:jc w:val="right"/>
              <w:spacing w:after="0" w:line="119" w:lineRule="exact"/>
              <w:rPr>
                <w:sz w:val="20"/>
                <w:szCs w:val="20"/>
                <w:color w:val="auto"/>
              </w:rPr>
            </w:pPr>
            <w:r>
              <w:rPr>
                <w:rFonts w:ascii="Calibri" w:cs="Calibri" w:eastAsia="Calibri" w:hAnsi="Calibri"/>
                <w:sz w:val="10"/>
                <w:szCs w:val="10"/>
                <w:color w:val="auto"/>
              </w:rPr>
              <w:t>—</w:t>
            </w:r>
          </w:p>
        </w:tc>
        <w:tc>
          <w:tcPr>
            <w:tcW w:w="1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19" w:lineRule="exact"/>
              <w:rPr>
                <w:sz w:val="20"/>
                <w:szCs w:val="20"/>
                <w:color w:val="auto"/>
              </w:rPr>
            </w:pPr>
            <w:r>
              <w:rPr>
                <w:rFonts w:ascii="Calibri" w:cs="Calibri" w:eastAsia="Calibri" w:hAnsi="Calibri"/>
                <w:sz w:val="10"/>
                <w:szCs w:val="10"/>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19" w:lineRule="exact"/>
              <w:rPr>
                <w:sz w:val="20"/>
                <w:szCs w:val="20"/>
                <w:color w:val="auto"/>
              </w:rPr>
            </w:pPr>
            <w:r>
              <w:rPr>
                <w:rFonts w:ascii="Calibri" w:cs="Calibri" w:eastAsia="Calibri" w:hAnsi="Calibri"/>
                <w:sz w:val="10"/>
                <w:szCs w:val="10"/>
                <w:color w:val="auto"/>
              </w:rPr>
              <w:t>—</w:t>
            </w:r>
          </w:p>
        </w:tc>
        <w:tc>
          <w:tcPr>
            <w:tcW w:w="240" w:type="dxa"/>
            <w:vAlign w:val="bottom"/>
          </w:tcPr>
          <w:p>
            <w:pPr>
              <w:spacing w:after="0"/>
              <w:rPr>
                <w:sz w:val="11"/>
                <w:szCs w:val="11"/>
                <w:color w:val="auto"/>
              </w:rPr>
            </w:pPr>
          </w:p>
        </w:tc>
        <w:tc>
          <w:tcPr>
            <w:tcW w:w="660" w:type="dxa"/>
            <w:vAlign w:val="bottom"/>
          </w:tcPr>
          <w:p>
            <w:pPr>
              <w:jc w:val="right"/>
              <w:spacing w:after="0" w:line="119" w:lineRule="exact"/>
              <w:rPr>
                <w:sz w:val="20"/>
                <w:szCs w:val="20"/>
                <w:color w:val="auto"/>
              </w:rPr>
            </w:pPr>
            <w:r>
              <w:rPr>
                <w:rFonts w:ascii="Calibri" w:cs="Calibri" w:eastAsia="Calibri" w:hAnsi="Calibri"/>
                <w:sz w:val="10"/>
                <w:szCs w:val="10"/>
                <w:color w:val="auto"/>
              </w:rPr>
              <w:t>—</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jc w:val="right"/>
              <w:spacing w:after="0" w:line="119" w:lineRule="exact"/>
              <w:rPr>
                <w:sz w:val="20"/>
                <w:szCs w:val="20"/>
                <w:color w:val="auto"/>
              </w:rPr>
            </w:pPr>
            <w:r>
              <w:rPr>
                <w:rFonts w:ascii="Calibri" w:cs="Calibri" w:eastAsia="Calibri" w:hAnsi="Calibri"/>
                <w:sz w:val="10"/>
                <w:szCs w:val="10"/>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line="119" w:lineRule="exact"/>
              <w:rPr>
                <w:sz w:val="20"/>
                <w:szCs w:val="20"/>
                <w:color w:val="auto"/>
              </w:rPr>
            </w:pPr>
            <w:r>
              <w:rPr>
                <w:rFonts w:ascii="Calibri" w:cs="Calibri" w:eastAsia="Calibri" w:hAnsi="Calibri"/>
                <w:sz w:val="10"/>
                <w:szCs w:val="10"/>
                <w:color w:val="auto"/>
              </w:rPr>
              <w:t>—</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line="119" w:lineRule="exact"/>
              <w:rPr>
                <w:sz w:val="20"/>
                <w:szCs w:val="20"/>
                <w:color w:val="auto"/>
              </w:rPr>
            </w:pPr>
            <w:r>
              <w:rPr>
                <w:rFonts w:ascii="Calibri" w:cs="Calibri" w:eastAsia="Calibri" w:hAnsi="Calibri"/>
                <w:sz w:val="10"/>
                <w:szCs w:val="10"/>
                <w:color w:val="auto"/>
              </w:rPr>
              <w:t>—</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160"/>
              <w:spacing w:after="0" w:line="119" w:lineRule="exact"/>
              <w:rPr>
                <w:sz w:val="20"/>
                <w:szCs w:val="20"/>
                <w:color w:val="auto"/>
              </w:rPr>
            </w:pPr>
            <w:r>
              <w:rPr>
                <w:rFonts w:ascii="Calibri" w:cs="Calibri" w:eastAsia="Calibri" w:hAnsi="Calibri"/>
                <w:sz w:val="10"/>
                <w:szCs w:val="10"/>
                <w:color w:val="auto"/>
              </w:rPr>
              <w:t>(1,241 )</w:t>
            </w:r>
          </w:p>
        </w:tc>
        <w:tc>
          <w:tcPr>
            <w:tcW w:w="60" w:type="dxa"/>
            <w:vAlign w:val="bottom"/>
          </w:tcPr>
          <w:p>
            <w:pPr>
              <w:spacing w:after="0"/>
              <w:rPr>
                <w:sz w:val="11"/>
                <w:szCs w:val="11"/>
                <w:color w:val="auto"/>
              </w:rPr>
            </w:pPr>
          </w:p>
        </w:tc>
        <w:tc>
          <w:tcPr>
            <w:tcW w:w="740" w:type="dxa"/>
            <w:vAlign w:val="bottom"/>
            <w:gridSpan w:val="2"/>
          </w:tcPr>
          <w:p>
            <w:pPr>
              <w:jc w:val="right"/>
              <w:ind w:right="60"/>
              <w:spacing w:after="0" w:line="119" w:lineRule="exact"/>
              <w:rPr>
                <w:sz w:val="20"/>
                <w:szCs w:val="20"/>
                <w:color w:val="auto"/>
              </w:rPr>
            </w:pPr>
            <w:r>
              <w:rPr>
                <w:rFonts w:ascii="Calibri" w:cs="Calibri" w:eastAsia="Calibri" w:hAnsi="Calibri"/>
                <w:sz w:val="10"/>
                <w:szCs w:val="10"/>
                <w:color w:val="auto"/>
              </w:rPr>
              <w:t>(1,241 )</w:t>
            </w:r>
          </w:p>
        </w:tc>
        <w:tc>
          <w:tcPr>
            <w:tcW w:w="0" w:type="dxa"/>
            <w:vAlign w:val="bottom"/>
          </w:tcPr>
          <w:p>
            <w:pPr>
              <w:spacing w:after="0"/>
              <w:rPr>
                <w:sz w:val="1"/>
                <w:szCs w:val="1"/>
                <w:color w:val="auto"/>
              </w:rPr>
            </w:pPr>
          </w:p>
        </w:tc>
      </w:tr>
      <w:tr>
        <w:trPr>
          <w:trHeight w:val="21"/>
        </w:trPr>
        <w:tc>
          <w:tcPr>
            <w:tcW w:w="34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3440" w:type="dxa"/>
            <w:vAlign w:val="bottom"/>
            <w:shd w:val="clear" w:color="auto" w:fill="CFF0FC"/>
          </w:tcPr>
          <w:p>
            <w:pPr>
              <w:spacing w:after="0" w:line="119" w:lineRule="exact"/>
              <w:rPr>
                <w:sz w:val="20"/>
                <w:szCs w:val="20"/>
                <w:color w:val="auto"/>
              </w:rPr>
            </w:pPr>
            <w:r>
              <w:rPr>
                <w:rFonts w:ascii="Calibri" w:cs="Calibri" w:eastAsia="Calibri" w:hAnsi="Calibri"/>
                <w:sz w:val="10"/>
                <w:szCs w:val="10"/>
                <w:color w:val="auto"/>
              </w:rPr>
              <w:t>Balance as of December 31, 2022</w:t>
            </w:r>
          </w:p>
        </w:tc>
        <w:tc>
          <w:tcPr>
            <w:tcW w:w="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19" w:lineRule="exact"/>
              <w:rPr>
                <w:sz w:val="20"/>
                <w:szCs w:val="20"/>
                <w:color w:val="auto"/>
              </w:rPr>
            </w:pPr>
            <w:r>
              <w:rPr>
                <w:rFonts w:ascii="Calibri" w:cs="Calibri" w:eastAsia="Calibri" w:hAnsi="Calibri"/>
                <w:sz w:val="10"/>
                <w:szCs w:val="10"/>
                <w:color w:val="auto"/>
              </w:rPr>
              <w:t>36,749</w:t>
            </w:r>
          </w:p>
        </w:tc>
        <w:tc>
          <w:tcPr>
            <w:tcW w:w="14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19" w:lineRule="exact"/>
              <w:rPr>
                <w:sz w:val="20"/>
                <w:szCs w:val="20"/>
                <w:color w:val="auto"/>
              </w:rPr>
            </w:pPr>
            <w:r>
              <w:rPr>
                <w:rFonts w:ascii="Calibri" w:cs="Calibri" w:eastAsia="Calibri" w:hAnsi="Calibri"/>
                <w:sz w:val="10"/>
                <w:szCs w:val="10"/>
                <w:color w:val="auto"/>
              </w:rPr>
              <w:t>101,636,649</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line="119" w:lineRule="exact"/>
              <w:rPr>
                <w:sz w:val="20"/>
                <w:szCs w:val="20"/>
                <w:color w:val="auto"/>
              </w:rPr>
            </w:pPr>
            <w:r>
              <w:rPr>
                <w:rFonts w:ascii="Calibri" w:cs="Calibri" w:eastAsia="Calibri" w:hAnsi="Calibri"/>
                <w:sz w:val="10"/>
                <w:szCs w:val="10"/>
                <w:color w:val="auto"/>
              </w:rPr>
              <w:t>102</w:t>
            </w: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19" w:lineRule="exact"/>
              <w:rPr>
                <w:sz w:val="20"/>
                <w:szCs w:val="20"/>
                <w:color w:val="auto"/>
              </w:rPr>
            </w:pPr>
            <w:r>
              <w:rPr>
                <w:rFonts w:ascii="Calibri" w:cs="Calibri" w:eastAsia="Calibri" w:hAnsi="Calibri"/>
                <w:sz w:val="10"/>
                <w:szCs w:val="10"/>
                <w:color w:val="auto"/>
              </w:rPr>
              <w:t>15,999,173</w:t>
            </w:r>
          </w:p>
        </w:tc>
        <w:tc>
          <w:tcPr>
            <w:tcW w:w="24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line="119" w:lineRule="exact"/>
              <w:rPr>
                <w:sz w:val="20"/>
                <w:szCs w:val="20"/>
                <w:color w:val="auto"/>
              </w:rPr>
            </w:pPr>
            <w:r>
              <w:rPr>
                <w:rFonts w:ascii="Calibri" w:cs="Calibri" w:eastAsia="Calibri" w:hAnsi="Calibri"/>
                <w:sz w:val="10"/>
                <w:szCs w:val="10"/>
                <w:color w:val="auto"/>
                <w:w w:val="98"/>
              </w:rPr>
              <w:t>16</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19" w:lineRule="exact"/>
              <w:rPr>
                <w:sz w:val="20"/>
                <w:szCs w:val="20"/>
                <w:color w:val="auto"/>
              </w:rPr>
            </w:pPr>
            <w:r>
              <w:rPr>
                <w:rFonts w:ascii="Calibri" w:cs="Calibri" w:eastAsia="Calibri" w:hAnsi="Calibri"/>
                <w:sz w:val="10"/>
                <w:szCs w:val="10"/>
                <w:color w:val="auto"/>
              </w:rPr>
              <w:t>413,092</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19" w:lineRule="exact"/>
              <w:rPr>
                <w:sz w:val="20"/>
                <w:szCs w:val="20"/>
                <w:color w:val="auto"/>
              </w:rPr>
            </w:pPr>
            <w:r>
              <w:rPr>
                <w:rFonts w:ascii="Calibri" w:cs="Calibri" w:eastAsia="Calibri" w:hAnsi="Calibri"/>
                <w:sz w:val="10"/>
                <w:szCs w:val="10"/>
                <w:color w:val="auto"/>
              </w:rPr>
              <w:t>323,043</w:t>
            </w: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60"/>
              <w:spacing w:after="0" w:line="119" w:lineRule="exact"/>
              <w:rPr>
                <w:sz w:val="20"/>
                <w:szCs w:val="20"/>
                <w:color w:val="auto"/>
              </w:rPr>
            </w:pPr>
            <w:r>
              <w:rPr>
                <w:rFonts w:ascii="Calibri" w:cs="Calibri" w:eastAsia="Calibri" w:hAnsi="Calibri"/>
                <w:sz w:val="10"/>
                <w:szCs w:val="10"/>
                <w:color w:val="auto"/>
              </w:rPr>
              <w:t>(1,644 )</w:t>
            </w:r>
          </w:p>
        </w:tc>
        <w:tc>
          <w:tcPr>
            <w:tcW w:w="6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19" w:lineRule="exact"/>
              <w:rPr>
                <w:sz w:val="20"/>
                <w:szCs w:val="20"/>
                <w:color w:val="auto"/>
              </w:rPr>
            </w:pPr>
            <w:r>
              <w:rPr>
                <w:rFonts w:ascii="Calibri" w:cs="Calibri" w:eastAsia="Calibri" w:hAnsi="Calibri"/>
                <w:sz w:val="10"/>
                <w:szCs w:val="10"/>
                <w:color w:val="auto"/>
              </w:rPr>
              <w:t>734,609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440" w:type="dxa"/>
            <w:vAlign w:val="bottom"/>
          </w:tcPr>
          <w:p>
            <w:pPr>
              <w:ind w:left="220"/>
              <w:spacing w:after="0" w:line="119" w:lineRule="exact"/>
              <w:rPr>
                <w:sz w:val="20"/>
                <w:szCs w:val="20"/>
                <w:color w:val="auto"/>
              </w:rPr>
            </w:pPr>
            <w:r>
              <w:rPr>
                <w:rFonts w:ascii="Calibri" w:cs="Calibri" w:eastAsia="Calibri" w:hAnsi="Calibri"/>
                <w:sz w:val="10"/>
                <w:szCs w:val="10"/>
                <w:color w:val="auto"/>
              </w:rPr>
              <w:t>Net (loss) income</w:t>
            </w:r>
          </w:p>
        </w:tc>
        <w:tc>
          <w:tcPr>
            <w:tcW w:w="60" w:type="dxa"/>
            <w:vAlign w:val="bottom"/>
          </w:tcPr>
          <w:p>
            <w:pPr>
              <w:spacing w:after="0"/>
              <w:rPr>
                <w:sz w:val="11"/>
                <w:szCs w:val="11"/>
                <w:color w:val="auto"/>
              </w:rPr>
            </w:pPr>
          </w:p>
        </w:tc>
        <w:tc>
          <w:tcPr>
            <w:tcW w:w="820" w:type="dxa"/>
            <w:vAlign w:val="bottom"/>
            <w:tcBorders>
              <w:right w:val="single" w:sz="8" w:color="auto"/>
            </w:tcBorders>
            <w:gridSpan w:val="2"/>
          </w:tcPr>
          <w:p>
            <w:pPr>
              <w:jc w:val="right"/>
              <w:ind w:right="100"/>
              <w:spacing w:after="0" w:line="119" w:lineRule="exact"/>
              <w:rPr>
                <w:sz w:val="20"/>
                <w:szCs w:val="20"/>
                <w:color w:val="auto"/>
              </w:rPr>
            </w:pPr>
            <w:r>
              <w:rPr>
                <w:rFonts w:ascii="Calibri" w:cs="Calibri" w:eastAsia="Calibri" w:hAnsi="Calibri"/>
                <w:sz w:val="10"/>
                <w:szCs w:val="10"/>
                <w:color w:val="auto"/>
              </w:rPr>
              <w:t>(14,889 )</w:t>
            </w:r>
          </w:p>
        </w:tc>
        <w:tc>
          <w:tcPr>
            <w:tcW w:w="100" w:type="dxa"/>
            <w:vAlign w:val="bottom"/>
          </w:tcPr>
          <w:p>
            <w:pPr>
              <w:spacing w:after="0"/>
              <w:rPr>
                <w:sz w:val="11"/>
                <w:szCs w:val="11"/>
                <w:color w:val="auto"/>
              </w:rPr>
            </w:pPr>
          </w:p>
        </w:tc>
        <w:tc>
          <w:tcPr>
            <w:tcW w:w="880" w:type="dxa"/>
            <w:vAlign w:val="bottom"/>
            <w:gridSpan w:val="2"/>
          </w:tcPr>
          <w:p>
            <w:pPr>
              <w:jc w:val="right"/>
              <w:ind w:right="240"/>
              <w:spacing w:after="0" w:line="119" w:lineRule="exact"/>
              <w:rPr>
                <w:sz w:val="20"/>
                <w:szCs w:val="20"/>
                <w:color w:val="auto"/>
              </w:rPr>
            </w:pPr>
            <w:r>
              <w:rPr>
                <w:rFonts w:ascii="Calibri" w:cs="Calibri" w:eastAsia="Calibri" w:hAnsi="Calibri"/>
                <w:sz w:val="10"/>
                <w:szCs w:val="10"/>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240"/>
              <w:spacing w:after="0" w:line="119" w:lineRule="exact"/>
              <w:rPr>
                <w:sz w:val="20"/>
                <w:szCs w:val="20"/>
                <w:color w:val="auto"/>
              </w:rPr>
            </w:pPr>
            <w:r>
              <w:rPr>
                <w:rFonts w:ascii="Calibri" w:cs="Calibri" w:eastAsia="Calibri" w:hAnsi="Calibri"/>
                <w:sz w:val="10"/>
                <w:szCs w:val="10"/>
                <w:color w:val="auto"/>
              </w:rPr>
              <w:t>—</w:t>
            </w:r>
          </w:p>
        </w:tc>
        <w:tc>
          <w:tcPr>
            <w:tcW w:w="900" w:type="dxa"/>
            <w:vAlign w:val="bottom"/>
            <w:gridSpan w:val="2"/>
          </w:tcPr>
          <w:p>
            <w:pPr>
              <w:jc w:val="right"/>
              <w:ind w:right="260"/>
              <w:spacing w:after="0" w:line="119" w:lineRule="exact"/>
              <w:rPr>
                <w:sz w:val="20"/>
                <w:szCs w:val="20"/>
                <w:color w:val="auto"/>
              </w:rPr>
            </w:pPr>
            <w:r>
              <w:rPr>
                <w:rFonts w:ascii="Calibri" w:cs="Calibri" w:eastAsia="Calibri" w:hAnsi="Calibri"/>
                <w:sz w:val="10"/>
                <w:szCs w:val="10"/>
                <w:color w:val="auto"/>
              </w:rPr>
              <w:t>—</w:t>
            </w:r>
          </w:p>
        </w:tc>
        <w:tc>
          <w:tcPr>
            <w:tcW w:w="480" w:type="dxa"/>
            <w:vAlign w:val="bottom"/>
          </w:tcPr>
          <w:p>
            <w:pPr>
              <w:spacing w:after="0"/>
              <w:rPr>
                <w:sz w:val="11"/>
                <w:szCs w:val="11"/>
                <w:color w:val="auto"/>
              </w:rPr>
            </w:pPr>
          </w:p>
        </w:tc>
        <w:tc>
          <w:tcPr>
            <w:tcW w:w="360" w:type="dxa"/>
            <w:vAlign w:val="bottom"/>
            <w:gridSpan w:val="2"/>
          </w:tcPr>
          <w:p>
            <w:pPr>
              <w:jc w:val="right"/>
              <w:ind w:right="240"/>
              <w:spacing w:after="0" w:line="119" w:lineRule="exact"/>
              <w:rPr>
                <w:sz w:val="20"/>
                <w:szCs w:val="20"/>
                <w:color w:val="auto"/>
              </w:rPr>
            </w:pPr>
            <w:r>
              <w:rPr>
                <w:rFonts w:ascii="Calibri" w:cs="Calibri" w:eastAsia="Calibri" w:hAnsi="Calibri"/>
                <w:sz w:val="10"/>
                <w:szCs w:val="10"/>
                <w:color w:val="auto"/>
              </w:rPr>
              <w:t>—</w:t>
            </w:r>
          </w:p>
        </w:tc>
        <w:tc>
          <w:tcPr>
            <w:tcW w:w="80" w:type="dxa"/>
            <w:vAlign w:val="bottom"/>
          </w:tcPr>
          <w:p>
            <w:pPr>
              <w:spacing w:after="0"/>
              <w:rPr>
                <w:sz w:val="11"/>
                <w:szCs w:val="11"/>
                <w:color w:val="auto"/>
              </w:rPr>
            </w:pPr>
          </w:p>
        </w:tc>
        <w:tc>
          <w:tcPr>
            <w:tcW w:w="780" w:type="dxa"/>
            <w:vAlign w:val="bottom"/>
            <w:gridSpan w:val="2"/>
          </w:tcPr>
          <w:p>
            <w:pPr>
              <w:jc w:val="right"/>
              <w:ind w:right="240"/>
              <w:spacing w:after="0" w:line="119" w:lineRule="exact"/>
              <w:rPr>
                <w:sz w:val="20"/>
                <w:szCs w:val="20"/>
                <w:color w:val="auto"/>
              </w:rPr>
            </w:pPr>
            <w:r>
              <w:rPr>
                <w:rFonts w:ascii="Calibri" w:cs="Calibri" w:eastAsia="Calibri" w:hAnsi="Calibri"/>
                <w:sz w:val="10"/>
                <w:szCs w:val="10"/>
                <w:color w:val="auto"/>
              </w:rPr>
              <w:t>—</w:t>
            </w:r>
          </w:p>
        </w:tc>
        <w:tc>
          <w:tcPr>
            <w:tcW w:w="80" w:type="dxa"/>
            <w:vAlign w:val="bottom"/>
          </w:tcPr>
          <w:p>
            <w:pPr>
              <w:spacing w:after="0"/>
              <w:rPr>
                <w:sz w:val="11"/>
                <w:szCs w:val="11"/>
                <w:color w:val="auto"/>
              </w:rPr>
            </w:pPr>
          </w:p>
        </w:tc>
        <w:tc>
          <w:tcPr>
            <w:tcW w:w="540" w:type="dxa"/>
            <w:vAlign w:val="bottom"/>
          </w:tcPr>
          <w:p>
            <w:pPr>
              <w:jc w:val="right"/>
              <w:spacing w:after="0" w:line="119" w:lineRule="exact"/>
              <w:rPr>
                <w:sz w:val="20"/>
                <w:szCs w:val="20"/>
                <w:color w:val="auto"/>
              </w:rPr>
            </w:pPr>
            <w:r>
              <w:rPr>
                <w:rFonts w:ascii="Calibri" w:cs="Calibri" w:eastAsia="Calibri" w:hAnsi="Calibri"/>
                <w:sz w:val="10"/>
                <w:szCs w:val="10"/>
                <w:color w:val="auto"/>
              </w:rPr>
              <w:t>36,942</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220"/>
              <w:spacing w:after="0" w:line="119" w:lineRule="exact"/>
              <w:rPr>
                <w:sz w:val="20"/>
                <w:szCs w:val="20"/>
                <w:color w:val="auto"/>
              </w:rPr>
            </w:pPr>
            <w:r>
              <w:rPr>
                <w:rFonts w:ascii="Calibri" w:cs="Calibri" w:eastAsia="Calibri" w:hAnsi="Calibri"/>
                <w:sz w:val="10"/>
                <w:szCs w:val="10"/>
                <w:color w:val="auto"/>
              </w:rPr>
              <w:t>—</w:t>
            </w:r>
          </w:p>
        </w:tc>
        <w:tc>
          <w:tcPr>
            <w:tcW w:w="60" w:type="dxa"/>
            <w:vAlign w:val="bottom"/>
          </w:tcPr>
          <w:p>
            <w:pPr>
              <w:spacing w:after="0"/>
              <w:rPr>
                <w:sz w:val="11"/>
                <w:szCs w:val="11"/>
                <w:color w:val="auto"/>
              </w:rPr>
            </w:pPr>
          </w:p>
        </w:tc>
        <w:tc>
          <w:tcPr>
            <w:tcW w:w="640" w:type="dxa"/>
            <w:vAlign w:val="bottom"/>
          </w:tcPr>
          <w:p>
            <w:pPr>
              <w:jc w:val="right"/>
              <w:spacing w:after="0" w:line="119" w:lineRule="exact"/>
              <w:rPr>
                <w:sz w:val="20"/>
                <w:szCs w:val="20"/>
                <w:color w:val="auto"/>
              </w:rPr>
            </w:pPr>
            <w:r>
              <w:rPr>
                <w:rFonts w:ascii="Calibri" w:cs="Calibri" w:eastAsia="Calibri" w:hAnsi="Calibri"/>
                <w:sz w:val="10"/>
                <w:szCs w:val="10"/>
                <w:color w:val="auto"/>
              </w:rPr>
              <w:t>36,942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440" w:type="dxa"/>
            <w:vAlign w:val="bottom"/>
            <w:shd w:val="clear" w:color="auto" w:fill="CFF0FC"/>
          </w:tcPr>
          <w:p>
            <w:pPr>
              <w:ind w:left="220"/>
              <w:spacing w:after="0"/>
              <w:rPr>
                <w:sz w:val="20"/>
                <w:szCs w:val="20"/>
                <w:color w:val="auto"/>
              </w:rPr>
            </w:pPr>
            <w:r>
              <w:rPr>
                <w:rFonts w:ascii="Calibri" w:cs="Calibri" w:eastAsia="Calibri" w:hAnsi="Calibri"/>
                <w:sz w:val="10"/>
                <w:szCs w:val="10"/>
                <w:color w:val="auto"/>
              </w:rPr>
              <w:t>Stock–based compensaton expense</w:t>
            </w:r>
          </w:p>
        </w:tc>
        <w:tc>
          <w:tcPr>
            <w:tcW w:w="60" w:type="dxa"/>
            <w:vAlign w:val="bottom"/>
            <w:shd w:val="clear" w:color="auto" w:fill="CFF0FC"/>
          </w:tcPr>
          <w:p>
            <w:pPr>
              <w:spacing w:after="0"/>
              <w:rPr>
                <w:sz w:val="12"/>
                <w:szCs w:val="12"/>
                <w:color w:val="auto"/>
              </w:rPr>
            </w:pPr>
          </w:p>
        </w:tc>
        <w:tc>
          <w:tcPr>
            <w:tcW w:w="820" w:type="dxa"/>
            <w:vAlign w:val="bottom"/>
            <w:tcBorders>
              <w:right w:val="single" w:sz="8" w:color="auto"/>
            </w:tcBorders>
            <w:gridSpan w:val="2"/>
            <w:shd w:val="clear" w:color="auto" w:fill="CFF0FC"/>
          </w:tcPr>
          <w:p>
            <w:pPr>
              <w:jc w:val="right"/>
              <w:ind w:right="160"/>
              <w:spacing w:after="0"/>
              <w:rPr>
                <w:sz w:val="20"/>
                <w:szCs w:val="20"/>
                <w:color w:val="auto"/>
              </w:rPr>
            </w:pPr>
            <w:r>
              <w:rPr>
                <w:rFonts w:ascii="Calibri" w:cs="Calibri" w:eastAsia="Calibri" w:hAnsi="Calibri"/>
                <w:sz w:val="10"/>
                <w:szCs w:val="10"/>
                <w:color w:val="auto"/>
              </w:rPr>
              <w:t>—</w:t>
            </w: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40"/>
              <w:spacing w:after="0"/>
              <w:rPr>
                <w:sz w:val="20"/>
                <w:szCs w:val="20"/>
                <w:color w:val="auto"/>
              </w:rPr>
            </w:pPr>
            <w:r>
              <w:rPr>
                <w:rFonts w:ascii="Calibri" w:cs="Calibri" w:eastAsia="Calibri" w:hAnsi="Calibri"/>
                <w:sz w:val="10"/>
                <w:szCs w:val="10"/>
                <w:color w:val="auto"/>
              </w:rPr>
              <w:t>—</w:t>
            </w:r>
          </w:p>
        </w:tc>
        <w:tc>
          <w:tcPr>
            <w:tcW w:w="10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240"/>
              <w:spacing w:after="0"/>
              <w:rPr>
                <w:sz w:val="20"/>
                <w:szCs w:val="20"/>
                <w:color w:val="auto"/>
              </w:rPr>
            </w:pPr>
            <w:r>
              <w:rPr>
                <w:rFonts w:ascii="Calibri" w:cs="Calibri" w:eastAsia="Calibri" w:hAnsi="Calibri"/>
                <w:sz w:val="10"/>
                <w:szCs w:val="10"/>
                <w:color w:val="auto"/>
              </w:rPr>
              <w:t>—</w:t>
            </w:r>
          </w:p>
        </w:tc>
        <w:tc>
          <w:tcPr>
            <w:tcW w:w="900" w:type="dxa"/>
            <w:vAlign w:val="bottom"/>
            <w:gridSpan w:val="2"/>
            <w:shd w:val="clear" w:color="auto" w:fill="CFF0FC"/>
          </w:tcPr>
          <w:p>
            <w:pPr>
              <w:jc w:val="right"/>
              <w:ind w:right="260"/>
              <w:spacing w:after="0"/>
              <w:rPr>
                <w:sz w:val="20"/>
                <w:szCs w:val="20"/>
                <w:color w:val="auto"/>
              </w:rPr>
            </w:pPr>
            <w:r>
              <w:rPr>
                <w:rFonts w:ascii="Calibri" w:cs="Calibri" w:eastAsia="Calibri" w:hAnsi="Calibri"/>
                <w:sz w:val="10"/>
                <w:szCs w:val="10"/>
                <w:color w:val="auto"/>
              </w:rPr>
              <w:t>—</w:t>
            </w:r>
          </w:p>
        </w:tc>
        <w:tc>
          <w:tcPr>
            <w:tcW w:w="48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240"/>
              <w:spacing w:after="0"/>
              <w:rPr>
                <w:sz w:val="20"/>
                <w:szCs w:val="20"/>
                <w:color w:val="auto"/>
              </w:rPr>
            </w:pPr>
            <w:r>
              <w:rPr>
                <w:rFonts w:ascii="Calibri" w:cs="Calibri" w:eastAsia="Calibri" w:hAnsi="Calibri"/>
                <w:sz w:val="10"/>
                <w:szCs w:val="10"/>
                <w:color w:val="auto"/>
              </w:rPr>
              <w:t>—</w:t>
            </w: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Calibri" w:cs="Calibri" w:eastAsia="Calibri" w:hAnsi="Calibri"/>
                <w:sz w:val="10"/>
                <w:szCs w:val="10"/>
                <w:color w:val="auto"/>
              </w:rPr>
              <w:t>63,312</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220"/>
              <w:spacing w:after="0"/>
              <w:rPr>
                <w:sz w:val="20"/>
                <w:szCs w:val="20"/>
                <w:color w:val="auto"/>
              </w:rPr>
            </w:pPr>
            <w:r>
              <w:rPr>
                <w:rFonts w:ascii="Calibri" w:cs="Calibri" w:eastAsia="Calibri" w:hAnsi="Calibri"/>
                <w:sz w:val="10"/>
                <w:szCs w:val="10"/>
                <w:color w:val="auto"/>
              </w:rPr>
              <w:t>—</w:t>
            </w:r>
          </w:p>
        </w:tc>
        <w:tc>
          <w:tcPr>
            <w:tcW w:w="6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20"/>
              <w:spacing w:after="0"/>
              <w:rPr>
                <w:sz w:val="20"/>
                <w:szCs w:val="20"/>
                <w:color w:val="auto"/>
              </w:rPr>
            </w:pPr>
            <w:r>
              <w:rPr>
                <w:rFonts w:ascii="Calibri" w:cs="Calibri" w:eastAsia="Calibri" w:hAnsi="Calibri"/>
                <w:sz w:val="10"/>
                <w:szCs w:val="10"/>
                <w:color w:val="auto"/>
              </w:rPr>
              <w:t>—</w:t>
            </w:r>
          </w:p>
        </w:tc>
        <w:tc>
          <w:tcPr>
            <w:tcW w:w="6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Calibri" w:cs="Calibri" w:eastAsia="Calibri" w:hAnsi="Calibri"/>
                <w:sz w:val="10"/>
                <w:szCs w:val="10"/>
                <w:color w:val="auto"/>
              </w:rPr>
              <w:t>63,312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440" w:type="dxa"/>
            <w:vAlign w:val="bottom"/>
          </w:tcPr>
          <w:p>
            <w:pPr>
              <w:ind w:left="220"/>
              <w:spacing w:after="0" w:line="119" w:lineRule="exact"/>
              <w:rPr>
                <w:sz w:val="20"/>
                <w:szCs w:val="20"/>
                <w:color w:val="auto"/>
              </w:rPr>
            </w:pPr>
            <w:r>
              <w:rPr>
                <w:rFonts w:ascii="Calibri" w:cs="Calibri" w:eastAsia="Calibri" w:hAnsi="Calibri"/>
                <w:sz w:val="10"/>
                <w:szCs w:val="10"/>
                <w:color w:val="auto"/>
              </w:rPr>
              <w:t>Issuance of common stock upon exercise of stock optons</w:t>
            </w:r>
          </w:p>
        </w:tc>
        <w:tc>
          <w:tcPr>
            <w:tcW w:w="60" w:type="dxa"/>
            <w:vAlign w:val="bottom"/>
          </w:tcPr>
          <w:p>
            <w:pPr>
              <w:spacing w:after="0"/>
              <w:rPr>
                <w:sz w:val="11"/>
                <w:szCs w:val="11"/>
                <w:color w:val="auto"/>
              </w:rPr>
            </w:pPr>
          </w:p>
        </w:tc>
        <w:tc>
          <w:tcPr>
            <w:tcW w:w="820" w:type="dxa"/>
            <w:vAlign w:val="bottom"/>
            <w:tcBorders>
              <w:right w:val="single" w:sz="8" w:color="auto"/>
            </w:tcBorders>
            <w:gridSpan w:val="2"/>
          </w:tcPr>
          <w:p>
            <w:pPr>
              <w:jc w:val="right"/>
              <w:ind w:right="160"/>
              <w:spacing w:after="0" w:line="119" w:lineRule="exact"/>
              <w:rPr>
                <w:sz w:val="20"/>
                <w:szCs w:val="20"/>
                <w:color w:val="auto"/>
              </w:rPr>
            </w:pPr>
            <w:r>
              <w:rPr>
                <w:rFonts w:ascii="Calibri" w:cs="Calibri" w:eastAsia="Calibri" w:hAnsi="Calibri"/>
                <w:sz w:val="10"/>
                <w:szCs w:val="10"/>
                <w:color w:val="auto"/>
              </w:rPr>
              <w:t>—</w:t>
            </w:r>
          </w:p>
        </w:tc>
        <w:tc>
          <w:tcPr>
            <w:tcW w:w="100" w:type="dxa"/>
            <w:vAlign w:val="bottom"/>
          </w:tcPr>
          <w:p>
            <w:pPr>
              <w:spacing w:after="0"/>
              <w:rPr>
                <w:sz w:val="11"/>
                <w:szCs w:val="11"/>
                <w:color w:val="auto"/>
              </w:rPr>
            </w:pPr>
          </w:p>
        </w:tc>
        <w:tc>
          <w:tcPr>
            <w:tcW w:w="660" w:type="dxa"/>
            <w:vAlign w:val="bottom"/>
          </w:tcPr>
          <w:p>
            <w:pPr>
              <w:jc w:val="right"/>
              <w:spacing w:after="0" w:line="119" w:lineRule="exact"/>
              <w:rPr>
                <w:sz w:val="20"/>
                <w:szCs w:val="20"/>
                <w:color w:val="auto"/>
              </w:rPr>
            </w:pPr>
            <w:r>
              <w:rPr>
                <w:rFonts w:ascii="Calibri" w:cs="Calibri" w:eastAsia="Calibri" w:hAnsi="Calibri"/>
                <w:sz w:val="10"/>
                <w:szCs w:val="10"/>
                <w:color w:val="auto"/>
              </w:rPr>
              <w:t>15,834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240"/>
              <w:spacing w:after="0" w:line="119" w:lineRule="exact"/>
              <w:rPr>
                <w:sz w:val="20"/>
                <w:szCs w:val="20"/>
                <w:color w:val="auto"/>
              </w:rPr>
            </w:pPr>
            <w:r>
              <w:rPr>
                <w:rFonts w:ascii="Calibri" w:cs="Calibri" w:eastAsia="Calibri" w:hAnsi="Calibri"/>
                <w:sz w:val="10"/>
                <w:szCs w:val="10"/>
                <w:color w:val="auto"/>
              </w:rPr>
              <w:t>—</w:t>
            </w:r>
          </w:p>
        </w:tc>
        <w:tc>
          <w:tcPr>
            <w:tcW w:w="900" w:type="dxa"/>
            <w:vAlign w:val="bottom"/>
            <w:gridSpan w:val="2"/>
          </w:tcPr>
          <w:p>
            <w:pPr>
              <w:jc w:val="right"/>
              <w:ind w:right="260"/>
              <w:spacing w:after="0" w:line="119" w:lineRule="exact"/>
              <w:rPr>
                <w:sz w:val="20"/>
                <w:szCs w:val="20"/>
                <w:color w:val="auto"/>
              </w:rPr>
            </w:pPr>
            <w:r>
              <w:rPr>
                <w:rFonts w:ascii="Calibri" w:cs="Calibri" w:eastAsia="Calibri" w:hAnsi="Calibri"/>
                <w:sz w:val="10"/>
                <w:szCs w:val="10"/>
                <w:color w:val="auto"/>
              </w:rPr>
              <w:t>—</w:t>
            </w:r>
          </w:p>
        </w:tc>
        <w:tc>
          <w:tcPr>
            <w:tcW w:w="480" w:type="dxa"/>
            <w:vAlign w:val="bottom"/>
          </w:tcPr>
          <w:p>
            <w:pPr>
              <w:spacing w:after="0"/>
              <w:rPr>
                <w:sz w:val="11"/>
                <w:szCs w:val="11"/>
                <w:color w:val="auto"/>
              </w:rPr>
            </w:pPr>
          </w:p>
        </w:tc>
        <w:tc>
          <w:tcPr>
            <w:tcW w:w="360" w:type="dxa"/>
            <w:vAlign w:val="bottom"/>
            <w:gridSpan w:val="2"/>
          </w:tcPr>
          <w:p>
            <w:pPr>
              <w:jc w:val="right"/>
              <w:ind w:right="240"/>
              <w:spacing w:after="0" w:line="119" w:lineRule="exact"/>
              <w:rPr>
                <w:sz w:val="20"/>
                <w:szCs w:val="20"/>
                <w:color w:val="auto"/>
              </w:rPr>
            </w:pPr>
            <w:r>
              <w:rPr>
                <w:rFonts w:ascii="Calibri" w:cs="Calibri" w:eastAsia="Calibri" w:hAnsi="Calibri"/>
                <w:sz w:val="10"/>
                <w:szCs w:val="10"/>
                <w:color w:val="auto"/>
              </w:rPr>
              <w:t>—</w:t>
            </w:r>
          </w:p>
        </w:tc>
        <w:tc>
          <w:tcPr>
            <w:tcW w:w="80" w:type="dxa"/>
            <w:vAlign w:val="bottom"/>
          </w:tcPr>
          <w:p>
            <w:pPr>
              <w:spacing w:after="0"/>
              <w:rPr>
                <w:sz w:val="11"/>
                <w:szCs w:val="11"/>
                <w:color w:val="auto"/>
              </w:rPr>
            </w:pPr>
          </w:p>
        </w:tc>
        <w:tc>
          <w:tcPr>
            <w:tcW w:w="540" w:type="dxa"/>
            <w:vAlign w:val="bottom"/>
          </w:tcPr>
          <w:p>
            <w:pPr>
              <w:jc w:val="right"/>
              <w:spacing w:after="0" w:line="119" w:lineRule="exact"/>
              <w:rPr>
                <w:sz w:val="20"/>
                <w:szCs w:val="20"/>
                <w:color w:val="auto"/>
              </w:rPr>
            </w:pPr>
            <w:r>
              <w:rPr>
                <w:rFonts w:ascii="Calibri" w:cs="Calibri" w:eastAsia="Calibri" w:hAnsi="Calibri"/>
                <w:sz w:val="10"/>
                <w:szCs w:val="10"/>
                <w:color w:val="auto"/>
              </w:rPr>
              <w:t>74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220"/>
              <w:spacing w:after="0" w:line="119" w:lineRule="exact"/>
              <w:rPr>
                <w:sz w:val="20"/>
                <w:szCs w:val="20"/>
                <w:color w:val="auto"/>
              </w:rPr>
            </w:pPr>
            <w:r>
              <w:rPr>
                <w:rFonts w:ascii="Calibri" w:cs="Calibri" w:eastAsia="Calibri" w:hAnsi="Calibri"/>
                <w:sz w:val="10"/>
                <w:szCs w:val="10"/>
                <w:color w:val="auto"/>
              </w:rPr>
              <w:t>—</w:t>
            </w:r>
          </w:p>
        </w:tc>
        <w:tc>
          <w:tcPr>
            <w:tcW w:w="60" w:type="dxa"/>
            <w:vAlign w:val="bottom"/>
          </w:tcPr>
          <w:p>
            <w:pPr>
              <w:spacing w:after="0"/>
              <w:rPr>
                <w:sz w:val="11"/>
                <w:szCs w:val="11"/>
                <w:color w:val="auto"/>
              </w:rPr>
            </w:pPr>
          </w:p>
        </w:tc>
        <w:tc>
          <w:tcPr>
            <w:tcW w:w="860" w:type="dxa"/>
            <w:vAlign w:val="bottom"/>
            <w:gridSpan w:val="2"/>
          </w:tcPr>
          <w:p>
            <w:pPr>
              <w:jc w:val="right"/>
              <w:ind w:right="220"/>
              <w:spacing w:after="0" w:line="119" w:lineRule="exact"/>
              <w:rPr>
                <w:sz w:val="20"/>
                <w:szCs w:val="20"/>
                <w:color w:val="auto"/>
              </w:rPr>
            </w:pPr>
            <w:r>
              <w:rPr>
                <w:rFonts w:ascii="Calibri" w:cs="Calibri" w:eastAsia="Calibri" w:hAnsi="Calibri"/>
                <w:sz w:val="10"/>
                <w:szCs w:val="10"/>
                <w:color w:val="auto"/>
              </w:rPr>
              <w:t>—</w:t>
            </w:r>
          </w:p>
        </w:tc>
        <w:tc>
          <w:tcPr>
            <w:tcW w:w="60" w:type="dxa"/>
            <w:vAlign w:val="bottom"/>
          </w:tcPr>
          <w:p>
            <w:pPr>
              <w:spacing w:after="0"/>
              <w:rPr>
                <w:sz w:val="11"/>
                <w:szCs w:val="11"/>
                <w:color w:val="auto"/>
              </w:rPr>
            </w:pPr>
          </w:p>
        </w:tc>
        <w:tc>
          <w:tcPr>
            <w:tcW w:w="640" w:type="dxa"/>
            <w:vAlign w:val="bottom"/>
          </w:tcPr>
          <w:p>
            <w:pPr>
              <w:jc w:val="right"/>
              <w:spacing w:after="0" w:line="119" w:lineRule="exact"/>
              <w:rPr>
                <w:sz w:val="20"/>
                <w:szCs w:val="20"/>
                <w:color w:val="auto"/>
              </w:rPr>
            </w:pPr>
            <w:r>
              <w:rPr>
                <w:rFonts w:ascii="Calibri" w:cs="Calibri" w:eastAsia="Calibri" w:hAnsi="Calibri"/>
                <w:sz w:val="10"/>
                <w:szCs w:val="10"/>
                <w:color w:val="auto"/>
              </w:rPr>
              <w:t>74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440" w:type="dxa"/>
            <w:vAlign w:val="bottom"/>
            <w:shd w:val="clear" w:color="auto" w:fill="CFF0FC"/>
          </w:tcPr>
          <w:p>
            <w:pPr>
              <w:ind w:left="220"/>
              <w:spacing w:after="0"/>
              <w:rPr>
                <w:sz w:val="20"/>
                <w:szCs w:val="20"/>
                <w:color w:val="auto"/>
              </w:rPr>
            </w:pPr>
            <w:r>
              <w:rPr>
                <w:rFonts w:ascii="Calibri" w:cs="Calibri" w:eastAsia="Calibri" w:hAnsi="Calibri"/>
                <w:sz w:val="10"/>
                <w:szCs w:val="10"/>
                <w:color w:val="auto"/>
              </w:rPr>
              <w:t>Issuance of common stock upon vestng of restricted stock units</w:t>
            </w:r>
          </w:p>
        </w:tc>
        <w:tc>
          <w:tcPr>
            <w:tcW w:w="60" w:type="dxa"/>
            <w:vAlign w:val="bottom"/>
            <w:shd w:val="clear" w:color="auto" w:fill="CFF0FC"/>
          </w:tcPr>
          <w:p>
            <w:pPr>
              <w:spacing w:after="0"/>
              <w:rPr>
                <w:sz w:val="12"/>
                <w:szCs w:val="12"/>
                <w:color w:val="auto"/>
              </w:rPr>
            </w:pPr>
          </w:p>
        </w:tc>
        <w:tc>
          <w:tcPr>
            <w:tcW w:w="820" w:type="dxa"/>
            <w:vAlign w:val="bottom"/>
            <w:tcBorders>
              <w:right w:val="single" w:sz="8" w:color="auto"/>
            </w:tcBorders>
            <w:gridSpan w:val="2"/>
            <w:shd w:val="clear" w:color="auto" w:fill="CFF0FC"/>
          </w:tcPr>
          <w:p>
            <w:pPr>
              <w:jc w:val="right"/>
              <w:ind w:right="160"/>
              <w:spacing w:after="0"/>
              <w:rPr>
                <w:sz w:val="20"/>
                <w:szCs w:val="20"/>
                <w:color w:val="auto"/>
              </w:rPr>
            </w:pPr>
            <w:r>
              <w:rPr>
                <w:rFonts w:ascii="Calibri" w:cs="Calibri" w:eastAsia="Calibri" w:hAnsi="Calibri"/>
                <w:sz w:val="10"/>
                <w:szCs w:val="10"/>
                <w:color w:val="auto"/>
              </w:rPr>
              <w:t>—</w:t>
            </w: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Calibri" w:cs="Calibri" w:eastAsia="Calibri" w:hAnsi="Calibri"/>
                <w:sz w:val="10"/>
                <w:szCs w:val="10"/>
                <w:color w:val="auto"/>
              </w:rPr>
              <w:t>2,440,510</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Calibri" w:cs="Calibri" w:eastAsia="Calibri" w:hAnsi="Calibri"/>
                <w:sz w:val="10"/>
                <w:szCs w:val="10"/>
                <w:color w:val="auto"/>
              </w:rPr>
              <w:t>1</w:t>
            </w:r>
          </w:p>
        </w:tc>
        <w:tc>
          <w:tcPr>
            <w:tcW w:w="24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60"/>
              <w:spacing w:after="0"/>
              <w:rPr>
                <w:sz w:val="20"/>
                <w:szCs w:val="20"/>
                <w:color w:val="auto"/>
              </w:rPr>
            </w:pPr>
            <w:r>
              <w:rPr>
                <w:rFonts w:ascii="Calibri" w:cs="Calibri" w:eastAsia="Calibri" w:hAnsi="Calibri"/>
                <w:sz w:val="10"/>
                <w:szCs w:val="10"/>
                <w:color w:val="auto"/>
              </w:rPr>
              <w:t>—</w:t>
            </w:r>
          </w:p>
        </w:tc>
        <w:tc>
          <w:tcPr>
            <w:tcW w:w="48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240"/>
              <w:spacing w:after="0"/>
              <w:rPr>
                <w:sz w:val="20"/>
                <w:szCs w:val="20"/>
                <w:color w:val="auto"/>
              </w:rPr>
            </w:pPr>
            <w:r>
              <w:rPr>
                <w:rFonts w:ascii="Calibri" w:cs="Calibri" w:eastAsia="Calibri" w:hAnsi="Calibri"/>
                <w:sz w:val="10"/>
                <w:szCs w:val="10"/>
                <w:color w:val="auto"/>
              </w:rPr>
              <w:t>—</w:t>
            </w:r>
          </w:p>
        </w:tc>
        <w:tc>
          <w:tcPr>
            <w:tcW w:w="8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00"/>
              <w:spacing w:after="0"/>
              <w:rPr>
                <w:sz w:val="20"/>
                <w:szCs w:val="20"/>
                <w:color w:val="auto"/>
              </w:rPr>
            </w:pPr>
            <w:r>
              <w:rPr>
                <w:rFonts w:ascii="Calibri" w:cs="Calibri" w:eastAsia="Calibri" w:hAnsi="Calibri"/>
                <w:sz w:val="10"/>
                <w:szCs w:val="10"/>
                <w:color w:val="auto"/>
              </w:rPr>
              <w:t>(1 )</w:t>
            </w:r>
          </w:p>
        </w:tc>
        <w:tc>
          <w:tcPr>
            <w:tcW w:w="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220"/>
              <w:spacing w:after="0"/>
              <w:rPr>
                <w:sz w:val="20"/>
                <w:szCs w:val="20"/>
                <w:color w:val="auto"/>
              </w:rPr>
            </w:pPr>
            <w:r>
              <w:rPr>
                <w:rFonts w:ascii="Calibri" w:cs="Calibri" w:eastAsia="Calibri" w:hAnsi="Calibri"/>
                <w:sz w:val="10"/>
                <w:szCs w:val="10"/>
                <w:color w:val="auto"/>
              </w:rPr>
              <w:t>—</w:t>
            </w:r>
          </w:p>
        </w:tc>
        <w:tc>
          <w:tcPr>
            <w:tcW w:w="6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20"/>
              <w:spacing w:after="0"/>
              <w:rPr>
                <w:sz w:val="20"/>
                <w:szCs w:val="20"/>
                <w:color w:val="auto"/>
              </w:rPr>
            </w:pPr>
            <w:r>
              <w:rPr>
                <w:rFonts w:ascii="Calibri" w:cs="Calibri" w:eastAsia="Calibri" w:hAnsi="Calibri"/>
                <w:sz w:val="10"/>
                <w:szCs w:val="10"/>
                <w:color w:val="auto"/>
              </w:rPr>
              <w:t>—</w:t>
            </w:r>
          </w:p>
        </w:tc>
        <w:tc>
          <w:tcPr>
            <w:tcW w:w="6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20"/>
              <w:spacing w:after="0"/>
              <w:rPr>
                <w:sz w:val="20"/>
                <w:szCs w:val="20"/>
                <w:color w:val="auto"/>
              </w:rPr>
            </w:pPr>
            <w:r>
              <w:rPr>
                <w:rFonts w:ascii="Calibri" w:cs="Calibri" w:eastAsia="Calibri" w:hAnsi="Calibri"/>
                <w:sz w:val="10"/>
                <w:szCs w:val="10"/>
                <w:color w:val="auto"/>
              </w:rPr>
              <w:t>—</w:t>
            </w:r>
          </w:p>
        </w:tc>
        <w:tc>
          <w:tcPr>
            <w:tcW w:w="0" w:type="dxa"/>
            <w:vAlign w:val="bottom"/>
          </w:tcPr>
          <w:p>
            <w:pPr>
              <w:spacing w:after="0"/>
              <w:rPr>
                <w:sz w:val="1"/>
                <w:szCs w:val="1"/>
                <w:color w:val="auto"/>
              </w:rPr>
            </w:pPr>
          </w:p>
        </w:tc>
      </w:tr>
      <w:tr>
        <w:trPr>
          <w:trHeight w:val="128"/>
        </w:trPr>
        <w:tc>
          <w:tcPr>
            <w:tcW w:w="3440" w:type="dxa"/>
            <w:vAlign w:val="bottom"/>
          </w:tcPr>
          <w:p>
            <w:pPr>
              <w:ind w:left="220"/>
              <w:spacing w:after="0" w:line="119" w:lineRule="exact"/>
              <w:rPr>
                <w:sz w:val="20"/>
                <w:szCs w:val="20"/>
                <w:color w:val="auto"/>
              </w:rPr>
            </w:pPr>
            <w:r>
              <w:rPr>
                <w:rFonts w:ascii="Calibri" w:cs="Calibri" w:eastAsia="Calibri" w:hAnsi="Calibri"/>
                <w:sz w:val="10"/>
                <w:szCs w:val="10"/>
                <w:color w:val="auto"/>
              </w:rPr>
              <w:t>Payment of withholding taxes on net share setlements of equity awards</w:t>
            </w:r>
          </w:p>
        </w:tc>
        <w:tc>
          <w:tcPr>
            <w:tcW w:w="60" w:type="dxa"/>
            <w:vAlign w:val="bottom"/>
          </w:tcPr>
          <w:p>
            <w:pPr>
              <w:spacing w:after="0"/>
              <w:rPr>
                <w:sz w:val="11"/>
                <w:szCs w:val="11"/>
                <w:color w:val="auto"/>
              </w:rPr>
            </w:pPr>
          </w:p>
        </w:tc>
        <w:tc>
          <w:tcPr>
            <w:tcW w:w="820" w:type="dxa"/>
            <w:vAlign w:val="bottom"/>
            <w:tcBorders>
              <w:right w:val="single" w:sz="8" w:color="auto"/>
            </w:tcBorders>
            <w:gridSpan w:val="2"/>
          </w:tcPr>
          <w:p>
            <w:pPr>
              <w:jc w:val="right"/>
              <w:ind w:right="160"/>
              <w:spacing w:after="0" w:line="119" w:lineRule="exact"/>
              <w:rPr>
                <w:sz w:val="20"/>
                <w:szCs w:val="20"/>
                <w:color w:val="auto"/>
              </w:rPr>
            </w:pPr>
            <w:r>
              <w:rPr>
                <w:rFonts w:ascii="Calibri" w:cs="Calibri" w:eastAsia="Calibri" w:hAnsi="Calibri"/>
                <w:sz w:val="10"/>
                <w:szCs w:val="10"/>
                <w:color w:val="auto"/>
              </w:rPr>
              <w:t>—</w:t>
            </w:r>
          </w:p>
        </w:tc>
        <w:tc>
          <w:tcPr>
            <w:tcW w:w="100" w:type="dxa"/>
            <w:vAlign w:val="bottom"/>
          </w:tcPr>
          <w:p>
            <w:pPr>
              <w:spacing w:after="0"/>
              <w:rPr>
                <w:sz w:val="11"/>
                <w:szCs w:val="11"/>
                <w:color w:val="auto"/>
              </w:rPr>
            </w:pPr>
          </w:p>
        </w:tc>
        <w:tc>
          <w:tcPr>
            <w:tcW w:w="880" w:type="dxa"/>
            <w:vAlign w:val="bottom"/>
            <w:gridSpan w:val="2"/>
          </w:tcPr>
          <w:p>
            <w:pPr>
              <w:jc w:val="right"/>
              <w:ind w:right="180"/>
              <w:spacing w:after="0" w:line="119" w:lineRule="exact"/>
              <w:rPr>
                <w:sz w:val="20"/>
                <w:szCs w:val="20"/>
                <w:color w:val="auto"/>
              </w:rPr>
            </w:pPr>
            <w:r>
              <w:rPr>
                <w:rFonts w:ascii="Calibri" w:cs="Calibri" w:eastAsia="Calibri" w:hAnsi="Calibri"/>
                <w:sz w:val="10"/>
                <w:szCs w:val="10"/>
                <w:color w:val="auto"/>
              </w:rPr>
              <w:t>(840,995 )</w:t>
            </w:r>
          </w:p>
        </w:tc>
        <w:tc>
          <w:tcPr>
            <w:tcW w:w="100" w:type="dxa"/>
            <w:vAlign w:val="bottom"/>
          </w:tcPr>
          <w:p>
            <w:pPr>
              <w:spacing w:after="0"/>
              <w:rPr>
                <w:sz w:val="11"/>
                <w:szCs w:val="11"/>
                <w:color w:val="auto"/>
              </w:rPr>
            </w:pPr>
          </w:p>
        </w:tc>
        <w:tc>
          <w:tcPr>
            <w:tcW w:w="720" w:type="dxa"/>
            <w:vAlign w:val="bottom"/>
            <w:gridSpan w:val="2"/>
          </w:tcPr>
          <w:p>
            <w:pPr>
              <w:jc w:val="right"/>
              <w:ind w:right="240"/>
              <w:spacing w:after="0" w:line="119" w:lineRule="exact"/>
              <w:rPr>
                <w:sz w:val="20"/>
                <w:szCs w:val="20"/>
                <w:color w:val="auto"/>
              </w:rPr>
            </w:pPr>
            <w:r>
              <w:rPr>
                <w:rFonts w:ascii="Calibri" w:cs="Calibri" w:eastAsia="Calibri" w:hAnsi="Calibri"/>
                <w:sz w:val="10"/>
                <w:szCs w:val="10"/>
                <w:color w:val="auto"/>
              </w:rPr>
              <w:t>—</w:t>
            </w:r>
          </w:p>
        </w:tc>
        <w:tc>
          <w:tcPr>
            <w:tcW w:w="900" w:type="dxa"/>
            <w:vAlign w:val="bottom"/>
            <w:gridSpan w:val="2"/>
          </w:tcPr>
          <w:p>
            <w:pPr>
              <w:jc w:val="right"/>
              <w:ind w:right="260"/>
              <w:spacing w:after="0" w:line="119" w:lineRule="exact"/>
              <w:rPr>
                <w:sz w:val="20"/>
                <w:szCs w:val="20"/>
                <w:color w:val="auto"/>
              </w:rPr>
            </w:pPr>
            <w:r>
              <w:rPr>
                <w:rFonts w:ascii="Calibri" w:cs="Calibri" w:eastAsia="Calibri" w:hAnsi="Calibri"/>
                <w:sz w:val="10"/>
                <w:szCs w:val="10"/>
                <w:color w:val="auto"/>
              </w:rPr>
              <w:t>—</w:t>
            </w:r>
          </w:p>
        </w:tc>
        <w:tc>
          <w:tcPr>
            <w:tcW w:w="480" w:type="dxa"/>
            <w:vAlign w:val="bottom"/>
          </w:tcPr>
          <w:p>
            <w:pPr>
              <w:spacing w:after="0"/>
              <w:rPr>
                <w:sz w:val="11"/>
                <w:szCs w:val="11"/>
                <w:color w:val="auto"/>
              </w:rPr>
            </w:pPr>
          </w:p>
        </w:tc>
        <w:tc>
          <w:tcPr>
            <w:tcW w:w="360" w:type="dxa"/>
            <w:vAlign w:val="bottom"/>
            <w:gridSpan w:val="2"/>
          </w:tcPr>
          <w:p>
            <w:pPr>
              <w:jc w:val="right"/>
              <w:ind w:right="240"/>
              <w:spacing w:after="0" w:line="119" w:lineRule="exact"/>
              <w:rPr>
                <w:sz w:val="20"/>
                <w:szCs w:val="20"/>
                <w:color w:val="auto"/>
              </w:rPr>
            </w:pPr>
            <w:r>
              <w:rPr>
                <w:rFonts w:ascii="Calibri" w:cs="Calibri" w:eastAsia="Calibri" w:hAnsi="Calibri"/>
                <w:sz w:val="10"/>
                <w:szCs w:val="10"/>
                <w:color w:val="auto"/>
              </w:rPr>
              <w:t>—</w:t>
            </w:r>
          </w:p>
        </w:tc>
        <w:tc>
          <w:tcPr>
            <w:tcW w:w="80" w:type="dxa"/>
            <w:vAlign w:val="bottom"/>
          </w:tcPr>
          <w:p>
            <w:pPr>
              <w:spacing w:after="0"/>
              <w:rPr>
                <w:sz w:val="11"/>
                <w:szCs w:val="11"/>
                <w:color w:val="auto"/>
              </w:rPr>
            </w:pPr>
          </w:p>
        </w:tc>
        <w:tc>
          <w:tcPr>
            <w:tcW w:w="780" w:type="dxa"/>
            <w:vAlign w:val="bottom"/>
            <w:gridSpan w:val="2"/>
          </w:tcPr>
          <w:p>
            <w:pPr>
              <w:jc w:val="right"/>
              <w:ind w:right="200"/>
              <w:spacing w:after="0" w:line="119" w:lineRule="exact"/>
              <w:rPr>
                <w:sz w:val="20"/>
                <w:szCs w:val="20"/>
                <w:color w:val="auto"/>
              </w:rPr>
            </w:pPr>
            <w:r>
              <w:rPr>
                <w:rFonts w:ascii="Calibri" w:cs="Calibri" w:eastAsia="Calibri" w:hAnsi="Calibri"/>
                <w:sz w:val="10"/>
                <w:szCs w:val="10"/>
                <w:color w:val="auto"/>
              </w:rPr>
              <w:t>(15,729 )</w:t>
            </w:r>
          </w:p>
        </w:tc>
        <w:tc>
          <w:tcPr>
            <w:tcW w:w="80" w:type="dxa"/>
            <w:vAlign w:val="bottom"/>
          </w:tcPr>
          <w:p>
            <w:pPr>
              <w:spacing w:after="0"/>
              <w:rPr>
                <w:sz w:val="11"/>
                <w:szCs w:val="11"/>
                <w:color w:val="auto"/>
              </w:rPr>
            </w:pPr>
          </w:p>
        </w:tc>
        <w:tc>
          <w:tcPr>
            <w:tcW w:w="740" w:type="dxa"/>
            <w:vAlign w:val="bottom"/>
            <w:gridSpan w:val="2"/>
          </w:tcPr>
          <w:p>
            <w:pPr>
              <w:jc w:val="right"/>
              <w:ind w:right="220"/>
              <w:spacing w:after="0" w:line="119" w:lineRule="exact"/>
              <w:rPr>
                <w:sz w:val="20"/>
                <w:szCs w:val="20"/>
                <w:color w:val="auto"/>
              </w:rPr>
            </w:pPr>
            <w:r>
              <w:rPr>
                <w:rFonts w:ascii="Calibri" w:cs="Calibri" w:eastAsia="Calibri" w:hAnsi="Calibri"/>
                <w:sz w:val="10"/>
                <w:szCs w:val="10"/>
                <w:color w:val="auto"/>
              </w:rPr>
              <w:t>—</w:t>
            </w:r>
          </w:p>
        </w:tc>
        <w:tc>
          <w:tcPr>
            <w:tcW w:w="60" w:type="dxa"/>
            <w:vAlign w:val="bottom"/>
          </w:tcPr>
          <w:p>
            <w:pPr>
              <w:spacing w:after="0"/>
              <w:rPr>
                <w:sz w:val="11"/>
                <w:szCs w:val="11"/>
                <w:color w:val="auto"/>
              </w:rPr>
            </w:pPr>
          </w:p>
        </w:tc>
        <w:tc>
          <w:tcPr>
            <w:tcW w:w="860" w:type="dxa"/>
            <w:vAlign w:val="bottom"/>
            <w:gridSpan w:val="2"/>
          </w:tcPr>
          <w:p>
            <w:pPr>
              <w:jc w:val="right"/>
              <w:ind w:right="220"/>
              <w:spacing w:after="0" w:line="119" w:lineRule="exact"/>
              <w:rPr>
                <w:sz w:val="20"/>
                <w:szCs w:val="20"/>
                <w:color w:val="auto"/>
              </w:rPr>
            </w:pPr>
            <w:r>
              <w:rPr>
                <w:rFonts w:ascii="Calibri" w:cs="Calibri" w:eastAsia="Calibri" w:hAnsi="Calibri"/>
                <w:sz w:val="10"/>
                <w:szCs w:val="10"/>
                <w:color w:val="auto"/>
              </w:rPr>
              <w:t>—</w:t>
            </w:r>
          </w:p>
        </w:tc>
        <w:tc>
          <w:tcPr>
            <w:tcW w:w="60" w:type="dxa"/>
            <w:vAlign w:val="bottom"/>
          </w:tcPr>
          <w:p>
            <w:pPr>
              <w:spacing w:after="0"/>
              <w:rPr>
                <w:sz w:val="11"/>
                <w:szCs w:val="11"/>
                <w:color w:val="auto"/>
              </w:rPr>
            </w:pPr>
          </w:p>
        </w:tc>
        <w:tc>
          <w:tcPr>
            <w:tcW w:w="740" w:type="dxa"/>
            <w:vAlign w:val="bottom"/>
            <w:gridSpan w:val="2"/>
          </w:tcPr>
          <w:p>
            <w:pPr>
              <w:jc w:val="right"/>
              <w:ind w:right="60"/>
              <w:spacing w:after="0" w:line="119" w:lineRule="exact"/>
              <w:rPr>
                <w:sz w:val="20"/>
                <w:szCs w:val="20"/>
                <w:color w:val="auto"/>
              </w:rPr>
            </w:pPr>
            <w:r>
              <w:rPr>
                <w:rFonts w:ascii="Calibri" w:cs="Calibri" w:eastAsia="Calibri" w:hAnsi="Calibri"/>
                <w:sz w:val="10"/>
                <w:szCs w:val="10"/>
                <w:color w:val="auto"/>
              </w:rPr>
              <w:t>(15,729 )</w:t>
            </w:r>
          </w:p>
        </w:tc>
        <w:tc>
          <w:tcPr>
            <w:tcW w:w="0" w:type="dxa"/>
            <w:vAlign w:val="bottom"/>
          </w:tcPr>
          <w:p>
            <w:pPr>
              <w:spacing w:after="0"/>
              <w:rPr>
                <w:sz w:val="1"/>
                <w:szCs w:val="1"/>
                <w:color w:val="auto"/>
              </w:rPr>
            </w:pPr>
          </w:p>
        </w:tc>
      </w:tr>
      <w:tr>
        <w:trPr>
          <w:trHeight w:val="148"/>
        </w:trPr>
        <w:tc>
          <w:tcPr>
            <w:tcW w:w="3440" w:type="dxa"/>
            <w:vAlign w:val="bottom"/>
            <w:shd w:val="clear" w:color="auto" w:fill="CFF0FC"/>
          </w:tcPr>
          <w:p>
            <w:pPr>
              <w:ind w:left="220"/>
              <w:spacing w:after="0"/>
              <w:rPr>
                <w:sz w:val="20"/>
                <w:szCs w:val="20"/>
                <w:color w:val="auto"/>
              </w:rPr>
            </w:pPr>
            <w:r>
              <w:rPr>
                <w:rFonts w:ascii="Calibri" w:cs="Calibri" w:eastAsia="Calibri" w:hAnsi="Calibri"/>
                <w:sz w:val="10"/>
                <w:szCs w:val="10"/>
                <w:color w:val="auto"/>
              </w:rPr>
              <w:t>Repurchase of common stock</w:t>
            </w:r>
          </w:p>
        </w:tc>
        <w:tc>
          <w:tcPr>
            <w:tcW w:w="60" w:type="dxa"/>
            <w:vAlign w:val="bottom"/>
            <w:shd w:val="clear" w:color="auto" w:fill="CFF0FC"/>
          </w:tcPr>
          <w:p>
            <w:pPr>
              <w:spacing w:after="0"/>
              <w:rPr>
                <w:sz w:val="12"/>
                <w:szCs w:val="12"/>
                <w:color w:val="auto"/>
              </w:rPr>
            </w:pPr>
          </w:p>
        </w:tc>
        <w:tc>
          <w:tcPr>
            <w:tcW w:w="820" w:type="dxa"/>
            <w:vAlign w:val="bottom"/>
            <w:tcBorders>
              <w:right w:val="single" w:sz="8" w:color="auto"/>
            </w:tcBorders>
            <w:gridSpan w:val="2"/>
            <w:shd w:val="clear" w:color="auto" w:fill="CFF0FC"/>
          </w:tcPr>
          <w:p>
            <w:pPr>
              <w:jc w:val="right"/>
              <w:ind w:right="160"/>
              <w:spacing w:after="0"/>
              <w:rPr>
                <w:sz w:val="20"/>
                <w:szCs w:val="20"/>
                <w:color w:val="auto"/>
              </w:rPr>
            </w:pPr>
            <w:r>
              <w:rPr>
                <w:rFonts w:ascii="Calibri" w:cs="Calibri" w:eastAsia="Calibri" w:hAnsi="Calibri"/>
                <w:sz w:val="10"/>
                <w:szCs w:val="10"/>
                <w:color w:val="auto"/>
              </w:rPr>
              <w:t>—</w:t>
            </w: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80"/>
              <w:spacing w:after="0"/>
              <w:rPr>
                <w:sz w:val="20"/>
                <w:szCs w:val="20"/>
                <w:color w:val="auto"/>
              </w:rPr>
            </w:pPr>
            <w:r>
              <w:rPr>
                <w:rFonts w:ascii="Calibri" w:cs="Calibri" w:eastAsia="Calibri" w:hAnsi="Calibri"/>
                <w:sz w:val="10"/>
                <w:szCs w:val="10"/>
                <w:color w:val="auto"/>
              </w:rPr>
              <w:t>(11,076,755 )</w:t>
            </w:r>
          </w:p>
        </w:tc>
        <w:tc>
          <w:tcPr>
            <w:tcW w:w="10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200"/>
              <w:spacing w:after="0"/>
              <w:rPr>
                <w:sz w:val="20"/>
                <w:szCs w:val="20"/>
                <w:color w:val="auto"/>
              </w:rPr>
            </w:pPr>
            <w:r>
              <w:rPr>
                <w:rFonts w:ascii="Calibri" w:cs="Calibri" w:eastAsia="Calibri" w:hAnsi="Calibri"/>
                <w:sz w:val="10"/>
                <w:szCs w:val="10"/>
                <w:color w:val="auto"/>
              </w:rPr>
              <w:t>(11 )</w:t>
            </w:r>
          </w:p>
        </w:tc>
        <w:tc>
          <w:tcPr>
            <w:tcW w:w="900" w:type="dxa"/>
            <w:vAlign w:val="bottom"/>
            <w:gridSpan w:val="2"/>
            <w:shd w:val="clear" w:color="auto" w:fill="CFF0FC"/>
          </w:tcPr>
          <w:p>
            <w:pPr>
              <w:jc w:val="right"/>
              <w:ind w:right="260"/>
              <w:spacing w:after="0"/>
              <w:rPr>
                <w:sz w:val="20"/>
                <w:szCs w:val="20"/>
                <w:color w:val="auto"/>
              </w:rPr>
            </w:pPr>
            <w:r>
              <w:rPr>
                <w:rFonts w:ascii="Calibri" w:cs="Calibri" w:eastAsia="Calibri" w:hAnsi="Calibri"/>
                <w:sz w:val="10"/>
                <w:szCs w:val="10"/>
                <w:color w:val="auto"/>
              </w:rPr>
              <w:t>—</w:t>
            </w:r>
          </w:p>
        </w:tc>
        <w:tc>
          <w:tcPr>
            <w:tcW w:w="48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240"/>
              <w:spacing w:after="0"/>
              <w:rPr>
                <w:sz w:val="20"/>
                <w:szCs w:val="20"/>
                <w:color w:val="auto"/>
              </w:rPr>
            </w:pPr>
            <w:r>
              <w:rPr>
                <w:rFonts w:ascii="Calibri" w:cs="Calibri" w:eastAsia="Calibri" w:hAnsi="Calibri"/>
                <w:sz w:val="10"/>
                <w:szCs w:val="10"/>
                <w:color w:val="auto"/>
              </w:rPr>
              <w:t>—</w:t>
            </w:r>
          </w:p>
        </w:tc>
        <w:tc>
          <w:tcPr>
            <w:tcW w:w="8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00"/>
              <w:spacing w:after="0"/>
              <w:rPr>
                <w:sz w:val="20"/>
                <w:szCs w:val="20"/>
                <w:color w:val="auto"/>
              </w:rPr>
            </w:pPr>
            <w:r>
              <w:rPr>
                <w:rFonts w:ascii="Calibri" w:cs="Calibri" w:eastAsia="Calibri" w:hAnsi="Calibri"/>
                <w:sz w:val="10"/>
                <w:szCs w:val="10"/>
                <w:color w:val="auto"/>
              </w:rPr>
              <w:t>(205,808 )</w:t>
            </w:r>
          </w:p>
        </w:tc>
        <w:tc>
          <w:tcPr>
            <w:tcW w:w="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220"/>
              <w:spacing w:after="0"/>
              <w:rPr>
                <w:sz w:val="20"/>
                <w:szCs w:val="20"/>
                <w:color w:val="auto"/>
              </w:rPr>
            </w:pPr>
            <w:r>
              <w:rPr>
                <w:rFonts w:ascii="Calibri" w:cs="Calibri" w:eastAsia="Calibri" w:hAnsi="Calibri"/>
                <w:sz w:val="10"/>
                <w:szCs w:val="10"/>
                <w:color w:val="auto"/>
              </w:rPr>
              <w:t>—</w:t>
            </w:r>
          </w:p>
        </w:tc>
        <w:tc>
          <w:tcPr>
            <w:tcW w:w="6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20"/>
              <w:spacing w:after="0"/>
              <w:rPr>
                <w:sz w:val="20"/>
                <w:szCs w:val="20"/>
                <w:color w:val="auto"/>
              </w:rPr>
            </w:pPr>
            <w:r>
              <w:rPr>
                <w:rFonts w:ascii="Calibri" w:cs="Calibri" w:eastAsia="Calibri" w:hAnsi="Calibri"/>
                <w:sz w:val="10"/>
                <w:szCs w:val="10"/>
                <w:color w:val="auto"/>
              </w:rPr>
              <w:t>—</w:t>
            </w:r>
          </w:p>
        </w:tc>
        <w:tc>
          <w:tcPr>
            <w:tcW w:w="6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60"/>
              <w:spacing w:after="0"/>
              <w:rPr>
                <w:sz w:val="20"/>
                <w:szCs w:val="20"/>
                <w:color w:val="auto"/>
              </w:rPr>
            </w:pPr>
            <w:r>
              <w:rPr>
                <w:rFonts w:ascii="Calibri" w:cs="Calibri" w:eastAsia="Calibri" w:hAnsi="Calibri"/>
                <w:sz w:val="10"/>
                <w:szCs w:val="10"/>
                <w:color w:val="auto"/>
              </w:rPr>
              <w:t>(205,819 )</w:t>
            </w:r>
          </w:p>
        </w:tc>
        <w:tc>
          <w:tcPr>
            <w:tcW w:w="0" w:type="dxa"/>
            <w:vAlign w:val="bottom"/>
          </w:tcPr>
          <w:p>
            <w:pPr>
              <w:spacing w:after="0"/>
              <w:rPr>
                <w:sz w:val="1"/>
                <w:szCs w:val="1"/>
                <w:color w:val="auto"/>
              </w:rPr>
            </w:pPr>
          </w:p>
        </w:tc>
      </w:tr>
      <w:tr>
        <w:trPr>
          <w:trHeight w:val="128"/>
        </w:trPr>
        <w:tc>
          <w:tcPr>
            <w:tcW w:w="3440" w:type="dxa"/>
            <w:vAlign w:val="bottom"/>
          </w:tcPr>
          <w:p>
            <w:pPr>
              <w:ind w:left="220"/>
              <w:spacing w:after="0" w:line="119" w:lineRule="exact"/>
              <w:rPr>
                <w:sz w:val="20"/>
                <w:szCs w:val="20"/>
                <w:color w:val="auto"/>
              </w:rPr>
            </w:pPr>
            <w:r>
              <w:rPr>
                <w:rFonts w:ascii="Calibri" w:cs="Calibri" w:eastAsia="Calibri" w:hAnsi="Calibri"/>
                <w:sz w:val="10"/>
                <w:szCs w:val="10"/>
                <w:color w:val="auto"/>
              </w:rPr>
              <w:t>Acquisiton of remaining interest in CarOfer, LLC</w:t>
            </w:r>
          </w:p>
        </w:tc>
        <w:tc>
          <w:tcPr>
            <w:tcW w:w="60" w:type="dxa"/>
            <w:vAlign w:val="bottom"/>
          </w:tcPr>
          <w:p>
            <w:pPr>
              <w:spacing w:after="0"/>
              <w:rPr>
                <w:sz w:val="11"/>
                <w:szCs w:val="11"/>
                <w:color w:val="auto"/>
              </w:rPr>
            </w:pPr>
          </w:p>
        </w:tc>
        <w:tc>
          <w:tcPr>
            <w:tcW w:w="820" w:type="dxa"/>
            <w:vAlign w:val="bottom"/>
            <w:tcBorders>
              <w:right w:val="single" w:sz="8" w:color="auto"/>
            </w:tcBorders>
            <w:gridSpan w:val="2"/>
          </w:tcPr>
          <w:p>
            <w:pPr>
              <w:jc w:val="right"/>
              <w:ind w:right="100"/>
              <w:spacing w:after="0" w:line="119" w:lineRule="exact"/>
              <w:rPr>
                <w:sz w:val="20"/>
                <w:szCs w:val="20"/>
                <w:color w:val="auto"/>
              </w:rPr>
            </w:pPr>
            <w:r>
              <w:rPr>
                <w:rFonts w:ascii="Calibri" w:cs="Calibri" w:eastAsia="Calibri" w:hAnsi="Calibri"/>
                <w:sz w:val="10"/>
                <w:szCs w:val="10"/>
                <w:color w:val="auto"/>
              </w:rPr>
              <w:t>(21,838 )</w:t>
            </w:r>
          </w:p>
        </w:tc>
        <w:tc>
          <w:tcPr>
            <w:tcW w:w="100" w:type="dxa"/>
            <w:vAlign w:val="bottom"/>
          </w:tcPr>
          <w:p>
            <w:pPr>
              <w:spacing w:after="0"/>
              <w:rPr>
                <w:sz w:val="11"/>
                <w:szCs w:val="11"/>
                <w:color w:val="auto"/>
              </w:rPr>
            </w:pPr>
          </w:p>
        </w:tc>
        <w:tc>
          <w:tcPr>
            <w:tcW w:w="880" w:type="dxa"/>
            <w:vAlign w:val="bottom"/>
            <w:gridSpan w:val="2"/>
          </w:tcPr>
          <w:p>
            <w:pPr>
              <w:jc w:val="right"/>
              <w:ind w:right="240"/>
              <w:spacing w:after="0" w:line="119" w:lineRule="exact"/>
              <w:rPr>
                <w:sz w:val="20"/>
                <w:szCs w:val="20"/>
                <w:color w:val="auto"/>
              </w:rPr>
            </w:pPr>
            <w:r>
              <w:rPr>
                <w:rFonts w:ascii="Calibri" w:cs="Calibri" w:eastAsia="Calibri" w:hAnsi="Calibri"/>
                <w:sz w:val="10"/>
                <w:szCs w:val="10"/>
                <w:color w:val="auto"/>
              </w:rPr>
              <w:t>—</w:t>
            </w:r>
          </w:p>
        </w:tc>
        <w:tc>
          <w:tcPr>
            <w:tcW w:w="100" w:type="dxa"/>
            <w:vAlign w:val="bottom"/>
          </w:tcPr>
          <w:p>
            <w:pPr>
              <w:spacing w:after="0"/>
              <w:rPr>
                <w:sz w:val="11"/>
                <w:szCs w:val="11"/>
                <w:color w:val="auto"/>
              </w:rPr>
            </w:pPr>
          </w:p>
        </w:tc>
        <w:tc>
          <w:tcPr>
            <w:tcW w:w="720" w:type="dxa"/>
            <w:vAlign w:val="bottom"/>
            <w:gridSpan w:val="2"/>
          </w:tcPr>
          <w:p>
            <w:pPr>
              <w:jc w:val="right"/>
              <w:ind w:right="240"/>
              <w:spacing w:after="0" w:line="119" w:lineRule="exact"/>
              <w:rPr>
                <w:sz w:val="20"/>
                <w:szCs w:val="20"/>
                <w:color w:val="auto"/>
              </w:rPr>
            </w:pPr>
            <w:r>
              <w:rPr>
                <w:rFonts w:ascii="Calibri" w:cs="Calibri" w:eastAsia="Calibri" w:hAnsi="Calibri"/>
                <w:sz w:val="10"/>
                <w:szCs w:val="10"/>
                <w:color w:val="auto"/>
              </w:rPr>
              <w:t>—</w:t>
            </w:r>
          </w:p>
        </w:tc>
        <w:tc>
          <w:tcPr>
            <w:tcW w:w="900" w:type="dxa"/>
            <w:vAlign w:val="bottom"/>
            <w:gridSpan w:val="2"/>
          </w:tcPr>
          <w:p>
            <w:pPr>
              <w:jc w:val="right"/>
              <w:ind w:right="260"/>
              <w:spacing w:after="0" w:line="119" w:lineRule="exact"/>
              <w:rPr>
                <w:sz w:val="20"/>
                <w:szCs w:val="20"/>
                <w:color w:val="auto"/>
              </w:rPr>
            </w:pPr>
            <w:r>
              <w:rPr>
                <w:rFonts w:ascii="Calibri" w:cs="Calibri" w:eastAsia="Calibri" w:hAnsi="Calibri"/>
                <w:sz w:val="10"/>
                <w:szCs w:val="10"/>
                <w:color w:val="auto"/>
              </w:rPr>
              <w:t>—</w:t>
            </w:r>
          </w:p>
        </w:tc>
        <w:tc>
          <w:tcPr>
            <w:tcW w:w="480" w:type="dxa"/>
            <w:vAlign w:val="bottom"/>
          </w:tcPr>
          <w:p>
            <w:pPr>
              <w:spacing w:after="0"/>
              <w:rPr>
                <w:sz w:val="11"/>
                <w:szCs w:val="11"/>
                <w:color w:val="auto"/>
              </w:rPr>
            </w:pPr>
          </w:p>
        </w:tc>
        <w:tc>
          <w:tcPr>
            <w:tcW w:w="360" w:type="dxa"/>
            <w:vAlign w:val="bottom"/>
            <w:gridSpan w:val="2"/>
          </w:tcPr>
          <w:p>
            <w:pPr>
              <w:jc w:val="right"/>
              <w:ind w:right="240"/>
              <w:spacing w:after="0" w:line="119" w:lineRule="exact"/>
              <w:rPr>
                <w:sz w:val="20"/>
                <w:szCs w:val="20"/>
                <w:color w:val="auto"/>
              </w:rPr>
            </w:pPr>
            <w:r>
              <w:rPr>
                <w:rFonts w:ascii="Calibri" w:cs="Calibri" w:eastAsia="Calibri" w:hAnsi="Calibri"/>
                <w:sz w:val="10"/>
                <w:szCs w:val="10"/>
                <w:color w:val="auto"/>
              </w:rPr>
              <w:t>—</w:t>
            </w:r>
          </w:p>
        </w:tc>
        <w:tc>
          <w:tcPr>
            <w:tcW w:w="80" w:type="dxa"/>
            <w:vAlign w:val="bottom"/>
          </w:tcPr>
          <w:p>
            <w:pPr>
              <w:spacing w:after="0"/>
              <w:rPr>
                <w:sz w:val="11"/>
                <w:szCs w:val="11"/>
                <w:color w:val="auto"/>
              </w:rPr>
            </w:pPr>
          </w:p>
        </w:tc>
        <w:tc>
          <w:tcPr>
            <w:tcW w:w="540" w:type="dxa"/>
            <w:vAlign w:val="bottom"/>
          </w:tcPr>
          <w:p>
            <w:pPr>
              <w:jc w:val="right"/>
              <w:spacing w:after="0" w:line="119" w:lineRule="exact"/>
              <w:rPr>
                <w:sz w:val="20"/>
                <w:szCs w:val="20"/>
                <w:color w:val="auto"/>
              </w:rPr>
            </w:pPr>
            <w:r>
              <w:rPr>
                <w:rFonts w:ascii="Calibri" w:cs="Calibri" w:eastAsia="Calibri" w:hAnsi="Calibri"/>
                <w:sz w:val="10"/>
                <w:szCs w:val="10"/>
                <w:color w:val="auto"/>
              </w:rPr>
              <w:t>8,558</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ind w:right="160"/>
              <w:spacing w:after="0" w:line="119" w:lineRule="exact"/>
              <w:rPr>
                <w:sz w:val="20"/>
                <w:szCs w:val="20"/>
                <w:color w:val="auto"/>
              </w:rPr>
            </w:pPr>
            <w:r>
              <w:rPr>
                <w:rFonts w:ascii="Calibri" w:cs="Calibri" w:eastAsia="Calibri" w:hAnsi="Calibri"/>
                <w:sz w:val="10"/>
                <w:szCs w:val="10"/>
                <w:color w:val="auto"/>
              </w:rPr>
              <w:t>(5,838 )</w:t>
            </w:r>
          </w:p>
        </w:tc>
        <w:tc>
          <w:tcPr>
            <w:tcW w:w="60" w:type="dxa"/>
            <w:vAlign w:val="bottom"/>
          </w:tcPr>
          <w:p>
            <w:pPr>
              <w:spacing w:after="0"/>
              <w:rPr>
                <w:sz w:val="11"/>
                <w:szCs w:val="11"/>
                <w:color w:val="auto"/>
              </w:rPr>
            </w:pPr>
          </w:p>
        </w:tc>
        <w:tc>
          <w:tcPr>
            <w:tcW w:w="860" w:type="dxa"/>
            <w:vAlign w:val="bottom"/>
            <w:gridSpan w:val="2"/>
          </w:tcPr>
          <w:p>
            <w:pPr>
              <w:jc w:val="right"/>
              <w:ind w:right="220"/>
              <w:spacing w:after="0" w:line="119" w:lineRule="exact"/>
              <w:rPr>
                <w:sz w:val="20"/>
                <w:szCs w:val="20"/>
                <w:color w:val="auto"/>
              </w:rPr>
            </w:pPr>
            <w:r>
              <w:rPr>
                <w:rFonts w:ascii="Calibri" w:cs="Calibri" w:eastAsia="Calibri" w:hAnsi="Calibri"/>
                <w:sz w:val="10"/>
                <w:szCs w:val="10"/>
                <w:color w:val="auto"/>
              </w:rPr>
              <w:t>—</w:t>
            </w:r>
          </w:p>
        </w:tc>
        <w:tc>
          <w:tcPr>
            <w:tcW w:w="60" w:type="dxa"/>
            <w:vAlign w:val="bottom"/>
          </w:tcPr>
          <w:p>
            <w:pPr>
              <w:spacing w:after="0"/>
              <w:rPr>
                <w:sz w:val="11"/>
                <w:szCs w:val="11"/>
                <w:color w:val="auto"/>
              </w:rPr>
            </w:pPr>
          </w:p>
        </w:tc>
        <w:tc>
          <w:tcPr>
            <w:tcW w:w="640" w:type="dxa"/>
            <w:vAlign w:val="bottom"/>
          </w:tcPr>
          <w:p>
            <w:pPr>
              <w:jc w:val="right"/>
              <w:spacing w:after="0" w:line="119" w:lineRule="exact"/>
              <w:rPr>
                <w:sz w:val="20"/>
                <w:szCs w:val="20"/>
                <w:color w:val="auto"/>
              </w:rPr>
            </w:pPr>
            <w:r>
              <w:rPr>
                <w:rFonts w:ascii="Calibri" w:cs="Calibri" w:eastAsia="Calibri" w:hAnsi="Calibri"/>
                <w:sz w:val="10"/>
                <w:szCs w:val="10"/>
                <w:color w:val="auto"/>
              </w:rPr>
              <w:t>2,720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440" w:type="dxa"/>
            <w:vAlign w:val="bottom"/>
            <w:shd w:val="clear" w:color="auto" w:fill="CFF0FC"/>
          </w:tcPr>
          <w:p>
            <w:pPr>
              <w:ind w:left="220"/>
              <w:spacing w:after="0"/>
              <w:rPr>
                <w:sz w:val="20"/>
                <w:szCs w:val="20"/>
                <w:color w:val="auto"/>
              </w:rPr>
            </w:pPr>
            <w:r>
              <w:rPr>
                <w:rFonts w:ascii="Calibri" w:cs="Calibri" w:eastAsia="Calibri" w:hAnsi="Calibri"/>
                <w:sz w:val="10"/>
                <w:szCs w:val="10"/>
                <w:color w:val="auto"/>
              </w:rPr>
              <w:t>Tax distributons to redeemable noncontrolling interest holders</w:t>
            </w:r>
          </w:p>
        </w:tc>
        <w:tc>
          <w:tcPr>
            <w:tcW w:w="60" w:type="dxa"/>
            <w:vAlign w:val="bottom"/>
            <w:shd w:val="clear" w:color="auto" w:fill="CFF0FC"/>
          </w:tcPr>
          <w:p>
            <w:pPr>
              <w:spacing w:after="0"/>
              <w:rPr>
                <w:sz w:val="12"/>
                <w:szCs w:val="12"/>
                <w:color w:val="auto"/>
              </w:rPr>
            </w:pPr>
          </w:p>
        </w:tc>
        <w:tc>
          <w:tcPr>
            <w:tcW w:w="820" w:type="dxa"/>
            <w:vAlign w:val="bottom"/>
            <w:tcBorders>
              <w:right w:val="single" w:sz="8" w:color="auto"/>
            </w:tcBorders>
            <w:gridSpan w:val="2"/>
            <w:shd w:val="clear" w:color="auto" w:fill="CFF0FC"/>
          </w:tcPr>
          <w:p>
            <w:pPr>
              <w:jc w:val="right"/>
              <w:ind w:right="100"/>
              <w:spacing w:after="0"/>
              <w:rPr>
                <w:sz w:val="20"/>
                <w:szCs w:val="20"/>
                <w:color w:val="auto"/>
              </w:rPr>
            </w:pPr>
            <w:r>
              <w:rPr>
                <w:rFonts w:ascii="Calibri" w:cs="Calibri" w:eastAsia="Calibri" w:hAnsi="Calibri"/>
                <w:sz w:val="10"/>
                <w:szCs w:val="10"/>
                <w:color w:val="auto"/>
              </w:rPr>
              <w:t>(22 )</w:t>
            </w: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240"/>
              <w:spacing w:after="0"/>
              <w:rPr>
                <w:sz w:val="20"/>
                <w:szCs w:val="20"/>
                <w:color w:val="auto"/>
              </w:rPr>
            </w:pPr>
            <w:r>
              <w:rPr>
                <w:rFonts w:ascii="Calibri" w:cs="Calibri" w:eastAsia="Calibri" w:hAnsi="Calibri"/>
                <w:sz w:val="10"/>
                <w:szCs w:val="10"/>
                <w:color w:val="auto"/>
              </w:rPr>
              <w:t>—</w:t>
            </w:r>
          </w:p>
        </w:tc>
        <w:tc>
          <w:tcPr>
            <w:tcW w:w="10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240"/>
              <w:spacing w:after="0"/>
              <w:rPr>
                <w:sz w:val="20"/>
                <w:szCs w:val="20"/>
                <w:color w:val="auto"/>
              </w:rPr>
            </w:pPr>
            <w:r>
              <w:rPr>
                <w:rFonts w:ascii="Calibri" w:cs="Calibri" w:eastAsia="Calibri" w:hAnsi="Calibri"/>
                <w:sz w:val="10"/>
                <w:szCs w:val="10"/>
                <w:color w:val="auto"/>
              </w:rPr>
              <w:t>—</w:t>
            </w:r>
          </w:p>
        </w:tc>
        <w:tc>
          <w:tcPr>
            <w:tcW w:w="900" w:type="dxa"/>
            <w:vAlign w:val="bottom"/>
            <w:gridSpan w:val="2"/>
            <w:shd w:val="clear" w:color="auto" w:fill="CFF0FC"/>
          </w:tcPr>
          <w:p>
            <w:pPr>
              <w:jc w:val="right"/>
              <w:ind w:right="260"/>
              <w:spacing w:after="0"/>
              <w:rPr>
                <w:sz w:val="20"/>
                <w:szCs w:val="20"/>
                <w:color w:val="auto"/>
              </w:rPr>
            </w:pPr>
            <w:r>
              <w:rPr>
                <w:rFonts w:ascii="Calibri" w:cs="Calibri" w:eastAsia="Calibri" w:hAnsi="Calibri"/>
                <w:sz w:val="10"/>
                <w:szCs w:val="10"/>
                <w:color w:val="auto"/>
              </w:rPr>
              <w:t>—</w:t>
            </w:r>
          </w:p>
        </w:tc>
        <w:tc>
          <w:tcPr>
            <w:tcW w:w="480" w:type="dxa"/>
            <w:vAlign w:val="bottom"/>
            <w:shd w:val="clear" w:color="auto" w:fill="CFF0FC"/>
          </w:tcPr>
          <w:p>
            <w:pPr>
              <w:spacing w:after="0"/>
              <w:rPr>
                <w:sz w:val="12"/>
                <w:szCs w:val="12"/>
                <w:color w:val="auto"/>
              </w:rPr>
            </w:pPr>
          </w:p>
        </w:tc>
        <w:tc>
          <w:tcPr>
            <w:tcW w:w="360" w:type="dxa"/>
            <w:vAlign w:val="bottom"/>
            <w:gridSpan w:val="2"/>
            <w:shd w:val="clear" w:color="auto" w:fill="CFF0FC"/>
          </w:tcPr>
          <w:p>
            <w:pPr>
              <w:jc w:val="right"/>
              <w:ind w:right="240"/>
              <w:spacing w:after="0"/>
              <w:rPr>
                <w:sz w:val="20"/>
                <w:szCs w:val="20"/>
                <w:color w:val="auto"/>
              </w:rPr>
            </w:pPr>
            <w:r>
              <w:rPr>
                <w:rFonts w:ascii="Calibri" w:cs="Calibri" w:eastAsia="Calibri" w:hAnsi="Calibri"/>
                <w:sz w:val="10"/>
                <w:szCs w:val="10"/>
                <w:color w:val="auto"/>
              </w:rPr>
              <w:t>—</w:t>
            </w:r>
          </w:p>
        </w:tc>
        <w:tc>
          <w:tcPr>
            <w:tcW w:w="8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40"/>
              <w:spacing w:after="0"/>
              <w:rPr>
                <w:sz w:val="20"/>
                <w:szCs w:val="20"/>
                <w:color w:val="auto"/>
              </w:rPr>
            </w:pPr>
            <w:r>
              <w:rPr>
                <w:rFonts w:ascii="Calibri" w:cs="Calibri" w:eastAsia="Calibri" w:hAnsi="Calibri"/>
                <w:sz w:val="10"/>
                <w:szCs w:val="10"/>
                <w:color w:val="auto"/>
              </w:rPr>
              <w:t>—</w:t>
            </w:r>
          </w:p>
        </w:tc>
        <w:tc>
          <w:tcPr>
            <w:tcW w:w="8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220"/>
              <w:spacing w:after="0"/>
              <w:rPr>
                <w:sz w:val="20"/>
                <w:szCs w:val="20"/>
                <w:color w:val="auto"/>
              </w:rPr>
            </w:pPr>
            <w:r>
              <w:rPr>
                <w:rFonts w:ascii="Calibri" w:cs="Calibri" w:eastAsia="Calibri" w:hAnsi="Calibri"/>
                <w:sz w:val="10"/>
                <w:szCs w:val="10"/>
                <w:color w:val="auto"/>
              </w:rPr>
              <w:t>—</w:t>
            </w:r>
          </w:p>
        </w:tc>
        <w:tc>
          <w:tcPr>
            <w:tcW w:w="6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220"/>
              <w:spacing w:after="0"/>
              <w:rPr>
                <w:sz w:val="20"/>
                <w:szCs w:val="20"/>
                <w:color w:val="auto"/>
              </w:rPr>
            </w:pPr>
            <w:r>
              <w:rPr>
                <w:rFonts w:ascii="Calibri" w:cs="Calibri" w:eastAsia="Calibri" w:hAnsi="Calibri"/>
                <w:sz w:val="10"/>
                <w:szCs w:val="10"/>
                <w:color w:val="auto"/>
              </w:rPr>
              <w:t>—</w:t>
            </w:r>
          </w:p>
        </w:tc>
        <w:tc>
          <w:tcPr>
            <w:tcW w:w="6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120"/>
              <w:spacing w:after="0"/>
              <w:rPr>
                <w:sz w:val="20"/>
                <w:szCs w:val="20"/>
                <w:color w:val="auto"/>
              </w:rPr>
            </w:pPr>
            <w:r>
              <w:rPr>
                <w:rFonts w:ascii="Calibri" w:cs="Calibri" w:eastAsia="Calibri" w:hAnsi="Calibri"/>
                <w:sz w:val="10"/>
                <w:szCs w:val="10"/>
                <w:color w:val="auto"/>
              </w:rPr>
              <w:t>—</w:t>
            </w:r>
          </w:p>
        </w:tc>
        <w:tc>
          <w:tcPr>
            <w:tcW w:w="0" w:type="dxa"/>
            <w:vAlign w:val="bottom"/>
          </w:tcPr>
          <w:p>
            <w:pPr>
              <w:spacing w:after="0"/>
              <w:rPr>
                <w:sz w:val="1"/>
                <w:szCs w:val="1"/>
                <w:color w:val="auto"/>
              </w:rPr>
            </w:pPr>
          </w:p>
        </w:tc>
      </w:tr>
      <w:tr>
        <w:trPr>
          <w:trHeight w:val="130"/>
        </w:trPr>
        <w:tc>
          <w:tcPr>
            <w:tcW w:w="3440" w:type="dxa"/>
            <w:vAlign w:val="bottom"/>
          </w:tcPr>
          <w:p>
            <w:pPr>
              <w:ind w:left="220"/>
              <w:spacing w:after="0" w:line="119" w:lineRule="exact"/>
              <w:rPr>
                <w:sz w:val="20"/>
                <w:szCs w:val="20"/>
                <w:color w:val="auto"/>
              </w:rPr>
            </w:pPr>
            <w:r>
              <w:rPr>
                <w:rFonts w:ascii="Calibri" w:cs="Calibri" w:eastAsia="Calibri" w:hAnsi="Calibri"/>
                <w:sz w:val="10"/>
                <w:szCs w:val="10"/>
                <w:color w:val="auto"/>
              </w:rPr>
              <w:t>Foreign currency translaton adjustment</w:t>
            </w:r>
          </w:p>
        </w:tc>
        <w:tc>
          <w:tcPr>
            <w:tcW w:w="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line="119" w:lineRule="exact"/>
              <w:rPr>
                <w:sz w:val="20"/>
                <w:szCs w:val="20"/>
                <w:color w:val="auto"/>
              </w:rPr>
            </w:pPr>
            <w:r>
              <w:rPr>
                <w:rFonts w:ascii="Calibri" w:cs="Calibri" w:eastAsia="Calibri" w:hAnsi="Calibri"/>
                <w:sz w:val="10"/>
                <w:szCs w:val="10"/>
                <w:color w:val="auto"/>
              </w:rPr>
              <w:t>—</w:t>
            </w:r>
          </w:p>
        </w:tc>
        <w:tc>
          <w:tcPr>
            <w:tcW w:w="1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bottom w:val="single" w:sz="8" w:color="auto"/>
            </w:tcBorders>
          </w:tcPr>
          <w:p>
            <w:pPr>
              <w:jc w:val="right"/>
              <w:spacing w:after="0" w:line="119" w:lineRule="exact"/>
              <w:rPr>
                <w:sz w:val="20"/>
                <w:szCs w:val="20"/>
                <w:color w:val="auto"/>
              </w:rPr>
            </w:pPr>
            <w:r>
              <w:rPr>
                <w:rFonts w:ascii="Calibri" w:cs="Calibri" w:eastAsia="Calibri" w:hAnsi="Calibri"/>
                <w:sz w:val="10"/>
                <w:szCs w:val="10"/>
                <w:color w:val="auto"/>
              </w:rPr>
              <w:t>—</w:t>
            </w: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19" w:lineRule="exact"/>
              <w:rPr>
                <w:sz w:val="20"/>
                <w:szCs w:val="20"/>
                <w:color w:val="auto"/>
              </w:rPr>
            </w:pPr>
            <w:r>
              <w:rPr>
                <w:rFonts w:ascii="Calibri" w:cs="Calibri" w:eastAsia="Calibri" w:hAnsi="Calibri"/>
                <w:sz w:val="10"/>
                <w:szCs w:val="10"/>
                <w:color w:val="auto"/>
              </w:rPr>
              <w:t>—</w:t>
            </w:r>
          </w:p>
        </w:tc>
        <w:tc>
          <w:tcPr>
            <w:tcW w:w="240" w:type="dxa"/>
            <w:vAlign w:val="bottom"/>
          </w:tcPr>
          <w:p>
            <w:pPr>
              <w:spacing w:after="0"/>
              <w:rPr>
                <w:sz w:val="11"/>
                <w:szCs w:val="11"/>
                <w:color w:val="auto"/>
              </w:rPr>
            </w:pPr>
          </w:p>
        </w:tc>
        <w:tc>
          <w:tcPr>
            <w:tcW w:w="660" w:type="dxa"/>
            <w:vAlign w:val="bottom"/>
            <w:tcBorders>
              <w:bottom w:val="single" w:sz="8" w:color="auto"/>
            </w:tcBorders>
          </w:tcPr>
          <w:p>
            <w:pPr>
              <w:jc w:val="right"/>
              <w:spacing w:after="0" w:line="119" w:lineRule="exact"/>
              <w:rPr>
                <w:sz w:val="20"/>
                <w:szCs w:val="20"/>
                <w:color w:val="auto"/>
              </w:rPr>
            </w:pPr>
            <w:r>
              <w:rPr>
                <w:rFonts w:ascii="Calibri" w:cs="Calibri" w:eastAsia="Calibri" w:hAnsi="Calibri"/>
                <w:sz w:val="10"/>
                <w:szCs w:val="10"/>
                <w:color w:val="auto"/>
              </w:rPr>
              <w:t>—</w:t>
            </w:r>
          </w:p>
        </w:tc>
        <w:tc>
          <w:tcPr>
            <w:tcW w:w="24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jc w:val="right"/>
              <w:spacing w:after="0" w:line="119" w:lineRule="exact"/>
              <w:rPr>
                <w:sz w:val="20"/>
                <w:szCs w:val="20"/>
                <w:color w:val="auto"/>
              </w:rPr>
            </w:pPr>
            <w:r>
              <w:rPr>
                <w:rFonts w:ascii="Calibri" w:cs="Calibri" w:eastAsia="Calibri" w:hAnsi="Calibri"/>
                <w:sz w:val="10"/>
                <w:szCs w:val="10"/>
                <w:color w:val="auto"/>
              </w:rPr>
              <w:t>—</w:t>
            </w: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19" w:lineRule="exact"/>
              <w:rPr>
                <w:sz w:val="20"/>
                <w:szCs w:val="20"/>
                <w:color w:val="auto"/>
              </w:rPr>
            </w:pPr>
            <w:r>
              <w:rPr>
                <w:rFonts w:ascii="Calibri" w:cs="Calibri" w:eastAsia="Calibri" w:hAnsi="Calibri"/>
                <w:sz w:val="10"/>
                <w:szCs w:val="10"/>
                <w:color w:val="auto"/>
              </w:rPr>
              <w:t>—</w:t>
            </w:r>
          </w:p>
        </w:tc>
        <w:tc>
          <w:tcPr>
            <w:tcW w:w="2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19" w:lineRule="exact"/>
              <w:rPr>
                <w:sz w:val="20"/>
                <w:szCs w:val="20"/>
                <w:color w:val="auto"/>
              </w:rPr>
            </w:pPr>
            <w:r>
              <w:rPr>
                <w:rFonts w:ascii="Calibri" w:cs="Calibri" w:eastAsia="Calibri" w:hAnsi="Calibri"/>
                <w:sz w:val="10"/>
                <w:szCs w:val="10"/>
                <w:color w:val="auto"/>
              </w:rPr>
              <w:t>—</w:t>
            </w:r>
          </w:p>
        </w:tc>
        <w:tc>
          <w:tcPr>
            <w:tcW w:w="2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19" w:lineRule="exact"/>
              <w:rPr>
                <w:sz w:val="20"/>
                <w:szCs w:val="20"/>
                <w:color w:val="auto"/>
              </w:rPr>
            </w:pPr>
            <w:r>
              <w:rPr>
                <w:rFonts w:ascii="Calibri" w:cs="Calibri" w:eastAsia="Calibri" w:hAnsi="Calibri"/>
                <w:sz w:val="10"/>
                <w:szCs w:val="10"/>
                <w:color w:val="auto"/>
              </w:rPr>
              <w:t>743</w:t>
            </w:r>
          </w:p>
        </w:tc>
        <w:tc>
          <w:tcPr>
            <w:tcW w:w="2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19" w:lineRule="exact"/>
              <w:rPr>
                <w:sz w:val="20"/>
                <w:szCs w:val="20"/>
                <w:color w:val="auto"/>
              </w:rPr>
            </w:pPr>
            <w:r>
              <w:rPr>
                <w:rFonts w:ascii="Calibri" w:cs="Calibri" w:eastAsia="Calibri" w:hAnsi="Calibri"/>
                <w:sz w:val="10"/>
                <w:szCs w:val="10"/>
                <w:color w:val="auto"/>
              </w:rPr>
              <w:t>743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3440" w:type="dxa"/>
            <w:vAlign w:val="bottom"/>
            <w:shd w:val="clear" w:color="auto" w:fill="CFF0FC"/>
          </w:tcPr>
          <w:p>
            <w:pPr>
              <w:spacing w:after="0" w:line="119" w:lineRule="exact"/>
              <w:rPr>
                <w:sz w:val="20"/>
                <w:szCs w:val="20"/>
                <w:color w:val="auto"/>
              </w:rPr>
            </w:pPr>
            <w:r>
              <w:rPr>
                <w:rFonts w:ascii="Calibri" w:cs="Calibri" w:eastAsia="Calibri" w:hAnsi="Calibri"/>
                <w:sz w:val="10"/>
                <w:szCs w:val="10"/>
                <w:color w:val="auto"/>
              </w:rPr>
              <w:t>Balance as of December 31, 2023</w:t>
            </w:r>
          </w:p>
        </w:tc>
        <w:tc>
          <w:tcPr>
            <w:tcW w:w="60" w:type="dxa"/>
            <w:vAlign w:val="bottom"/>
            <w:shd w:val="clear" w:color="auto" w:fill="CFF0FC"/>
          </w:tcPr>
          <w:p>
            <w:pPr>
              <w:spacing w:after="0"/>
              <w:rPr>
                <w:sz w:val="12"/>
                <w:szCs w:val="12"/>
                <w:color w:val="auto"/>
              </w:rPr>
            </w:pPr>
          </w:p>
        </w:tc>
        <w:tc>
          <w:tcPr>
            <w:tcW w:w="820" w:type="dxa"/>
            <w:vAlign w:val="bottom"/>
            <w:tcBorders>
              <w:right w:val="single" w:sz="8" w:color="auto"/>
            </w:tcBorders>
            <w:gridSpan w:val="2"/>
            <w:shd w:val="clear" w:color="auto" w:fill="CFF0FC"/>
          </w:tcPr>
          <w:p>
            <w:pPr>
              <w:jc w:val="right"/>
              <w:ind w:right="160"/>
              <w:spacing w:after="0" w:line="119" w:lineRule="exact"/>
              <w:rPr>
                <w:sz w:val="20"/>
                <w:szCs w:val="20"/>
                <w:color w:val="auto"/>
              </w:rPr>
            </w:pPr>
            <w:r>
              <w:rPr>
                <w:rFonts w:ascii="Calibri" w:cs="Calibri" w:eastAsia="Calibri" w:hAnsi="Calibri"/>
                <w:sz w:val="10"/>
                <w:szCs w:val="10"/>
                <w:color w:val="auto"/>
              </w:rPr>
              <w:t>—</w:t>
            </w: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19" w:lineRule="exact"/>
              <w:rPr>
                <w:sz w:val="20"/>
                <w:szCs w:val="20"/>
                <w:color w:val="auto"/>
              </w:rPr>
            </w:pPr>
            <w:r>
              <w:rPr>
                <w:rFonts w:ascii="Calibri" w:cs="Calibri" w:eastAsia="Calibri" w:hAnsi="Calibri"/>
                <w:sz w:val="10"/>
                <w:szCs w:val="10"/>
                <w:color w:val="auto"/>
              </w:rPr>
              <w:t>92,175,243</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line="119" w:lineRule="exact"/>
              <w:rPr>
                <w:sz w:val="20"/>
                <w:szCs w:val="20"/>
                <w:color w:val="auto"/>
              </w:rPr>
            </w:pPr>
            <w:r>
              <w:rPr>
                <w:rFonts w:ascii="Calibri" w:cs="Calibri" w:eastAsia="Calibri" w:hAnsi="Calibri"/>
                <w:sz w:val="10"/>
                <w:szCs w:val="10"/>
                <w:color w:val="auto"/>
              </w:rPr>
              <w:t>92</w:t>
            </w:r>
          </w:p>
        </w:tc>
        <w:tc>
          <w:tcPr>
            <w:tcW w:w="2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19" w:lineRule="exact"/>
              <w:rPr>
                <w:sz w:val="20"/>
                <w:szCs w:val="20"/>
                <w:color w:val="auto"/>
              </w:rPr>
            </w:pPr>
            <w:r>
              <w:rPr>
                <w:rFonts w:ascii="Calibri" w:cs="Calibri" w:eastAsia="Calibri" w:hAnsi="Calibri"/>
                <w:sz w:val="10"/>
                <w:szCs w:val="10"/>
                <w:color w:val="auto"/>
              </w:rPr>
              <w:t>15,999,173</w:t>
            </w:r>
          </w:p>
        </w:tc>
        <w:tc>
          <w:tcPr>
            <w:tcW w:w="24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line="119" w:lineRule="exact"/>
              <w:rPr>
                <w:sz w:val="20"/>
                <w:szCs w:val="20"/>
                <w:color w:val="auto"/>
              </w:rPr>
            </w:pPr>
            <w:r>
              <w:rPr>
                <w:rFonts w:ascii="Calibri" w:cs="Calibri" w:eastAsia="Calibri" w:hAnsi="Calibri"/>
                <w:sz w:val="10"/>
                <w:szCs w:val="10"/>
                <w:color w:val="auto"/>
                <w:w w:val="98"/>
              </w:rPr>
              <w:t>16</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19" w:lineRule="exact"/>
              <w:rPr>
                <w:sz w:val="20"/>
                <w:szCs w:val="20"/>
                <w:color w:val="auto"/>
              </w:rPr>
            </w:pPr>
            <w:r>
              <w:rPr>
                <w:rFonts w:ascii="Calibri" w:cs="Calibri" w:eastAsia="Calibri" w:hAnsi="Calibri"/>
                <w:sz w:val="10"/>
                <w:szCs w:val="10"/>
                <w:color w:val="auto"/>
              </w:rPr>
              <w:t>263,498</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19" w:lineRule="exact"/>
              <w:rPr>
                <w:sz w:val="20"/>
                <w:szCs w:val="20"/>
                <w:color w:val="auto"/>
              </w:rPr>
            </w:pPr>
            <w:r>
              <w:rPr>
                <w:rFonts w:ascii="Calibri" w:cs="Calibri" w:eastAsia="Calibri" w:hAnsi="Calibri"/>
                <w:sz w:val="10"/>
                <w:szCs w:val="10"/>
                <w:color w:val="auto"/>
              </w:rPr>
              <w:t>354,147</w:t>
            </w:r>
          </w:p>
        </w:tc>
        <w:tc>
          <w:tcPr>
            <w:tcW w:w="2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60"/>
              <w:spacing w:after="0" w:line="119" w:lineRule="exact"/>
              <w:rPr>
                <w:sz w:val="20"/>
                <w:szCs w:val="20"/>
                <w:color w:val="auto"/>
              </w:rPr>
            </w:pPr>
            <w:r>
              <w:rPr>
                <w:rFonts w:ascii="Calibri" w:cs="Calibri" w:eastAsia="Calibri" w:hAnsi="Calibri"/>
                <w:sz w:val="10"/>
                <w:szCs w:val="10"/>
                <w:color w:val="auto"/>
              </w:rPr>
              <w:t>(901 )</w:t>
            </w:r>
          </w:p>
        </w:tc>
        <w:tc>
          <w:tcPr>
            <w:tcW w:w="6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19" w:lineRule="exact"/>
              <w:rPr>
                <w:sz w:val="20"/>
                <w:szCs w:val="20"/>
                <w:color w:val="auto"/>
              </w:rPr>
            </w:pPr>
            <w:r>
              <w:rPr>
                <w:rFonts w:ascii="Calibri" w:cs="Calibri" w:eastAsia="Calibri" w:hAnsi="Calibri"/>
                <w:sz w:val="10"/>
                <w:szCs w:val="10"/>
                <w:color w:val="auto"/>
              </w:rPr>
              <w:t>616,852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jc w:val="center"/>
        <w:ind w:right="20"/>
        <w:spacing w:after="0"/>
        <w:rPr>
          <w:sz w:val="20"/>
          <w:szCs w:val="20"/>
          <w:color w:val="auto"/>
        </w:rPr>
      </w:pPr>
      <w:r>
        <w:rPr>
          <w:rFonts w:ascii="Calibri" w:cs="Calibri" w:eastAsia="Calibri" w:hAnsi="Calibri"/>
          <w:sz w:val="15"/>
          <w:szCs w:val="15"/>
          <w:color w:val="auto"/>
        </w:rPr>
        <w:t>The accompanying notes are an integral part of these consolidated fnancial statements.</w:t>
      </w:r>
    </w:p>
    <w:p>
      <w:pPr>
        <w:spacing w:after="0" w:line="93" w:lineRule="exact"/>
        <w:rPr>
          <w:sz w:val="20"/>
          <w:szCs w:val="20"/>
          <w:color w:val="auto"/>
        </w:rPr>
      </w:pPr>
    </w:p>
    <w:p>
      <w:pPr>
        <w:jc w:val="center"/>
        <w:spacing w:after="0"/>
        <w:rPr>
          <w:sz w:val="20"/>
          <w:szCs w:val="20"/>
          <w:color w:val="auto"/>
        </w:rPr>
      </w:pPr>
      <w:r>
        <w:rPr>
          <w:rFonts w:ascii="Calibri" w:cs="Calibri" w:eastAsia="Calibri" w:hAnsi="Calibri"/>
          <w:sz w:val="15"/>
          <w:szCs w:val="15"/>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408940</wp:posOffset>
            </wp:positionV>
            <wp:extent cx="7178040" cy="400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949" w:right="319" w:bottom="1440" w:gutter="0" w:footer="0" w:header="0"/>
        </w:sectPr>
      </w:pPr>
    </w:p>
    <w:bookmarkStart w:id="85" w:name="page86"/>
    <w:bookmarkEnd w:id="85"/>
    <w:p>
      <w:pPr>
        <w:jc w:val="center"/>
        <w:ind w:right="20"/>
        <w:spacing w:after="0"/>
        <w:rPr>
          <w:sz w:val="20"/>
          <w:szCs w:val="20"/>
          <w:color w:val="auto"/>
        </w:rPr>
      </w:pPr>
      <w:r>
        <w:rPr>
          <w:rFonts w:ascii="Calibri" w:cs="Calibri" w:eastAsia="Calibri" w:hAnsi="Calibri"/>
          <w:sz w:val="14"/>
          <w:szCs w:val="14"/>
          <w:b w:val="1"/>
          <w:bCs w:val="1"/>
          <w:color w:val="auto"/>
        </w:rPr>
        <w:t>CarGurus, Inc.</w:t>
      </w:r>
    </w:p>
    <w:p>
      <w:pPr>
        <w:spacing w:after="0" w:line="186" w:lineRule="exact"/>
        <w:rPr>
          <w:sz w:val="20"/>
          <w:szCs w:val="20"/>
          <w:color w:val="auto"/>
        </w:rPr>
      </w:pPr>
    </w:p>
    <w:p>
      <w:pPr>
        <w:jc w:val="center"/>
        <w:ind w:right="20"/>
        <w:spacing w:after="0"/>
        <w:rPr>
          <w:sz w:val="20"/>
          <w:szCs w:val="20"/>
          <w:color w:val="auto"/>
        </w:rPr>
      </w:pPr>
      <w:r>
        <w:rPr>
          <w:rFonts w:ascii="Calibri" w:cs="Calibri" w:eastAsia="Calibri" w:hAnsi="Calibri"/>
          <w:sz w:val="14"/>
          <w:szCs w:val="14"/>
          <w:b w:val="1"/>
          <w:bCs w:val="1"/>
          <w:color w:val="auto"/>
        </w:rPr>
        <w:t>Consolidated Statements of Cash Flows</w:t>
      </w:r>
    </w:p>
    <w:p>
      <w:pPr>
        <w:spacing w:after="0" w:line="186" w:lineRule="exact"/>
        <w:rPr>
          <w:sz w:val="20"/>
          <w:szCs w:val="20"/>
          <w:color w:val="auto"/>
        </w:rPr>
      </w:pPr>
    </w:p>
    <w:p>
      <w:pPr>
        <w:jc w:val="center"/>
        <w:ind w:right="20"/>
        <w:spacing w:after="0"/>
        <w:rPr>
          <w:sz w:val="20"/>
          <w:szCs w:val="20"/>
          <w:color w:val="auto"/>
        </w:rPr>
      </w:pPr>
      <w:r>
        <w:rPr>
          <w:rFonts w:ascii="Calibri" w:cs="Calibri" w:eastAsia="Calibri" w:hAnsi="Calibri"/>
          <w:sz w:val="14"/>
          <w:szCs w:val="14"/>
          <w:b w:val="1"/>
          <w:bCs w:val="1"/>
          <w:color w:val="auto"/>
        </w:rPr>
        <w:t>(in thousands)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66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gridSpan w:val="2"/>
          </w:tcPr>
          <w:p>
            <w:pPr>
              <w:jc w:val="right"/>
              <w:ind w:right="420"/>
              <w:spacing w:after="0"/>
              <w:rPr>
                <w:sz w:val="20"/>
                <w:szCs w:val="20"/>
                <w:color w:val="auto"/>
              </w:rPr>
            </w:pPr>
            <w:r>
              <w:rPr>
                <w:rFonts w:ascii="Calibri" w:cs="Calibri" w:eastAsia="Calibri" w:hAnsi="Calibri"/>
                <w:sz w:val="10"/>
                <w:szCs w:val="10"/>
                <w:b w:val="1"/>
                <w:bCs w:val="1"/>
                <w:color w:val="auto"/>
                <w:w w:val="99"/>
              </w:rPr>
              <w:t>Year Ended December 31,</w:t>
            </w: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6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1"/>
        </w:trPr>
        <w:tc>
          <w:tcPr>
            <w:tcW w:w="6600" w:type="dxa"/>
            <w:vAlign w:val="bottom"/>
          </w:tcPr>
          <w:p>
            <w:pPr>
              <w:spacing w:after="0"/>
              <w:rPr>
                <w:sz w:val="10"/>
                <w:szCs w:val="10"/>
                <w:color w:val="auto"/>
              </w:rPr>
            </w:pPr>
          </w:p>
        </w:tc>
        <w:tc>
          <w:tcPr>
            <w:tcW w:w="880" w:type="dxa"/>
            <w:vAlign w:val="bottom"/>
            <w:tcBorders>
              <w:bottom w:val="single" w:sz="8" w:color="auto"/>
            </w:tcBorders>
          </w:tcPr>
          <w:p>
            <w:pPr>
              <w:jc w:val="right"/>
              <w:ind w:right="50"/>
              <w:spacing w:after="0" w:line="119" w:lineRule="exact"/>
              <w:rPr>
                <w:sz w:val="20"/>
                <w:szCs w:val="20"/>
                <w:color w:val="auto"/>
              </w:rPr>
            </w:pPr>
            <w:r>
              <w:rPr>
                <w:rFonts w:ascii="Calibri" w:cs="Calibri" w:eastAsia="Calibri" w:hAnsi="Calibri"/>
                <w:sz w:val="10"/>
                <w:szCs w:val="10"/>
                <w:b w:val="1"/>
                <w:bCs w:val="1"/>
                <w:color w:val="auto"/>
              </w:rPr>
              <w:t>2023</w:t>
            </w:r>
          </w:p>
        </w:tc>
        <w:tc>
          <w:tcPr>
            <w:tcW w:w="48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jc w:val="right"/>
              <w:ind w:right="530"/>
              <w:spacing w:after="0" w:line="119" w:lineRule="exact"/>
              <w:rPr>
                <w:sz w:val="20"/>
                <w:szCs w:val="20"/>
                <w:color w:val="auto"/>
              </w:rPr>
            </w:pPr>
            <w:r>
              <w:rPr>
                <w:rFonts w:ascii="Calibri" w:cs="Calibri" w:eastAsia="Calibri" w:hAnsi="Calibri"/>
                <w:sz w:val="10"/>
                <w:szCs w:val="10"/>
                <w:b w:val="1"/>
                <w:bCs w:val="1"/>
                <w:color w:val="auto"/>
              </w:rPr>
              <w:t>2022</w:t>
            </w:r>
          </w:p>
        </w:tc>
        <w:tc>
          <w:tcPr>
            <w:tcW w:w="24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510"/>
              <w:spacing w:after="0" w:line="119" w:lineRule="exact"/>
              <w:rPr>
                <w:sz w:val="20"/>
                <w:szCs w:val="20"/>
                <w:color w:val="auto"/>
              </w:rPr>
            </w:pPr>
            <w:r>
              <w:rPr>
                <w:rFonts w:ascii="Calibri" w:cs="Calibri" w:eastAsia="Calibri" w:hAnsi="Calibri"/>
                <w:sz w:val="10"/>
                <w:szCs w:val="10"/>
                <w:b w:val="1"/>
                <w:bCs w:val="1"/>
                <w:color w:val="auto"/>
              </w:rPr>
              <w:t>2021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6600" w:type="dxa"/>
            <w:vAlign w:val="bottom"/>
            <w:shd w:val="clear" w:color="auto" w:fill="CFF0FC"/>
          </w:tcPr>
          <w:p>
            <w:pPr>
              <w:spacing w:after="0" w:line="119" w:lineRule="exact"/>
              <w:rPr>
                <w:sz w:val="20"/>
                <w:szCs w:val="20"/>
                <w:color w:val="auto"/>
              </w:rPr>
            </w:pPr>
            <w:r>
              <w:rPr>
                <w:rFonts w:ascii="Calibri" w:cs="Calibri" w:eastAsia="Calibri" w:hAnsi="Calibri"/>
                <w:sz w:val="10"/>
                <w:szCs w:val="10"/>
                <w:b w:val="1"/>
                <w:bCs w:val="1"/>
                <w:color w:val="auto"/>
              </w:rPr>
              <w:t>Operatng Actvites</w:t>
            </w:r>
          </w:p>
        </w:tc>
        <w:tc>
          <w:tcPr>
            <w:tcW w:w="8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6600" w:type="dxa"/>
            <w:vAlign w:val="bottom"/>
          </w:tcPr>
          <w:p>
            <w:pPr>
              <w:ind w:left="60"/>
              <w:spacing w:after="0" w:line="119" w:lineRule="exact"/>
              <w:rPr>
                <w:sz w:val="20"/>
                <w:szCs w:val="20"/>
                <w:color w:val="auto"/>
              </w:rPr>
            </w:pPr>
            <w:r>
              <w:rPr>
                <w:rFonts w:ascii="Calibri" w:cs="Calibri" w:eastAsia="Calibri" w:hAnsi="Calibri"/>
                <w:sz w:val="10"/>
                <w:szCs w:val="10"/>
                <w:color w:val="auto"/>
              </w:rPr>
              <w:t>Consolidated net income</w:t>
            </w:r>
          </w:p>
        </w:tc>
        <w:tc>
          <w:tcPr>
            <w:tcW w:w="880" w:type="dxa"/>
            <w:vAlign w:val="bottom"/>
          </w:tcPr>
          <w:p>
            <w:pPr>
              <w:jc w:val="right"/>
              <w:ind w:right="770"/>
              <w:spacing w:after="0" w:line="119" w:lineRule="exact"/>
              <w:rPr>
                <w:sz w:val="20"/>
                <w:szCs w:val="20"/>
                <w:color w:val="auto"/>
              </w:rPr>
            </w:pPr>
            <w:r>
              <w:rPr>
                <w:rFonts w:ascii="Calibri" w:cs="Calibri" w:eastAsia="Calibri" w:hAnsi="Calibri"/>
                <w:sz w:val="10"/>
                <w:szCs w:val="10"/>
                <w:color w:val="auto"/>
                <w:w w:val="77"/>
              </w:rPr>
              <w:t>$</w:t>
            </w:r>
          </w:p>
        </w:tc>
        <w:tc>
          <w:tcPr>
            <w:tcW w:w="480" w:type="dxa"/>
            <w:vAlign w:val="bottom"/>
          </w:tcPr>
          <w:p>
            <w:pPr>
              <w:jc w:val="right"/>
              <w:spacing w:after="0" w:line="119" w:lineRule="exact"/>
              <w:rPr>
                <w:sz w:val="20"/>
                <w:szCs w:val="20"/>
                <w:color w:val="auto"/>
              </w:rPr>
            </w:pPr>
            <w:r>
              <w:rPr>
                <w:rFonts w:ascii="Calibri" w:cs="Calibri" w:eastAsia="Calibri" w:hAnsi="Calibri"/>
                <w:sz w:val="10"/>
                <w:szCs w:val="10"/>
                <w:color w:val="auto"/>
              </w:rPr>
              <w:t>22,053</w:t>
            </w:r>
          </w:p>
        </w:tc>
        <w:tc>
          <w:tcPr>
            <w:tcW w:w="280" w:type="dxa"/>
            <w:vAlign w:val="bottom"/>
          </w:tcPr>
          <w:p>
            <w:pPr>
              <w:spacing w:after="0"/>
              <w:rPr>
                <w:sz w:val="11"/>
                <w:szCs w:val="11"/>
                <w:color w:val="auto"/>
              </w:rPr>
            </w:pPr>
          </w:p>
        </w:tc>
        <w:tc>
          <w:tcPr>
            <w:tcW w:w="80" w:type="dxa"/>
            <w:vAlign w:val="bottom"/>
          </w:tcPr>
          <w:p>
            <w:pPr>
              <w:jc w:val="right"/>
              <w:spacing w:after="0" w:line="119" w:lineRule="exact"/>
              <w:rPr>
                <w:sz w:val="20"/>
                <w:szCs w:val="20"/>
                <w:color w:val="auto"/>
              </w:rPr>
            </w:pPr>
            <w:r>
              <w:rPr>
                <w:rFonts w:ascii="Calibri" w:cs="Calibri" w:eastAsia="Calibri" w:hAnsi="Calibri"/>
                <w:sz w:val="10"/>
                <w:szCs w:val="10"/>
                <w:color w:val="auto"/>
                <w:w w:val="77"/>
              </w:rPr>
              <w:t>$</w:t>
            </w:r>
          </w:p>
        </w:tc>
        <w:tc>
          <w:tcPr>
            <w:tcW w:w="1260" w:type="dxa"/>
            <w:vAlign w:val="bottom"/>
          </w:tcPr>
          <w:p>
            <w:pPr>
              <w:jc w:val="right"/>
              <w:spacing w:after="0" w:line="119" w:lineRule="exact"/>
              <w:rPr>
                <w:sz w:val="20"/>
                <w:szCs w:val="20"/>
                <w:color w:val="auto"/>
              </w:rPr>
            </w:pPr>
            <w:r>
              <w:rPr>
                <w:rFonts w:ascii="Calibri" w:cs="Calibri" w:eastAsia="Calibri" w:hAnsi="Calibri"/>
                <w:sz w:val="10"/>
                <w:szCs w:val="10"/>
                <w:color w:val="auto"/>
              </w:rPr>
              <w:t>78,954</w:t>
            </w:r>
          </w:p>
        </w:tc>
        <w:tc>
          <w:tcPr>
            <w:tcW w:w="240" w:type="dxa"/>
            <w:vAlign w:val="bottom"/>
          </w:tcPr>
          <w:p>
            <w:pPr>
              <w:spacing w:after="0"/>
              <w:rPr>
                <w:sz w:val="11"/>
                <w:szCs w:val="11"/>
                <w:color w:val="auto"/>
              </w:rPr>
            </w:pPr>
          </w:p>
        </w:tc>
        <w:tc>
          <w:tcPr>
            <w:tcW w:w="320" w:type="dxa"/>
            <w:vAlign w:val="bottom"/>
          </w:tcPr>
          <w:p>
            <w:pPr>
              <w:jc w:val="right"/>
              <w:ind w:right="190"/>
              <w:spacing w:after="0" w:line="119" w:lineRule="exact"/>
              <w:rPr>
                <w:sz w:val="20"/>
                <w:szCs w:val="20"/>
                <w:color w:val="auto"/>
              </w:rPr>
            </w:pPr>
            <w:r>
              <w:rPr>
                <w:rFonts w:ascii="Calibri" w:cs="Calibri" w:eastAsia="Calibri" w:hAnsi="Calibri"/>
                <w:sz w:val="10"/>
                <w:szCs w:val="10"/>
                <w:color w:val="auto"/>
              </w:rPr>
              <w:t>$</w:t>
            </w:r>
          </w:p>
        </w:tc>
        <w:tc>
          <w:tcPr>
            <w:tcW w:w="1020" w:type="dxa"/>
            <w:vAlign w:val="bottom"/>
          </w:tcPr>
          <w:p>
            <w:pPr>
              <w:jc w:val="right"/>
              <w:spacing w:after="0" w:line="119" w:lineRule="exact"/>
              <w:rPr>
                <w:sz w:val="20"/>
                <w:szCs w:val="20"/>
                <w:color w:val="auto"/>
              </w:rPr>
            </w:pPr>
            <w:r>
              <w:rPr>
                <w:rFonts w:ascii="Calibri" w:cs="Calibri" w:eastAsia="Calibri" w:hAnsi="Calibri"/>
                <w:sz w:val="10"/>
                <w:szCs w:val="10"/>
                <w:color w:val="auto"/>
              </w:rPr>
              <w:t>110,373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6600" w:type="dxa"/>
            <w:vAlign w:val="bottom"/>
            <w:shd w:val="clear" w:color="auto" w:fill="CFF0FC"/>
          </w:tcPr>
          <w:p>
            <w:pPr>
              <w:ind w:left="60"/>
              <w:spacing w:after="0"/>
              <w:rPr>
                <w:sz w:val="20"/>
                <w:szCs w:val="20"/>
                <w:color w:val="auto"/>
              </w:rPr>
            </w:pPr>
            <w:r>
              <w:rPr>
                <w:rFonts w:ascii="Calibri" w:cs="Calibri" w:eastAsia="Calibri" w:hAnsi="Calibri"/>
                <w:sz w:val="10"/>
                <w:szCs w:val="10"/>
                <w:color w:val="auto"/>
              </w:rPr>
              <w:t>Adjustments to reconcile consolidated net income to net cash provided</w:t>
            </w:r>
          </w:p>
        </w:tc>
        <w:tc>
          <w:tcPr>
            <w:tcW w:w="8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600" w:type="dxa"/>
            <w:vAlign w:val="bottom"/>
            <w:tcBorders>
              <w:bottom w:val="single" w:sz="8" w:color="CFF0FC"/>
            </w:tcBorders>
            <w:shd w:val="clear" w:color="auto" w:fill="CFF0FC"/>
          </w:tcPr>
          <w:p>
            <w:pPr>
              <w:ind w:left="140"/>
              <w:spacing w:after="0" w:line="119" w:lineRule="exact"/>
              <w:rPr>
                <w:sz w:val="20"/>
                <w:szCs w:val="20"/>
                <w:color w:val="auto"/>
              </w:rPr>
            </w:pPr>
            <w:r>
              <w:rPr>
                <w:rFonts w:ascii="Calibri" w:cs="Calibri" w:eastAsia="Calibri" w:hAnsi="Calibri"/>
                <w:sz w:val="10"/>
                <w:szCs w:val="10"/>
                <w:color w:val="auto"/>
              </w:rPr>
              <w:t>by operatng actvites:</w:t>
            </w:r>
          </w:p>
        </w:tc>
        <w:tc>
          <w:tcPr>
            <w:tcW w:w="880" w:type="dxa"/>
            <w:vAlign w:val="bottom"/>
            <w:tcBorders>
              <w:bottom w:val="single" w:sz="8" w:color="CFF0FC"/>
            </w:tcBorders>
            <w:shd w:val="clear" w:color="auto" w:fill="CFF0FC"/>
          </w:tcPr>
          <w:p>
            <w:pPr>
              <w:spacing w:after="0"/>
              <w:rPr>
                <w:sz w:val="10"/>
                <w:szCs w:val="10"/>
                <w:color w:val="auto"/>
              </w:rPr>
            </w:pPr>
          </w:p>
        </w:tc>
        <w:tc>
          <w:tcPr>
            <w:tcW w:w="480" w:type="dxa"/>
            <w:vAlign w:val="bottom"/>
            <w:tcBorders>
              <w:bottom w:val="single" w:sz="8" w:color="CFF0FC"/>
            </w:tcBorders>
            <w:shd w:val="clear" w:color="auto" w:fill="CFF0FC"/>
          </w:tcPr>
          <w:p>
            <w:pPr>
              <w:spacing w:after="0"/>
              <w:rPr>
                <w:sz w:val="10"/>
                <w:szCs w:val="10"/>
                <w:color w:val="auto"/>
              </w:rPr>
            </w:pPr>
          </w:p>
        </w:tc>
        <w:tc>
          <w:tcPr>
            <w:tcW w:w="28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1260" w:type="dxa"/>
            <w:vAlign w:val="bottom"/>
            <w:tcBorders>
              <w:bottom w:val="single" w:sz="8" w:color="CFF0FC"/>
            </w:tcBorders>
            <w:shd w:val="clear" w:color="auto" w:fill="CFF0FC"/>
          </w:tcPr>
          <w:p>
            <w:pPr>
              <w:spacing w:after="0"/>
              <w:rPr>
                <w:sz w:val="10"/>
                <w:szCs w:val="10"/>
                <w:color w:val="auto"/>
              </w:rPr>
            </w:pPr>
          </w:p>
        </w:tc>
        <w:tc>
          <w:tcPr>
            <w:tcW w:w="240" w:type="dxa"/>
            <w:vAlign w:val="bottom"/>
            <w:tcBorders>
              <w:bottom w:val="single" w:sz="8" w:color="CFF0FC"/>
            </w:tcBorders>
            <w:shd w:val="clear" w:color="auto" w:fill="CFF0FC"/>
          </w:tcPr>
          <w:p>
            <w:pPr>
              <w:spacing w:after="0"/>
              <w:rPr>
                <w:sz w:val="10"/>
                <w:szCs w:val="10"/>
                <w:color w:val="auto"/>
              </w:rPr>
            </w:pPr>
          </w:p>
        </w:tc>
        <w:tc>
          <w:tcPr>
            <w:tcW w:w="320" w:type="dxa"/>
            <w:vAlign w:val="bottom"/>
            <w:tcBorders>
              <w:bottom w:val="single" w:sz="8" w:color="CFF0FC"/>
            </w:tcBorders>
            <w:shd w:val="clear" w:color="auto" w:fill="CFF0FC"/>
          </w:tcPr>
          <w:p>
            <w:pPr>
              <w:spacing w:after="0"/>
              <w:rPr>
                <w:sz w:val="10"/>
                <w:szCs w:val="10"/>
                <w:color w:val="auto"/>
              </w:rPr>
            </w:pPr>
          </w:p>
        </w:tc>
        <w:tc>
          <w:tcPr>
            <w:tcW w:w="10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6600" w:type="dxa"/>
            <w:vAlign w:val="bottom"/>
          </w:tcPr>
          <w:p>
            <w:pPr>
              <w:ind w:left="120"/>
              <w:spacing w:after="0" w:line="119" w:lineRule="exact"/>
              <w:rPr>
                <w:sz w:val="20"/>
                <w:szCs w:val="20"/>
                <w:color w:val="auto"/>
              </w:rPr>
            </w:pPr>
            <w:r>
              <w:rPr>
                <w:rFonts w:ascii="Calibri" w:cs="Calibri" w:eastAsia="Calibri" w:hAnsi="Calibri"/>
                <w:sz w:val="10"/>
                <w:szCs w:val="10"/>
                <w:color w:val="auto"/>
              </w:rPr>
              <w:t>Depreciaton and amortzaton</w:t>
            </w:r>
          </w:p>
        </w:tc>
        <w:tc>
          <w:tcPr>
            <w:tcW w:w="880" w:type="dxa"/>
            <w:vAlign w:val="bottom"/>
          </w:tcPr>
          <w:p>
            <w:pPr>
              <w:spacing w:after="0"/>
              <w:rPr>
                <w:sz w:val="11"/>
                <w:szCs w:val="11"/>
                <w:color w:val="auto"/>
              </w:rPr>
            </w:pPr>
          </w:p>
        </w:tc>
        <w:tc>
          <w:tcPr>
            <w:tcW w:w="480" w:type="dxa"/>
            <w:vAlign w:val="bottom"/>
          </w:tcPr>
          <w:p>
            <w:pPr>
              <w:jc w:val="right"/>
              <w:spacing w:after="0" w:line="119" w:lineRule="exact"/>
              <w:rPr>
                <w:sz w:val="20"/>
                <w:szCs w:val="20"/>
                <w:color w:val="auto"/>
              </w:rPr>
            </w:pPr>
            <w:r>
              <w:rPr>
                <w:rFonts w:ascii="Calibri" w:cs="Calibri" w:eastAsia="Calibri" w:hAnsi="Calibri"/>
                <w:sz w:val="10"/>
                <w:szCs w:val="10"/>
                <w:color w:val="auto"/>
              </w:rPr>
              <w:t>48,474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jc w:val="right"/>
              <w:spacing w:after="0" w:line="119" w:lineRule="exact"/>
              <w:rPr>
                <w:sz w:val="20"/>
                <w:szCs w:val="20"/>
                <w:color w:val="auto"/>
              </w:rPr>
            </w:pPr>
            <w:r>
              <w:rPr>
                <w:rFonts w:ascii="Calibri" w:cs="Calibri" w:eastAsia="Calibri" w:hAnsi="Calibri"/>
                <w:sz w:val="10"/>
                <w:szCs w:val="10"/>
                <w:color w:val="auto"/>
              </w:rPr>
              <w:t>45,334</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jc w:val="right"/>
              <w:spacing w:after="0" w:line="119" w:lineRule="exact"/>
              <w:rPr>
                <w:sz w:val="20"/>
                <w:szCs w:val="20"/>
                <w:color w:val="auto"/>
              </w:rPr>
            </w:pPr>
            <w:r>
              <w:rPr>
                <w:rFonts w:ascii="Calibri" w:cs="Calibri" w:eastAsia="Calibri" w:hAnsi="Calibri"/>
                <w:sz w:val="10"/>
                <w:szCs w:val="10"/>
                <w:color w:val="auto"/>
              </w:rPr>
              <w:t>40,476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600" w:type="dxa"/>
            <w:vAlign w:val="bottom"/>
            <w:shd w:val="clear" w:color="auto" w:fill="CFF0FC"/>
          </w:tcPr>
          <w:p>
            <w:pPr>
              <w:ind w:left="120"/>
              <w:spacing w:after="0"/>
              <w:rPr>
                <w:sz w:val="20"/>
                <w:szCs w:val="20"/>
                <w:color w:val="auto"/>
              </w:rPr>
            </w:pPr>
            <w:r>
              <w:rPr>
                <w:rFonts w:ascii="Calibri" w:cs="Calibri" w:eastAsia="Calibri" w:hAnsi="Calibri"/>
                <w:sz w:val="10"/>
                <w:szCs w:val="10"/>
                <w:color w:val="auto"/>
              </w:rPr>
              <w:t>Gain on sale of property and equipment</w:t>
            </w:r>
          </w:p>
        </w:tc>
        <w:tc>
          <w:tcPr>
            <w:tcW w:w="8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40"/>
              <w:spacing w:after="0"/>
              <w:rPr>
                <w:sz w:val="20"/>
                <w:szCs w:val="20"/>
                <w:color w:val="auto"/>
              </w:rPr>
            </w:pPr>
            <w:r>
              <w:rPr>
                <w:rFonts w:ascii="Calibri" w:cs="Calibri" w:eastAsia="Calibri" w:hAnsi="Calibri"/>
                <w:sz w:val="10"/>
                <w:szCs w:val="10"/>
                <w:color w:val="auto"/>
              </w:rPr>
              <w:t>(460 )</w:t>
            </w:r>
          </w:p>
        </w:tc>
        <w:tc>
          <w:tcPr>
            <w:tcW w:w="80" w:type="dxa"/>
            <w:vAlign w:val="bottom"/>
            <w:shd w:val="clear" w:color="auto" w:fill="CFF0FC"/>
          </w:tcPr>
          <w:p>
            <w:pPr>
              <w:spacing w:after="0"/>
              <w:rPr>
                <w:sz w:val="12"/>
                <w:szCs w:val="12"/>
                <w:color w:val="auto"/>
              </w:rPr>
            </w:pPr>
          </w:p>
        </w:tc>
        <w:tc>
          <w:tcPr>
            <w:tcW w:w="1500" w:type="dxa"/>
            <w:vAlign w:val="bottom"/>
            <w:gridSpan w:val="2"/>
            <w:shd w:val="clear" w:color="auto" w:fill="CFF0FC"/>
          </w:tcPr>
          <w:p>
            <w:pPr>
              <w:jc w:val="right"/>
              <w:ind w:right="260"/>
              <w:spacing w:after="0"/>
              <w:rPr>
                <w:sz w:val="20"/>
                <w:szCs w:val="20"/>
                <w:color w:val="auto"/>
              </w:rPr>
            </w:pPr>
            <w:r>
              <w:rPr>
                <w:rFonts w:ascii="Calibri" w:cs="Calibri" w:eastAsia="Calibri" w:hAnsi="Calibri"/>
                <w:sz w:val="10"/>
                <w:szCs w:val="10"/>
                <w:color w:val="auto"/>
              </w:rPr>
              <w:t>—</w:t>
            </w:r>
          </w:p>
        </w:tc>
        <w:tc>
          <w:tcPr>
            <w:tcW w:w="32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20"/>
              <w:spacing w:after="0"/>
              <w:rPr>
                <w:sz w:val="20"/>
                <w:szCs w:val="20"/>
                <w:color w:val="auto"/>
              </w:rPr>
            </w:pPr>
            <w:r>
              <w:rPr>
                <w:rFonts w:ascii="Calibri" w:cs="Calibri" w:eastAsia="Calibri" w:hAnsi="Calibri"/>
                <w:sz w:val="10"/>
                <w:szCs w:val="10"/>
                <w:color w:val="auto"/>
              </w:rPr>
              <w:t>—</w:t>
            </w:r>
          </w:p>
        </w:tc>
        <w:tc>
          <w:tcPr>
            <w:tcW w:w="0" w:type="dxa"/>
            <w:vAlign w:val="bottom"/>
          </w:tcPr>
          <w:p>
            <w:pPr>
              <w:spacing w:after="0"/>
              <w:rPr>
                <w:sz w:val="1"/>
                <w:szCs w:val="1"/>
                <w:color w:val="auto"/>
              </w:rPr>
            </w:pPr>
          </w:p>
        </w:tc>
      </w:tr>
      <w:tr>
        <w:trPr>
          <w:trHeight w:val="128"/>
        </w:trPr>
        <w:tc>
          <w:tcPr>
            <w:tcW w:w="6600" w:type="dxa"/>
            <w:vAlign w:val="bottom"/>
          </w:tcPr>
          <w:p>
            <w:pPr>
              <w:ind w:left="120"/>
              <w:spacing w:after="0" w:line="119" w:lineRule="exact"/>
              <w:rPr>
                <w:sz w:val="20"/>
                <w:szCs w:val="20"/>
                <w:color w:val="auto"/>
              </w:rPr>
            </w:pPr>
            <w:r>
              <w:rPr>
                <w:rFonts w:ascii="Calibri" w:cs="Calibri" w:eastAsia="Calibri" w:hAnsi="Calibri"/>
                <w:sz w:val="10"/>
                <w:szCs w:val="10"/>
                <w:color w:val="auto"/>
              </w:rPr>
              <w:t>Currency (gain) loss on foreign denominated transactons</w:t>
            </w:r>
          </w:p>
        </w:tc>
        <w:tc>
          <w:tcPr>
            <w:tcW w:w="880" w:type="dxa"/>
            <w:vAlign w:val="bottom"/>
          </w:tcPr>
          <w:p>
            <w:pPr>
              <w:spacing w:after="0"/>
              <w:rPr>
                <w:sz w:val="11"/>
                <w:szCs w:val="11"/>
                <w:color w:val="auto"/>
              </w:rPr>
            </w:pPr>
          </w:p>
        </w:tc>
        <w:tc>
          <w:tcPr>
            <w:tcW w:w="760" w:type="dxa"/>
            <w:vAlign w:val="bottom"/>
            <w:gridSpan w:val="2"/>
          </w:tcPr>
          <w:p>
            <w:pPr>
              <w:jc w:val="right"/>
              <w:ind w:right="240"/>
              <w:spacing w:after="0" w:line="119" w:lineRule="exact"/>
              <w:rPr>
                <w:sz w:val="20"/>
                <w:szCs w:val="20"/>
                <w:color w:val="auto"/>
              </w:rPr>
            </w:pPr>
            <w:r>
              <w:rPr>
                <w:rFonts w:ascii="Calibri" w:cs="Calibri" w:eastAsia="Calibri" w:hAnsi="Calibri"/>
                <w:sz w:val="10"/>
                <w:szCs w:val="10"/>
                <w:color w:val="auto"/>
              </w:rPr>
              <w:t>(283 )</w:t>
            </w:r>
          </w:p>
        </w:tc>
        <w:tc>
          <w:tcPr>
            <w:tcW w:w="80" w:type="dxa"/>
            <w:vAlign w:val="bottom"/>
          </w:tcPr>
          <w:p>
            <w:pPr>
              <w:spacing w:after="0"/>
              <w:rPr>
                <w:sz w:val="11"/>
                <w:szCs w:val="11"/>
                <w:color w:val="auto"/>
              </w:rPr>
            </w:pPr>
          </w:p>
        </w:tc>
        <w:tc>
          <w:tcPr>
            <w:tcW w:w="1260" w:type="dxa"/>
            <w:vAlign w:val="bottom"/>
          </w:tcPr>
          <w:p>
            <w:pPr>
              <w:jc w:val="right"/>
              <w:spacing w:after="0" w:line="119" w:lineRule="exact"/>
              <w:rPr>
                <w:sz w:val="20"/>
                <w:szCs w:val="20"/>
                <w:color w:val="auto"/>
              </w:rPr>
            </w:pPr>
            <w:r>
              <w:rPr>
                <w:rFonts w:ascii="Calibri" w:cs="Calibri" w:eastAsia="Calibri" w:hAnsi="Calibri"/>
                <w:sz w:val="10"/>
                <w:szCs w:val="10"/>
                <w:color w:val="auto"/>
              </w:rPr>
              <w:t>155</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gridSpan w:val="2"/>
          </w:tcPr>
          <w:p>
            <w:pPr>
              <w:jc w:val="right"/>
              <w:ind w:right="60"/>
              <w:spacing w:after="0" w:line="119" w:lineRule="exact"/>
              <w:rPr>
                <w:sz w:val="20"/>
                <w:szCs w:val="20"/>
                <w:color w:val="auto"/>
              </w:rPr>
            </w:pPr>
            <w:r>
              <w:rPr>
                <w:rFonts w:ascii="Calibri" w:cs="Calibri" w:eastAsia="Calibri" w:hAnsi="Calibri"/>
                <w:sz w:val="10"/>
                <w:szCs w:val="10"/>
                <w:color w:val="auto"/>
              </w:rPr>
              <w:t>(70 )</w:t>
            </w:r>
          </w:p>
        </w:tc>
        <w:tc>
          <w:tcPr>
            <w:tcW w:w="0" w:type="dxa"/>
            <w:vAlign w:val="bottom"/>
          </w:tcPr>
          <w:p>
            <w:pPr>
              <w:spacing w:after="0"/>
              <w:rPr>
                <w:sz w:val="1"/>
                <w:szCs w:val="1"/>
                <w:color w:val="auto"/>
              </w:rPr>
            </w:pPr>
          </w:p>
        </w:tc>
      </w:tr>
      <w:tr>
        <w:trPr>
          <w:trHeight w:val="148"/>
        </w:trPr>
        <w:tc>
          <w:tcPr>
            <w:tcW w:w="6600" w:type="dxa"/>
            <w:vAlign w:val="bottom"/>
            <w:shd w:val="clear" w:color="auto" w:fill="CFF0FC"/>
          </w:tcPr>
          <w:p>
            <w:pPr>
              <w:ind w:left="120"/>
              <w:spacing w:after="0"/>
              <w:rPr>
                <w:sz w:val="20"/>
                <w:szCs w:val="20"/>
                <w:color w:val="auto"/>
              </w:rPr>
            </w:pPr>
            <w:r>
              <w:rPr>
                <w:rFonts w:ascii="Calibri" w:cs="Calibri" w:eastAsia="Calibri" w:hAnsi="Calibri"/>
                <w:sz w:val="10"/>
                <w:szCs w:val="10"/>
                <w:color w:val="auto"/>
              </w:rPr>
              <w:t>Other non-cash expense, net</w:t>
            </w:r>
          </w:p>
        </w:tc>
        <w:tc>
          <w:tcPr>
            <w:tcW w:w="8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Calibri" w:cs="Calibri" w:eastAsia="Calibri" w:hAnsi="Calibri"/>
                <w:sz w:val="10"/>
                <w:szCs w:val="10"/>
                <w:color w:val="auto"/>
              </w:rPr>
              <w:t>88</w:t>
            </w: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500" w:type="dxa"/>
            <w:vAlign w:val="bottom"/>
            <w:gridSpan w:val="2"/>
            <w:shd w:val="clear" w:color="auto" w:fill="CFF0FC"/>
          </w:tcPr>
          <w:p>
            <w:pPr>
              <w:jc w:val="right"/>
              <w:ind w:right="260"/>
              <w:spacing w:after="0"/>
              <w:rPr>
                <w:sz w:val="20"/>
                <w:szCs w:val="20"/>
                <w:color w:val="auto"/>
              </w:rPr>
            </w:pPr>
            <w:r>
              <w:rPr>
                <w:rFonts w:ascii="Calibri" w:cs="Calibri" w:eastAsia="Calibri" w:hAnsi="Calibri"/>
                <w:sz w:val="10"/>
                <w:szCs w:val="10"/>
                <w:color w:val="auto"/>
              </w:rPr>
              <w:t>—</w:t>
            </w:r>
          </w:p>
        </w:tc>
        <w:tc>
          <w:tcPr>
            <w:tcW w:w="32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20"/>
              <w:spacing w:after="0"/>
              <w:rPr>
                <w:sz w:val="20"/>
                <w:szCs w:val="20"/>
                <w:color w:val="auto"/>
              </w:rPr>
            </w:pPr>
            <w:r>
              <w:rPr>
                <w:rFonts w:ascii="Calibri" w:cs="Calibri" w:eastAsia="Calibri" w:hAnsi="Calibri"/>
                <w:sz w:val="10"/>
                <w:szCs w:val="10"/>
                <w:color w:val="auto"/>
              </w:rPr>
              <w:t>—</w:t>
            </w:r>
          </w:p>
        </w:tc>
        <w:tc>
          <w:tcPr>
            <w:tcW w:w="0" w:type="dxa"/>
            <w:vAlign w:val="bottom"/>
          </w:tcPr>
          <w:p>
            <w:pPr>
              <w:spacing w:after="0"/>
              <w:rPr>
                <w:sz w:val="1"/>
                <w:szCs w:val="1"/>
                <w:color w:val="auto"/>
              </w:rPr>
            </w:pPr>
          </w:p>
        </w:tc>
      </w:tr>
      <w:tr>
        <w:trPr>
          <w:trHeight w:val="128"/>
        </w:trPr>
        <w:tc>
          <w:tcPr>
            <w:tcW w:w="6600" w:type="dxa"/>
            <w:vAlign w:val="bottom"/>
          </w:tcPr>
          <w:p>
            <w:pPr>
              <w:ind w:left="120"/>
              <w:spacing w:after="0" w:line="119" w:lineRule="exact"/>
              <w:rPr>
                <w:sz w:val="20"/>
                <w:szCs w:val="20"/>
                <w:color w:val="auto"/>
              </w:rPr>
            </w:pPr>
            <w:r>
              <w:rPr>
                <w:rFonts w:ascii="Calibri" w:cs="Calibri" w:eastAsia="Calibri" w:hAnsi="Calibri"/>
                <w:sz w:val="10"/>
                <w:szCs w:val="10"/>
                <w:color w:val="auto"/>
              </w:rPr>
              <w:t>Deferred taxes</w:t>
            </w:r>
          </w:p>
        </w:tc>
        <w:tc>
          <w:tcPr>
            <w:tcW w:w="880" w:type="dxa"/>
            <w:vAlign w:val="bottom"/>
          </w:tcPr>
          <w:p>
            <w:pPr>
              <w:spacing w:after="0"/>
              <w:rPr>
                <w:sz w:val="11"/>
                <w:szCs w:val="11"/>
                <w:color w:val="auto"/>
              </w:rPr>
            </w:pPr>
          </w:p>
        </w:tc>
        <w:tc>
          <w:tcPr>
            <w:tcW w:w="760" w:type="dxa"/>
            <w:vAlign w:val="bottom"/>
            <w:gridSpan w:val="2"/>
          </w:tcPr>
          <w:p>
            <w:pPr>
              <w:jc w:val="right"/>
              <w:ind w:right="240"/>
              <w:spacing w:after="0" w:line="119" w:lineRule="exact"/>
              <w:rPr>
                <w:sz w:val="20"/>
                <w:szCs w:val="20"/>
                <w:color w:val="auto"/>
              </w:rPr>
            </w:pPr>
            <w:r>
              <w:rPr>
                <w:rFonts w:ascii="Calibri" w:cs="Calibri" w:eastAsia="Calibri" w:hAnsi="Calibri"/>
                <w:sz w:val="10"/>
                <w:szCs w:val="10"/>
                <w:color w:val="auto"/>
              </w:rPr>
              <w:t>(37,864 )</w:t>
            </w:r>
          </w:p>
        </w:tc>
        <w:tc>
          <w:tcPr>
            <w:tcW w:w="80" w:type="dxa"/>
            <w:vAlign w:val="bottom"/>
          </w:tcPr>
          <w:p>
            <w:pPr>
              <w:spacing w:after="0"/>
              <w:rPr>
                <w:sz w:val="11"/>
                <w:szCs w:val="11"/>
                <w:color w:val="auto"/>
              </w:rPr>
            </w:pPr>
          </w:p>
        </w:tc>
        <w:tc>
          <w:tcPr>
            <w:tcW w:w="1500" w:type="dxa"/>
            <w:vAlign w:val="bottom"/>
            <w:gridSpan w:val="2"/>
          </w:tcPr>
          <w:p>
            <w:pPr>
              <w:jc w:val="right"/>
              <w:ind w:right="200"/>
              <w:spacing w:after="0" w:line="119" w:lineRule="exact"/>
              <w:rPr>
                <w:sz w:val="20"/>
                <w:szCs w:val="20"/>
                <w:color w:val="auto"/>
              </w:rPr>
            </w:pPr>
            <w:r>
              <w:rPr>
                <w:rFonts w:ascii="Calibri" w:cs="Calibri" w:eastAsia="Calibri" w:hAnsi="Calibri"/>
                <w:sz w:val="10"/>
                <w:szCs w:val="10"/>
                <w:color w:val="auto"/>
              </w:rPr>
              <w:t>(22,114 )</w:t>
            </w:r>
          </w:p>
        </w:tc>
        <w:tc>
          <w:tcPr>
            <w:tcW w:w="320" w:type="dxa"/>
            <w:vAlign w:val="bottom"/>
          </w:tcPr>
          <w:p>
            <w:pPr>
              <w:spacing w:after="0"/>
              <w:rPr>
                <w:sz w:val="11"/>
                <w:szCs w:val="11"/>
                <w:color w:val="auto"/>
              </w:rPr>
            </w:pPr>
          </w:p>
        </w:tc>
        <w:tc>
          <w:tcPr>
            <w:tcW w:w="1020" w:type="dxa"/>
            <w:vAlign w:val="bottom"/>
          </w:tcPr>
          <w:p>
            <w:pPr>
              <w:jc w:val="right"/>
              <w:spacing w:after="0" w:line="119" w:lineRule="exact"/>
              <w:rPr>
                <w:sz w:val="20"/>
                <w:szCs w:val="20"/>
                <w:color w:val="auto"/>
              </w:rPr>
            </w:pPr>
            <w:r>
              <w:rPr>
                <w:rFonts w:ascii="Calibri" w:cs="Calibri" w:eastAsia="Calibri" w:hAnsi="Calibri"/>
                <w:sz w:val="10"/>
                <w:szCs w:val="10"/>
                <w:color w:val="auto"/>
              </w:rPr>
              <w:t>6,163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600" w:type="dxa"/>
            <w:vAlign w:val="bottom"/>
            <w:shd w:val="clear" w:color="auto" w:fill="CFF0FC"/>
          </w:tcPr>
          <w:p>
            <w:pPr>
              <w:ind w:left="120"/>
              <w:spacing w:after="0"/>
              <w:rPr>
                <w:sz w:val="20"/>
                <w:szCs w:val="20"/>
                <w:color w:val="auto"/>
              </w:rPr>
            </w:pPr>
            <w:r>
              <w:rPr>
                <w:rFonts w:ascii="Calibri" w:cs="Calibri" w:eastAsia="Calibri" w:hAnsi="Calibri"/>
                <w:sz w:val="10"/>
                <w:szCs w:val="10"/>
                <w:color w:val="auto"/>
              </w:rPr>
              <w:t>Provision for doubtul accounts</w:t>
            </w:r>
          </w:p>
        </w:tc>
        <w:tc>
          <w:tcPr>
            <w:tcW w:w="8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Calibri" w:cs="Calibri" w:eastAsia="Calibri" w:hAnsi="Calibri"/>
                <w:sz w:val="10"/>
                <w:szCs w:val="10"/>
                <w:color w:val="auto"/>
              </w:rPr>
              <w:t>378</w:t>
            </w: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rPr>
                <w:sz w:val="20"/>
                <w:szCs w:val="20"/>
                <w:color w:val="auto"/>
              </w:rPr>
            </w:pPr>
            <w:r>
              <w:rPr>
                <w:rFonts w:ascii="Calibri" w:cs="Calibri" w:eastAsia="Calibri" w:hAnsi="Calibri"/>
                <w:sz w:val="10"/>
                <w:szCs w:val="10"/>
                <w:color w:val="auto"/>
              </w:rPr>
              <w:t>1,769</w:t>
            </w: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Calibri" w:cs="Calibri" w:eastAsia="Calibri" w:hAnsi="Calibri"/>
                <w:sz w:val="10"/>
                <w:szCs w:val="10"/>
                <w:color w:val="auto"/>
              </w:rPr>
              <w:t>999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6600" w:type="dxa"/>
            <w:vAlign w:val="bottom"/>
          </w:tcPr>
          <w:p>
            <w:pPr>
              <w:ind w:left="120"/>
              <w:spacing w:after="0" w:line="119" w:lineRule="exact"/>
              <w:rPr>
                <w:sz w:val="20"/>
                <w:szCs w:val="20"/>
                <w:color w:val="auto"/>
              </w:rPr>
            </w:pPr>
            <w:r>
              <w:rPr>
                <w:rFonts w:ascii="Calibri" w:cs="Calibri" w:eastAsia="Calibri" w:hAnsi="Calibri"/>
                <w:sz w:val="10"/>
                <w:szCs w:val="10"/>
                <w:color w:val="auto"/>
              </w:rPr>
              <w:t>Stock-based compensaton expense</w:t>
            </w:r>
          </w:p>
        </w:tc>
        <w:tc>
          <w:tcPr>
            <w:tcW w:w="880" w:type="dxa"/>
            <w:vAlign w:val="bottom"/>
          </w:tcPr>
          <w:p>
            <w:pPr>
              <w:spacing w:after="0"/>
              <w:rPr>
                <w:sz w:val="11"/>
                <w:szCs w:val="11"/>
                <w:color w:val="auto"/>
              </w:rPr>
            </w:pPr>
          </w:p>
        </w:tc>
        <w:tc>
          <w:tcPr>
            <w:tcW w:w="480" w:type="dxa"/>
            <w:vAlign w:val="bottom"/>
          </w:tcPr>
          <w:p>
            <w:pPr>
              <w:jc w:val="right"/>
              <w:spacing w:after="0" w:line="119" w:lineRule="exact"/>
              <w:rPr>
                <w:sz w:val="20"/>
                <w:szCs w:val="20"/>
                <w:color w:val="auto"/>
              </w:rPr>
            </w:pPr>
            <w:r>
              <w:rPr>
                <w:rFonts w:ascii="Calibri" w:cs="Calibri" w:eastAsia="Calibri" w:hAnsi="Calibri"/>
                <w:sz w:val="10"/>
                <w:szCs w:val="10"/>
                <w:color w:val="auto"/>
              </w:rPr>
              <w:t>63,737</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jc w:val="right"/>
              <w:spacing w:after="0" w:line="119" w:lineRule="exact"/>
              <w:rPr>
                <w:sz w:val="20"/>
                <w:szCs w:val="20"/>
                <w:color w:val="auto"/>
              </w:rPr>
            </w:pPr>
            <w:r>
              <w:rPr>
                <w:rFonts w:ascii="Calibri" w:cs="Calibri" w:eastAsia="Calibri" w:hAnsi="Calibri"/>
                <w:sz w:val="10"/>
                <w:szCs w:val="10"/>
                <w:color w:val="auto"/>
              </w:rPr>
              <w:t>54,777</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jc w:val="right"/>
              <w:spacing w:after="0" w:line="119" w:lineRule="exact"/>
              <w:rPr>
                <w:sz w:val="20"/>
                <w:szCs w:val="20"/>
                <w:color w:val="auto"/>
              </w:rPr>
            </w:pPr>
            <w:r>
              <w:rPr>
                <w:rFonts w:ascii="Calibri" w:cs="Calibri" w:eastAsia="Calibri" w:hAnsi="Calibri"/>
                <w:sz w:val="10"/>
                <w:szCs w:val="10"/>
                <w:color w:val="auto"/>
              </w:rPr>
              <w:t>53,525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600" w:type="dxa"/>
            <w:vAlign w:val="bottom"/>
            <w:shd w:val="clear" w:color="auto" w:fill="CFF0FC"/>
          </w:tcPr>
          <w:p>
            <w:pPr>
              <w:ind w:left="120"/>
              <w:spacing w:after="0"/>
              <w:rPr>
                <w:sz w:val="20"/>
                <w:szCs w:val="20"/>
                <w:color w:val="auto"/>
              </w:rPr>
            </w:pPr>
            <w:r>
              <w:rPr>
                <w:rFonts w:ascii="Calibri" w:cs="Calibri" w:eastAsia="Calibri" w:hAnsi="Calibri"/>
                <w:sz w:val="10"/>
                <w:szCs w:val="10"/>
                <w:color w:val="auto"/>
              </w:rPr>
              <w:t>Amortzaton of deferred fnancing costs</w:t>
            </w:r>
          </w:p>
        </w:tc>
        <w:tc>
          <w:tcPr>
            <w:tcW w:w="8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Calibri" w:cs="Calibri" w:eastAsia="Calibri" w:hAnsi="Calibri"/>
                <w:sz w:val="10"/>
                <w:szCs w:val="10"/>
                <w:color w:val="auto"/>
              </w:rPr>
              <w:t>515</w:t>
            </w: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rPr>
                <w:sz w:val="20"/>
                <w:szCs w:val="20"/>
                <w:color w:val="auto"/>
              </w:rPr>
            </w:pPr>
            <w:r>
              <w:rPr>
                <w:rFonts w:ascii="Calibri" w:cs="Calibri" w:eastAsia="Calibri" w:hAnsi="Calibri"/>
                <w:sz w:val="10"/>
                <w:szCs w:val="10"/>
                <w:color w:val="auto"/>
              </w:rPr>
              <w:t>136</w:t>
            </w: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20"/>
              <w:spacing w:after="0"/>
              <w:rPr>
                <w:sz w:val="20"/>
                <w:szCs w:val="20"/>
                <w:color w:val="auto"/>
              </w:rPr>
            </w:pPr>
            <w:r>
              <w:rPr>
                <w:rFonts w:ascii="Calibri" w:cs="Calibri" w:eastAsia="Calibri" w:hAnsi="Calibri"/>
                <w:sz w:val="10"/>
                <w:szCs w:val="10"/>
                <w:color w:val="auto"/>
              </w:rPr>
              <w:t>—</w:t>
            </w:r>
          </w:p>
        </w:tc>
        <w:tc>
          <w:tcPr>
            <w:tcW w:w="0" w:type="dxa"/>
            <w:vAlign w:val="bottom"/>
          </w:tcPr>
          <w:p>
            <w:pPr>
              <w:spacing w:after="0"/>
              <w:rPr>
                <w:sz w:val="1"/>
                <w:szCs w:val="1"/>
                <w:color w:val="auto"/>
              </w:rPr>
            </w:pPr>
          </w:p>
        </w:tc>
      </w:tr>
      <w:tr>
        <w:trPr>
          <w:trHeight w:val="128"/>
        </w:trPr>
        <w:tc>
          <w:tcPr>
            <w:tcW w:w="6600" w:type="dxa"/>
            <w:vAlign w:val="bottom"/>
          </w:tcPr>
          <w:p>
            <w:pPr>
              <w:ind w:left="120"/>
              <w:spacing w:after="0" w:line="119" w:lineRule="exact"/>
              <w:rPr>
                <w:sz w:val="20"/>
                <w:szCs w:val="20"/>
                <w:color w:val="auto"/>
              </w:rPr>
            </w:pPr>
            <w:r>
              <w:rPr>
                <w:rFonts w:ascii="Calibri" w:cs="Calibri" w:eastAsia="Calibri" w:hAnsi="Calibri"/>
                <w:sz w:val="10"/>
                <w:szCs w:val="10"/>
                <w:color w:val="auto"/>
              </w:rPr>
              <w:t>Amortzaton of deferred contract costs</w:t>
            </w:r>
          </w:p>
        </w:tc>
        <w:tc>
          <w:tcPr>
            <w:tcW w:w="880" w:type="dxa"/>
            <w:vAlign w:val="bottom"/>
          </w:tcPr>
          <w:p>
            <w:pPr>
              <w:spacing w:after="0"/>
              <w:rPr>
                <w:sz w:val="11"/>
                <w:szCs w:val="11"/>
                <w:color w:val="auto"/>
              </w:rPr>
            </w:pPr>
          </w:p>
        </w:tc>
        <w:tc>
          <w:tcPr>
            <w:tcW w:w="480" w:type="dxa"/>
            <w:vAlign w:val="bottom"/>
          </w:tcPr>
          <w:p>
            <w:pPr>
              <w:jc w:val="right"/>
              <w:spacing w:after="0" w:line="119" w:lineRule="exact"/>
              <w:rPr>
                <w:sz w:val="20"/>
                <w:szCs w:val="20"/>
                <w:color w:val="auto"/>
              </w:rPr>
            </w:pPr>
            <w:r>
              <w:rPr>
                <w:rFonts w:ascii="Calibri" w:cs="Calibri" w:eastAsia="Calibri" w:hAnsi="Calibri"/>
                <w:sz w:val="10"/>
                <w:szCs w:val="10"/>
                <w:color w:val="auto"/>
              </w:rPr>
              <w:t>11,817</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jc w:val="right"/>
              <w:spacing w:after="0" w:line="119" w:lineRule="exact"/>
              <w:rPr>
                <w:sz w:val="20"/>
                <w:szCs w:val="20"/>
                <w:color w:val="auto"/>
              </w:rPr>
            </w:pPr>
            <w:r>
              <w:rPr>
                <w:rFonts w:ascii="Calibri" w:cs="Calibri" w:eastAsia="Calibri" w:hAnsi="Calibri"/>
                <w:sz w:val="10"/>
                <w:szCs w:val="10"/>
                <w:color w:val="auto"/>
              </w:rPr>
              <w:t>11,067</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jc w:val="right"/>
              <w:spacing w:after="0" w:line="119" w:lineRule="exact"/>
              <w:rPr>
                <w:sz w:val="20"/>
                <w:szCs w:val="20"/>
                <w:color w:val="auto"/>
              </w:rPr>
            </w:pPr>
            <w:r>
              <w:rPr>
                <w:rFonts w:ascii="Calibri" w:cs="Calibri" w:eastAsia="Calibri" w:hAnsi="Calibri"/>
                <w:sz w:val="10"/>
                <w:szCs w:val="10"/>
                <w:color w:val="auto"/>
              </w:rPr>
              <w:t>12,653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600" w:type="dxa"/>
            <w:vAlign w:val="bottom"/>
            <w:shd w:val="clear" w:color="auto" w:fill="CFF0FC"/>
          </w:tcPr>
          <w:p>
            <w:pPr>
              <w:ind w:left="120"/>
              <w:spacing w:after="0"/>
              <w:rPr>
                <w:sz w:val="20"/>
                <w:szCs w:val="20"/>
                <w:color w:val="auto"/>
              </w:rPr>
            </w:pPr>
            <w:r>
              <w:rPr>
                <w:rFonts w:ascii="Calibri" w:cs="Calibri" w:eastAsia="Calibri" w:hAnsi="Calibri"/>
                <w:sz w:val="10"/>
                <w:szCs w:val="10"/>
                <w:color w:val="auto"/>
              </w:rPr>
              <w:t>Impairment of long-lived assets</w:t>
            </w:r>
          </w:p>
        </w:tc>
        <w:tc>
          <w:tcPr>
            <w:tcW w:w="8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Calibri" w:cs="Calibri" w:eastAsia="Calibri" w:hAnsi="Calibri"/>
                <w:sz w:val="10"/>
                <w:szCs w:val="10"/>
                <w:color w:val="auto"/>
              </w:rPr>
              <w:t>184</w:t>
            </w: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rPr>
                <w:sz w:val="20"/>
                <w:szCs w:val="20"/>
                <w:color w:val="auto"/>
              </w:rPr>
            </w:pPr>
            <w:r>
              <w:rPr>
                <w:rFonts w:ascii="Calibri" w:cs="Calibri" w:eastAsia="Calibri" w:hAnsi="Calibri"/>
                <w:sz w:val="10"/>
                <w:szCs w:val="10"/>
                <w:color w:val="auto"/>
              </w:rPr>
              <w:t>165</w:t>
            </w: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Calibri" w:cs="Calibri" w:eastAsia="Calibri" w:hAnsi="Calibri"/>
                <w:sz w:val="10"/>
                <w:szCs w:val="10"/>
                <w:color w:val="auto"/>
              </w:rPr>
              <w:t>3,128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6600" w:type="dxa"/>
            <w:vAlign w:val="bottom"/>
          </w:tcPr>
          <w:p>
            <w:pPr>
              <w:ind w:left="120"/>
              <w:spacing w:after="0" w:line="119" w:lineRule="exact"/>
              <w:rPr>
                <w:sz w:val="20"/>
                <w:szCs w:val="20"/>
                <w:color w:val="auto"/>
              </w:rPr>
            </w:pPr>
            <w:r>
              <w:rPr>
                <w:rFonts w:ascii="Calibri" w:cs="Calibri" w:eastAsia="Calibri" w:hAnsi="Calibri"/>
                <w:sz w:val="10"/>
                <w:szCs w:val="10"/>
                <w:color w:val="auto"/>
              </w:rPr>
              <w:t>Changes in operatng assets and liabilites:</w:t>
            </w: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600" w:type="dxa"/>
            <w:vAlign w:val="bottom"/>
            <w:shd w:val="clear" w:color="auto" w:fill="CFF0FC"/>
          </w:tcPr>
          <w:p>
            <w:pPr>
              <w:ind w:left="180"/>
              <w:spacing w:after="0"/>
              <w:rPr>
                <w:sz w:val="20"/>
                <w:szCs w:val="20"/>
                <w:color w:val="auto"/>
              </w:rPr>
            </w:pPr>
            <w:r>
              <w:rPr>
                <w:rFonts w:ascii="Calibri" w:cs="Calibri" w:eastAsia="Calibri" w:hAnsi="Calibri"/>
                <w:sz w:val="10"/>
                <w:szCs w:val="10"/>
                <w:color w:val="auto"/>
              </w:rPr>
              <w:t>Accounts receivable</w:t>
            </w:r>
          </w:p>
        </w:tc>
        <w:tc>
          <w:tcPr>
            <w:tcW w:w="8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Calibri" w:cs="Calibri" w:eastAsia="Calibri" w:hAnsi="Calibri"/>
                <w:sz w:val="10"/>
                <w:szCs w:val="10"/>
                <w:color w:val="auto"/>
              </w:rPr>
              <w:t>10,975</w:t>
            </w: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rPr>
                <w:sz w:val="20"/>
                <w:szCs w:val="20"/>
                <w:color w:val="auto"/>
              </w:rPr>
            </w:pPr>
            <w:r>
              <w:rPr>
                <w:rFonts w:ascii="Calibri" w:cs="Calibri" w:eastAsia="Calibri" w:hAnsi="Calibri"/>
                <w:sz w:val="10"/>
                <w:szCs w:val="10"/>
                <w:color w:val="auto"/>
              </w:rPr>
              <w:t>152,954</w:t>
            </w: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60"/>
              <w:spacing w:after="0"/>
              <w:rPr>
                <w:sz w:val="20"/>
                <w:szCs w:val="20"/>
                <w:color w:val="auto"/>
              </w:rPr>
            </w:pPr>
            <w:r>
              <w:rPr>
                <w:rFonts w:ascii="Calibri" w:cs="Calibri" w:eastAsia="Calibri" w:hAnsi="Calibri"/>
                <w:sz w:val="10"/>
                <w:szCs w:val="10"/>
                <w:color w:val="auto"/>
              </w:rPr>
              <w:t>(174,771 )</w:t>
            </w:r>
          </w:p>
        </w:tc>
        <w:tc>
          <w:tcPr>
            <w:tcW w:w="0" w:type="dxa"/>
            <w:vAlign w:val="bottom"/>
          </w:tcPr>
          <w:p>
            <w:pPr>
              <w:spacing w:after="0"/>
              <w:rPr>
                <w:sz w:val="1"/>
                <w:szCs w:val="1"/>
                <w:color w:val="auto"/>
              </w:rPr>
            </w:pPr>
          </w:p>
        </w:tc>
      </w:tr>
      <w:tr>
        <w:trPr>
          <w:trHeight w:val="128"/>
        </w:trPr>
        <w:tc>
          <w:tcPr>
            <w:tcW w:w="6600" w:type="dxa"/>
            <w:vAlign w:val="bottom"/>
          </w:tcPr>
          <w:p>
            <w:pPr>
              <w:ind w:left="180"/>
              <w:spacing w:after="0" w:line="119" w:lineRule="exact"/>
              <w:rPr>
                <w:sz w:val="20"/>
                <w:szCs w:val="20"/>
                <w:color w:val="auto"/>
              </w:rPr>
            </w:pPr>
            <w:r>
              <w:rPr>
                <w:rFonts w:ascii="Calibri" w:cs="Calibri" w:eastAsia="Calibri" w:hAnsi="Calibri"/>
                <w:sz w:val="10"/>
                <w:szCs w:val="10"/>
                <w:color w:val="auto"/>
              </w:rPr>
              <w:t>Inventory</w:t>
            </w:r>
          </w:p>
        </w:tc>
        <w:tc>
          <w:tcPr>
            <w:tcW w:w="880" w:type="dxa"/>
            <w:vAlign w:val="bottom"/>
          </w:tcPr>
          <w:p>
            <w:pPr>
              <w:spacing w:after="0"/>
              <w:rPr>
                <w:sz w:val="11"/>
                <w:szCs w:val="11"/>
                <w:color w:val="auto"/>
              </w:rPr>
            </w:pPr>
          </w:p>
        </w:tc>
        <w:tc>
          <w:tcPr>
            <w:tcW w:w="480" w:type="dxa"/>
            <w:vAlign w:val="bottom"/>
          </w:tcPr>
          <w:p>
            <w:pPr>
              <w:jc w:val="right"/>
              <w:spacing w:after="0" w:line="119" w:lineRule="exact"/>
              <w:rPr>
                <w:sz w:val="20"/>
                <w:szCs w:val="20"/>
                <w:color w:val="auto"/>
              </w:rPr>
            </w:pPr>
            <w:r>
              <w:rPr>
                <w:rFonts w:ascii="Calibri" w:cs="Calibri" w:eastAsia="Calibri" w:hAnsi="Calibri"/>
                <w:sz w:val="10"/>
                <w:szCs w:val="10"/>
                <w:color w:val="auto"/>
              </w:rPr>
              <w:t>1,958</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jc w:val="right"/>
              <w:spacing w:after="0" w:line="119" w:lineRule="exact"/>
              <w:rPr>
                <w:sz w:val="20"/>
                <w:szCs w:val="20"/>
                <w:color w:val="auto"/>
              </w:rPr>
            </w:pPr>
            <w:r>
              <w:rPr>
                <w:rFonts w:ascii="Calibri" w:cs="Calibri" w:eastAsia="Calibri" w:hAnsi="Calibri"/>
                <w:sz w:val="10"/>
                <w:szCs w:val="10"/>
                <w:color w:val="auto"/>
              </w:rPr>
              <w:t>14,374</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gridSpan w:val="2"/>
          </w:tcPr>
          <w:p>
            <w:pPr>
              <w:jc w:val="right"/>
              <w:ind w:right="60"/>
              <w:spacing w:after="0" w:line="119" w:lineRule="exact"/>
              <w:rPr>
                <w:sz w:val="20"/>
                <w:szCs w:val="20"/>
                <w:color w:val="auto"/>
              </w:rPr>
            </w:pPr>
            <w:r>
              <w:rPr>
                <w:rFonts w:ascii="Calibri" w:cs="Calibri" w:eastAsia="Calibri" w:hAnsi="Calibri"/>
                <w:sz w:val="10"/>
                <w:szCs w:val="10"/>
                <w:color w:val="auto"/>
              </w:rPr>
              <w:t>(17,318 )</w:t>
            </w:r>
          </w:p>
        </w:tc>
        <w:tc>
          <w:tcPr>
            <w:tcW w:w="0" w:type="dxa"/>
            <w:vAlign w:val="bottom"/>
          </w:tcPr>
          <w:p>
            <w:pPr>
              <w:spacing w:after="0"/>
              <w:rPr>
                <w:sz w:val="1"/>
                <w:szCs w:val="1"/>
                <w:color w:val="auto"/>
              </w:rPr>
            </w:pPr>
          </w:p>
        </w:tc>
      </w:tr>
      <w:tr>
        <w:trPr>
          <w:trHeight w:val="148"/>
        </w:trPr>
        <w:tc>
          <w:tcPr>
            <w:tcW w:w="6600" w:type="dxa"/>
            <w:vAlign w:val="bottom"/>
            <w:shd w:val="clear" w:color="auto" w:fill="CFF0FC"/>
          </w:tcPr>
          <w:p>
            <w:pPr>
              <w:ind w:left="180"/>
              <w:spacing w:after="0"/>
              <w:rPr>
                <w:sz w:val="20"/>
                <w:szCs w:val="20"/>
                <w:color w:val="auto"/>
              </w:rPr>
            </w:pPr>
            <w:r>
              <w:rPr>
                <w:rFonts w:ascii="Calibri" w:cs="Calibri" w:eastAsia="Calibri" w:hAnsi="Calibri"/>
                <w:sz w:val="10"/>
                <w:szCs w:val="10"/>
                <w:color w:val="auto"/>
              </w:rPr>
              <w:t>Prepaid expenses, prepaid income taxes, and other assets</w:t>
            </w:r>
          </w:p>
        </w:tc>
        <w:tc>
          <w:tcPr>
            <w:tcW w:w="8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40"/>
              <w:spacing w:after="0"/>
              <w:rPr>
                <w:sz w:val="20"/>
                <w:szCs w:val="20"/>
                <w:color w:val="auto"/>
              </w:rPr>
            </w:pPr>
            <w:r>
              <w:rPr>
                <w:rFonts w:ascii="Calibri" w:cs="Calibri" w:eastAsia="Calibri" w:hAnsi="Calibri"/>
                <w:sz w:val="10"/>
                <w:szCs w:val="10"/>
                <w:color w:val="auto"/>
              </w:rPr>
              <w:t>(1,498 )</w:t>
            </w:r>
          </w:p>
        </w:tc>
        <w:tc>
          <w:tcPr>
            <w:tcW w:w="80" w:type="dxa"/>
            <w:vAlign w:val="bottom"/>
            <w:shd w:val="clear" w:color="auto" w:fill="CFF0FC"/>
          </w:tcPr>
          <w:p>
            <w:pPr>
              <w:spacing w:after="0"/>
              <w:rPr>
                <w:sz w:val="12"/>
                <w:szCs w:val="12"/>
                <w:color w:val="auto"/>
              </w:rPr>
            </w:pPr>
          </w:p>
        </w:tc>
        <w:tc>
          <w:tcPr>
            <w:tcW w:w="1500" w:type="dxa"/>
            <w:vAlign w:val="bottom"/>
            <w:gridSpan w:val="2"/>
            <w:shd w:val="clear" w:color="auto" w:fill="CFF0FC"/>
          </w:tcPr>
          <w:p>
            <w:pPr>
              <w:jc w:val="right"/>
              <w:ind w:right="200"/>
              <w:spacing w:after="0"/>
              <w:rPr>
                <w:sz w:val="20"/>
                <w:szCs w:val="20"/>
                <w:color w:val="auto"/>
              </w:rPr>
            </w:pPr>
            <w:r>
              <w:rPr>
                <w:rFonts w:ascii="Calibri" w:cs="Calibri" w:eastAsia="Calibri" w:hAnsi="Calibri"/>
                <w:sz w:val="10"/>
                <w:szCs w:val="10"/>
                <w:color w:val="auto"/>
              </w:rPr>
              <w:t>(6,573 )</w:t>
            </w:r>
          </w:p>
        </w:tc>
        <w:tc>
          <w:tcPr>
            <w:tcW w:w="32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60"/>
              <w:spacing w:after="0"/>
              <w:rPr>
                <w:sz w:val="20"/>
                <w:szCs w:val="20"/>
                <w:color w:val="auto"/>
              </w:rPr>
            </w:pPr>
            <w:r>
              <w:rPr>
                <w:rFonts w:ascii="Calibri" w:cs="Calibri" w:eastAsia="Calibri" w:hAnsi="Calibri"/>
                <w:sz w:val="10"/>
                <w:szCs w:val="10"/>
                <w:color w:val="auto"/>
              </w:rPr>
              <w:t>(5,068 )</w:t>
            </w:r>
          </w:p>
        </w:tc>
        <w:tc>
          <w:tcPr>
            <w:tcW w:w="0" w:type="dxa"/>
            <w:vAlign w:val="bottom"/>
          </w:tcPr>
          <w:p>
            <w:pPr>
              <w:spacing w:after="0"/>
              <w:rPr>
                <w:sz w:val="1"/>
                <w:szCs w:val="1"/>
                <w:color w:val="auto"/>
              </w:rPr>
            </w:pPr>
          </w:p>
        </w:tc>
      </w:tr>
      <w:tr>
        <w:trPr>
          <w:trHeight w:val="128"/>
        </w:trPr>
        <w:tc>
          <w:tcPr>
            <w:tcW w:w="6600" w:type="dxa"/>
            <w:vAlign w:val="bottom"/>
          </w:tcPr>
          <w:p>
            <w:pPr>
              <w:ind w:left="180"/>
              <w:spacing w:after="0" w:line="119" w:lineRule="exact"/>
              <w:rPr>
                <w:sz w:val="20"/>
                <w:szCs w:val="20"/>
                <w:color w:val="auto"/>
              </w:rPr>
            </w:pPr>
            <w:r>
              <w:rPr>
                <w:rFonts w:ascii="Calibri" w:cs="Calibri" w:eastAsia="Calibri" w:hAnsi="Calibri"/>
                <w:sz w:val="10"/>
                <w:szCs w:val="10"/>
                <w:color w:val="auto"/>
              </w:rPr>
              <w:t>Deferred contract costs</w:t>
            </w:r>
          </w:p>
        </w:tc>
        <w:tc>
          <w:tcPr>
            <w:tcW w:w="880" w:type="dxa"/>
            <w:vAlign w:val="bottom"/>
          </w:tcPr>
          <w:p>
            <w:pPr>
              <w:spacing w:after="0"/>
              <w:rPr>
                <w:sz w:val="11"/>
                <w:szCs w:val="11"/>
                <w:color w:val="auto"/>
              </w:rPr>
            </w:pPr>
          </w:p>
        </w:tc>
        <w:tc>
          <w:tcPr>
            <w:tcW w:w="760" w:type="dxa"/>
            <w:vAlign w:val="bottom"/>
            <w:gridSpan w:val="2"/>
          </w:tcPr>
          <w:p>
            <w:pPr>
              <w:jc w:val="right"/>
              <w:ind w:right="240"/>
              <w:spacing w:after="0" w:line="119" w:lineRule="exact"/>
              <w:rPr>
                <w:sz w:val="20"/>
                <w:szCs w:val="20"/>
                <w:color w:val="auto"/>
              </w:rPr>
            </w:pPr>
            <w:r>
              <w:rPr>
                <w:rFonts w:ascii="Calibri" w:cs="Calibri" w:eastAsia="Calibri" w:hAnsi="Calibri"/>
                <w:sz w:val="10"/>
                <w:szCs w:val="10"/>
                <w:color w:val="auto"/>
              </w:rPr>
              <w:t>(18,440 )</w:t>
            </w:r>
          </w:p>
        </w:tc>
        <w:tc>
          <w:tcPr>
            <w:tcW w:w="80" w:type="dxa"/>
            <w:vAlign w:val="bottom"/>
          </w:tcPr>
          <w:p>
            <w:pPr>
              <w:spacing w:after="0"/>
              <w:rPr>
                <w:sz w:val="11"/>
                <w:szCs w:val="11"/>
                <w:color w:val="auto"/>
              </w:rPr>
            </w:pPr>
          </w:p>
        </w:tc>
        <w:tc>
          <w:tcPr>
            <w:tcW w:w="1500" w:type="dxa"/>
            <w:vAlign w:val="bottom"/>
            <w:gridSpan w:val="2"/>
          </w:tcPr>
          <w:p>
            <w:pPr>
              <w:jc w:val="right"/>
              <w:ind w:right="200"/>
              <w:spacing w:after="0" w:line="119" w:lineRule="exact"/>
              <w:rPr>
                <w:sz w:val="20"/>
                <w:szCs w:val="20"/>
                <w:color w:val="auto"/>
              </w:rPr>
            </w:pPr>
            <w:r>
              <w:rPr>
                <w:rFonts w:ascii="Calibri" w:cs="Calibri" w:eastAsia="Calibri" w:hAnsi="Calibri"/>
                <w:sz w:val="10"/>
                <w:szCs w:val="10"/>
                <w:color w:val="auto"/>
              </w:rPr>
              <w:t>(13,697 )</w:t>
            </w:r>
          </w:p>
        </w:tc>
        <w:tc>
          <w:tcPr>
            <w:tcW w:w="320" w:type="dxa"/>
            <w:vAlign w:val="bottom"/>
          </w:tcPr>
          <w:p>
            <w:pPr>
              <w:spacing w:after="0"/>
              <w:rPr>
                <w:sz w:val="11"/>
                <w:szCs w:val="11"/>
                <w:color w:val="auto"/>
              </w:rPr>
            </w:pPr>
          </w:p>
        </w:tc>
        <w:tc>
          <w:tcPr>
            <w:tcW w:w="1120" w:type="dxa"/>
            <w:vAlign w:val="bottom"/>
            <w:gridSpan w:val="2"/>
          </w:tcPr>
          <w:p>
            <w:pPr>
              <w:jc w:val="right"/>
              <w:ind w:right="60"/>
              <w:spacing w:after="0" w:line="119" w:lineRule="exact"/>
              <w:rPr>
                <w:sz w:val="20"/>
                <w:szCs w:val="20"/>
                <w:color w:val="auto"/>
              </w:rPr>
            </w:pPr>
            <w:r>
              <w:rPr>
                <w:rFonts w:ascii="Calibri" w:cs="Calibri" w:eastAsia="Calibri" w:hAnsi="Calibri"/>
                <w:sz w:val="10"/>
                <w:szCs w:val="10"/>
                <w:color w:val="auto"/>
              </w:rPr>
              <w:t>(7,714 )</w:t>
            </w:r>
          </w:p>
        </w:tc>
        <w:tc>
          <w:tcPr>
            <w:tcW w:w="0" w:type="dxa"/>
            <w:vAlign w:val="bottom"/>
          </w:tcPr>
          <w:p>
            <w:pPr>
              <w:spacing w:after="0"/>
              <w:rPr>
                <w:sz w:val="1"/>
                <w:szCs w:val="1"/>
                <w:color w:val="auto"/>
              </w:rPr>
            </w:pPr>
          </w:p>
        </w:tc>
      </w:tr>
      <w:tr>
        <w:trPr>
          <w:trHeight w:val="148"/>
        </w:trPr>
        <w:tc>
          <w:tcPr>
            <w:tcW w:w="6600" w:type="dxa"/>
            <w:vAlign w:val="bottom"/>
            <w:shd w:val="clear" w:color="auto" w:fill="CFF0FC"/>
          </w:tcPr>
          <w:p>
            <w:pPr>
              <w:ind w:left="180"/>
              <w:spacing w:after="0"/>
              <w:rPr>
                <w:sz w:val="20"/>
                <w:szCs w:val="20"/>
                <w:color w:val="auto"/>
              </w:rPr>
            </w:pPr>
            <w:r>
              <w:rPr>
                <w:rFonts w:ascii="Calibri" w:cs="Calibri" w:eastAsia="Calibri" w:hAnsi="Calibri"/>
                <w:sz w:val="10"/>
                <w:szCs w:val="10"/>
                <w:color w:val="auto"/>
              </w:rPr>
              <w:t>Accounts payable</w:t>
            </w:r>
          </w:p>
        </w:tc>
        <w:tc>
          <w:tcPr>
            <w:tcW w:w="8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Calibri" w:cs="Calibri" w:eastAsia="Calibri" w:hAnsi="Calibri"/>
                <w:sz w:val="10"/>
                <w:szCs w:val="10"/>
                <w:color w:val="auto"/>
              </w:rPr>
              <w:t>2,080</w:t>
            </w: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500" w:type="dxa"/>
            <w:vAlign w:val="bottom"/>
            <w:gridSpan w:val="2"/>
            <w:shd w:val="clear" w:color="auto" w:fill="CFF0FC"/>
          </w:tcPr>
          <w:p>
            <w:pPr>
              <w:jc w:val="right"/>
              <w:ind w:right="200"/>
              <w:spacing w:after="0"/>
              <w:rPr>
                <w:sz w:val="20"/>
                <w:szCs w:val="20"/>
                <w:color w:val="auto"/>
              </w:rPr>
            </w:pPr>
            <w:r>
              <w:rPr>
                <w:rFonts w:ascii="Calibri" w:cs="Calibri" w:eastAsia="Calibri" w:hAnsi="Calibri"/>
                <w:sz w:val="10"/>
                <w:szCs w:val="10"/>
                <w:color w:val="auto"/>
              </w:rPr>
              <w:t>(35,047 )</w:t>
            </w:r>
          </w:p>
        </w:tc>
        <w:tc>
          <w:tcPr>
            <w:tcW w:w="3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Calibri" w:cs="Calibri" w:eastAsia="Calibri" w:hAnsi="Calibri"/>
                <w:sz w:val="10"/>
                <w:szCs w:val="10"/>
                <w:color w:val="auto"/>
              </w:rPr>
              <w:t>35,397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6600" w:type="dxa"/>
            <w:vAlign w:val="bottom"/>
          </w:tcPr>
          <w:p>
            <w:pPr>
              <w:ind w:left="180"/>
              <w:spacing w:after="0" w:line="119" w:lineRule="exact"/>
              <w:rPr>
                <w:sz w:val="20"/>
                <w:szCs w:val="20"/>
                <w:color w:val="auto"/>
              </w:rPr>
            </w:pPr>
            <w:r>
              <w:rPr>
                <w:rFonts w:ascii="Calibri" w:cs="Calibri" w:eastAsia="Calibri" w:hAnsi="Calibri"/>
                <w:sz w:val="10"/>
                <w:szCs w:val="10"/>
                <w:color w:val="auto"/>
              </w:rPr>
              <w:t>Accrued expenses, accrued income taxes, and other liabilites</w:t>
            </w:r>
          </w:p>
        </w:tc>
        <w:tc>
          <w:tcPr>
            <w:tcW w:w="880" w:type="dxa"/>
            <w:vAlign w:val="bottom"/>
          </w:tcPr>
          <w:p>
            <w:pPr>
              <w:spacing w:after="0"/>
              <w:rPr>
                <w:sz w:val="11"/>
                <w:szCs w:val="11"/>
                <w:color w:val="auto"/>
              </w:rPr>
            </w:pPr>
          </w:p>
        </w:tc>
        <w:tc>
          <w:tcPr>
            <w:tcW w:w="760" w:type="dxa"/>
            <w:vAlign w:val="bottom"/>
            <w:gridSpan w:val="2"/>
          </w:tcPr>
          <w:p>
            <w:pPr>
              <w:jc w:val="right"/>
              <w:ind w:right="240"/>
              <w:spacing w:after="0" w:line="119" w:lineRule="exact"/>
              <w:rPr>
                <w:sz w:val="20"/>
                <w:szCs w:val="20"/>
                <w:color w:val="auto"/>
              </w:rPr>
            </w:pPr>
            <w:r>
              <w:rPr>
                <w:rFonts w:ascii="Calibri" w:cs="Calibri" w:eastAsia="Calibri" w:hAnsi="Calibri"/>
                <w:sz w:val="10"/>
                <w:szCs w:val="10"/>
                <w:color w:val="auto"/>
              </w:rPr>
              <w:t>(3,419 )</w:t>
            </w:r>
          </w:p>
        </w:tc>
        <w:tc>
          <w:tcPr>
            <w:tcW w:w="80" w:type="dxa"/>
            <w:vAlign w:val="bottom"/>
          </w:tcPr>
          <w:p>
            <w:pPr>
              <w:spacing w:after="0"/>
              <w:rPr>
                <w:sz w:val="11"/>
                <w:szCs w:val="11"/>
                <w:color w:val="auto"/>
              </w:rPr>
            </w:pPr>
          </w:p>
        </w:tc>
        <w:tc>
          <w:tcPr>
            <w:tcW w:w="1500" w:type="dxa"/>
            <w:vAlign w:val="bottom"/>
            <w:gridSpan w:val="2"/>
          </w:tcPr>
          <w:p>
            <w:pPr>
              <w:jc w:val="right"/>
              <w:ind w:right="200"/>
              <w:spacing w:after="0" w:line="119" w:lineRule="exact"/>
              <w:rPr>
                <w:sz w:val="20"/>
                <w:szCs w:val="20"/>
                <w:color w:val="auto"/>
              </w:rPr>
            </w:pPr>
            <w:r>
              <w:rPr>
                <w:rFonts w:ascii="Calibri" w:cs="Calibri" w:eastAsia="Calibri" w:hAnsi="Calibri"/>
                <w:sz w:val="10"/>
                <w:szCs w:val="10"/>
                <w:color w:val="auto"/>
              </w:rPr>
              <w:t>(25,077 )</w:t>
            </w:r>
          </w:p>
        </w:tc>
        <w:tc>
          <w:tcPr>
            <w:tcW w:w="320" w:type="dxa"/>
            <w:vAlign w:val="bottom"/>
          </w:tcPr>
          <w:p>
            <w:pPr>
              <w:spacing w:after="0"/>
              <w:rPr>
                <w:sz w:val="11"/>
                <w:szCs w:val="11"/>
                <w:color w:val="auto"/>
              </w:rPr>
            </w:pPr>
          </w:p>
        </w:tc>
        <w:tc>
          <w:tcPr>
            <w:tcW w:w="1020" w:type="dxa"/>
            <w:vAlign w:val="bottom"/>
          </w:tcPr>
          <w:p>
            <w:pPr>
              <w:jc w:val="right"/>
              <w:spacing w:after="0" w:line="119" w:lineRule="exact"/>
              <w:rPr>
                <w:sz w:val="20"/>
                <w:szCs w:val="20"/>
                <w:color w:val="auto"/>
              </w:rPr>
            </w:pPr>
            <w:r>
              <w:rPr>
                <w:rFonts w:ascii="Calibri" w:cs="Calibri" w:eastAsia="Calibri" w:hAnsi="Calibri"/>
                <w:sz w:val="10"/>
                <w:szCs w:val="10"/>
                <w:color w:val="auto"/>
              </w:rPr>
              <w:t>35,817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600" w:type="dxa"/>
            <w:vAlign w:val="bottom"/>
            <w:shd w:val="clear" w:color="auto" w:fill="CFF0FC"/>
          </w:tcPr>
          <w:p>
            <w:pPr>
              <w:ind w:left="180"/>
              <w:spacing w:after="0"/>
              <w:rPr>
                <w:sz w:val="20"/>
                <w:szCs w:val="20"/>
                <w:color w:val="auto"/>
              </w:rPr>
            </w:pPr>
            <w:r>
              <w:rPr>
                <w:rFonts w:ascii="Calibri" w:cs="Calibri" w:eastAsia="Calibri" w:hAnsi="Calibri"/>
                <w:sz w:val="10"/>
                <w:szCs w:val="10"/>
                <w:color w:val="auto"/>
              </w:rPr>
              <w:t>Deferred revenue</w:t>
            </w:r>
          </w:p>
        </w:tc>
        <w:tc>
          <w:tcPr>
            <w:tcW w:w="8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Calibri" w:cs="Calibri" w:eastAsia="Calibri" w:hAnsi="Calibri"/>
                <w:sz w:val="10"/>
                <w:szCs w:val="10"/>
                <w:color w:val="auto"/>
              </w:rPr>
              <w:t>9,067</w:t>
            </w: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500" w:type="dxa"/>
            <w:vAlign w:val="bottom"/>
            <w:gridSpan w:val="2"/>
            <w:shd w:val="clear" w:color="auto" w:fill="CFF0FC"/>
          </w:tcPr>
          <w:p>
            <w:pPr>
              <w:jc w:val="right"/>
              <w:ind w:right="200"/>
              <w:spacing w:after="0"/>
              <w:rPr>
                <w:sz w:val="20"/>
                <w:szCs w:val="20"/>
                <w:color w:val="auto"/>
              </w:rPr>
            </w:pPr>
            <w:r>
              <w:rPr>
                <w:rFonts w:ascii="Calibri" w:cs="Calibri" w:eastAsia="Calibri" w:hAnsi="Calibri"/>
                <w:sz w:val="10"/>
                <w:szCs w:val="10"/>
                <w:color w:val="auto"/>
              </w:rPr>
              <w:t>(525 )</w:t>
            </w:r>
          </w:p>
        </w:tc>
        <w:tc>
          <w:tcPr>
            <w:tcW w:w="3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Calibri" w:cs="Calibri" w:eastAsia="Calibri" w:hAnsi="Calibri"/>
                <w:sz w:val="10"/>
                <w:szCs w:val="10"/>
                <w:color w:val="auto"/>
              </w:rPr>
              <w:t>3,661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6600" w:type="dxa"/>
            <w:vAlign w:val="bottom"/>
          </w:tcPr>
          <w:p>
            <w:pPr>
              <w:ind w:left="180"/>
              <w:spacing w:after="0" w:line="119" w:lineRule="exact"/>
              <w:rPr>
                <w:sz w:val="20"/>
                <w:szCs w:val="20"/>
                <w:color w:val="auto"/>
              </w:rPr>
            </w:pPr>
            <w:r>
              <w:rPr>
                <w:rFonts w:ascii="Calibri" w:cs="Calibri" w:eastAsia="Calibri" w:hAnsi="Calibri"/>
                <w:sz w:val="10"/>
                <w:szCs w:val="10"/>
                <w:color w:val="auto"/>
              </w:rPr>
              <w:t>Lease obligatons</w:t>
            </w:r>
          </w:p>
        </w:tc>
        <w:tc>
          <w:tcPr>
            <w:tcW w:w="880" w:type="dxa"/>
            <w:vAlign w:val="bottom"/>
          </w:tcPr>
          <w:p>
            <w:pPr>
              <w:spacing w:after="0"/>
              <w:rPr>
                <w:sz w:val="11"/>
                <w:szCs w:val="11"/>
                <w:color w:val="auto"/>
              </w:rPr>
            </w:pPr>
          </w:p>
        </w:tc>
        <w:tc>
          <w:tcPr>
            <w:tcW w:w="480" w:type="dxa"/>
            <w:vAlign w:val="bottom"/>
          </w:tcPr>
          <w:p>
            <w:pPr>
              <w:jc w:val="right"/>
              <w:spacing w:after="0" w:line="119" w:lineRule="exact"/>
              <w:rPr>
                <w:sz w:val="20"/>
                <w:szCs w:val="20"/>
                <w:color w:val="auto"/>
              </w:rPr>
            </w:pPr>
            <w:r>
              <w:rPr>
                <w:rFonts w:ascii="Calibri" w:cs="Calibri" w:eastAsia="Calibri" w:hAnsi="Calibri"/>
                <w:sz w:val="10"/>
                <w:szCs w:val="10"/>
                <w:color w:val="auto"/>
              </w:rPr>
              <w:t>15,165</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gridSpan w:val="2"/>
          </w:tcPr>
          <w:p>
            <w:pPr>
              <w:jc w:val="right"/>
              <w:ind w:right="200"/>
              <w:spacing w:after="0" w:line="119" w:lineRule="exact"/>
              <w:rPr>
                <w:sz w:val="20"/>
                <w:szCs w:val="20"/>
                <w:color w:val="auto"/>
              </w:rPr>
            </w:pPr>
            <w:r>
              <w:rPr>
                <w:rFonts w:ascii="Calibri" w:cs="Calibri" w:eastAsia="Calibri" w:hAnsi="Calibri"/>
                <w:sz w:val="10"/>
                <w:szCs w:val="10"/>
                <w:color w:val="auto"/>
              </w:rPr>
              <w:t>(546 )</w:t>
            </w:r>
          </w:p>
        </w:tc>
        <w:tc>
          <w:tcPr>
            <w:tcW w:w="320" w:type="dxa"/>
            <w:vAlign w:val="bottom"/>
          </w:tcPr>
          <w:p>
            <w:pPr>
              <w:spacing w:after="0"/>
              <w:rPr>
                <w:sz w:val="11"/>
                <w:szCs w:val="11"/>
                <w:color w:val="auto"/>
              </w:rPr>
            </w:pPr>
          </w:p>
        </w:tc>
        <w:tc>
          <w:tcPr>
            <w:tcW w:w="1020" w:type="dxa"/>
            <w:vAlign w:val="bottom"/>
          </w:tcPr>
          <w:p>
            <w:pPr>
              <w:jc w:val="right"/>
              <w:spacing w:after="0" w:line="119" w:lineRule="exact"/>
              <w:rPr>
                <w:sz w:val="20"/>
                <w:szCs w:val="20"/>
                <w:color w:val="auto"/>
              </w:rPr>
            </w:pPr>
            <w:r>
              <w:rPr>
                <w:rFonts w:ascii="Calibri" w:cs="Calibri" w:eastAsia="Calibri" w:hAnsi="Calibri"/>
                <w:sz w:val="10"/>
                <w:szCs w:val="10"/>
                <w:color w:val="auto"/>
              </w:rPr>
              <w:t>1,041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600" w:type="dxa"/>
            <w:vAlign w:val="bottom"/>
            <w:tcBorders>
              <w:bottom w:val="single" w:sz="8" w:color="CFF0FC"/>
            </w:tcBorders>
            <w:shd w:val="clear" w:color="auto" w:fill="CFF0FC"/>
          </w:tcPr>
          <w:p>
            <w:pPr>
              <w:spacing w:after="0" w:line="119" w:lineRule="exact"/>
              <w:rPr>
                <w:sz w:val="20"/>
                <w:szCs w:val="20"/>
                <w:color w:val="auto"/>
              </w:rPr>
            </w:pPr>
            <w:r>
              <w:rPr>
                <w:rFonts w:ascii="Calibri" w:cs="Calibri" w:eastAsia="Calibri" w:hAnsi="Calibri"/>
                <w:sz w:val="10"/>
                <w:szCs w:val="10"/>
                <w:color w:val="auto"/>
              </w:rPr>
              <w:t>Net cash provided by operatng actvites</w:t>
            </w:r>
          </w:p>
        </w:tc>
        <w:tc>
          <w:tcPr>
            <w:tcW w:w="880" w:type="dxa"/>
            <w:vAlign w:val="bottom"/>
            <w:tcBorders>
              <w:top w:val="single" w:sz="8" w:color="auto"/>
              <w:bottom w:val="single" w:sz="8" w:color="auto"/>
            </w:tcBorders>
            <w:shd w:val="clear" w:color="auto" w:fill="CFF0FC"/>
          </w:tcPr>
          <w:p>
            <w:pPr>
              <w:spacing w:after="0"/>
              <w:rPr>
                <w:sz w:val="11"/>
                <w:szCs w:val="11"/>
                <w:color w:val="auto"/>
              </w:rPr>
            </w:pPr>
          </w:p>
        </w:tc>
        <w:tc>
          <w:tcPr>
            <w:tcW w:w="480" w:type="dxa"/>
            <w:vAlign w:val="bottom"/>
            <w:tcBorders>
              <w:top w:val="single" w:sz="8" w:color="auto"/>
              <w:bottom w:val="single" w:sz="8" w:color="auto"/>
            </w:tcBorders>
            <w:shd w:val="clear" w:color="auto" w:fill="CFF0FC"/>
          </w:tcPr>
          <w:p>
            <w:pPr>
              <w:jc w:val="right"/>
              <w:spacing w:after="0" w:line="119" w:lineRule="exact"/>
              <w:rPr>
                <w:sz w:val="20"/>
                <w:szCs w:val="20"/>
                <w:color w:val="auto"/>
              </w:rPr>
            </w:pPr>
            <w:r>
              <w:rPr>
                <w:rFonts w:ascii="Calibri" w:cs="Calibri" w:eastAsia="Calibri" w:hAnsi="Calibri"/>
                <w:sz w:val="10"/>
                <w:szCs w:val="10"/>
                <w:color w:val="auto"/>
              </w:rPr>
              <w:t>124,527</w:t>
            </w:r>
          </w:p>
        </w:tc>
        <w:tc>
          <w:tcPr>
            <w:tcW w:w="28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1260" w:type="dxa"/>
            <w:vAlign w:val="bottom"/>
            <w:tcBorders>
              <w:top w:val="single" w:sz="8" w:color="auto"/>
              <w:bottom w:val="single" w:sz="8" w:color="auto"/>
            </w:tcBorders>
            <w:shd w:val="clear" w:color="auto" w:fill="CFF0FC"/>
          </w:tcPr>
          <w:p>
            <w:pPr>
              <w:jc w:val="right"/>
              <w:spacing w:after="0" w:line="119" w:lineRule="exact"/>
              <w:rPr>
                <w:sz w:val="20"/>
                <w:szCs w:val="20"/>
                <w:color w:val="auto"/>
              </w:rPr>
            </w:pPr>
            <w:r>
              <w:rPr>
                <w:rFonts w:ascii="Calibri" w:cs="Calibri" w:eastAsia="Calibri" w:hAnsi="Calibri"/>
                <w:sz w:val="10"/>
                <w:szCs w:val="10"/>
                <w:color w:val="auto"/>
              </w:rPr>
              <w:t>256,106</w:t>
            </w:r>
          </w:p>
        </w:tc>
        <w:tc>
          <w:tcPr>
            <w:tcW w:w="240" w:type="dxa"/>
            <w:vAlign w:val="bottom"/>
            <w:tcBorders>
              <w:bottom w:val="single" w:sz="8" w:color="CFF0FC"/>
            </w:tcBorders>
            <w:shd w:val="clear" w:color="auto" w:fill="CFF0FC"/>
          </w:tcPr>
          <w:p>
            <w:pPr>
              <w:spacing w:after="0"/>
              <w:rPr>
                <w:sz w:val="11"/>
                <w:szCs w:val="11"/>
                <w:color w:val="auto"/>
              </w:rPr>
            </w:pPr>
          </w:p>
        </w:tc>
        <w:tc>
          <w:tcPr>
            <w:tcW w:w="320" w:type="dxa"/>
            <w:vAlign w:val="bottom"/>
            <w:tcBorders>
              <w:top w:val="single" w:sz="8" w:color="auto"/>
              <w:bottom w:val="single" w:sz="8" w:color="auto"/>
            </w:tcBorders>
            <w:shd w:val="clear" w:color="auto" w:fill="CFF0FC"/>
          </w:tcPr>
          <w:p>
            <w:pPr>
              <w:spacing w:after="0"/>
              <w:rPr>
                <w:sz w:val="11"/>
                <w:szCs w:val="11"/>
                <w:color w:val="auto"/>
              </w:rPr>
            </w:pPr>
          </w:p>
        </w:tc>
        <w:tc>
          <w:tcPr>
            <w:tcW w:w="1020" w:type="dxa"/>
            <w:vAlign w:val="bottom"/>
            <w:tcBorders>
              <w:top w:val="single" w:sz="8" w:color="auto"/>
              <w:bottom w:val="single" w:sz="8" w:color="auto"/>
            </w:tcBorders>
            <w:shd w:val="clear" w:color="auto" w:fill="CFF0FC"/>
          </w:tcPr>
          <w:p>
            <w:pPr>
              <w:jc w:val="right"/>
              <w:spacing w:after="0" w:line="119" w:lineRule="exact"/>
              <w:rPr>
                <w:sz w:val="20"/>
                <w:szCs w:val="20"/>
                <w:color w:val="auto"/>
              </w:rPr>
            </w:pPr>
            <w:r>
              <w:rPr>
                <w:rFonts w:ascii="Calibri" w:cs="Calibri" w:eastAsia="Calibri" w:hAnsi="Calibri"/>
                <w:sz w:val="10"/>
                <w:szCs w:val="10"/>
                <w:color w:val="auto"/>
              </w:rPr>
              <w:t>98,292</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600" w:type="dxa"/>
            <w:vAlign w:val="bottom"/>
          </w:tcPr>
          <w:p>
            <w:pPr>
              <w:spacing w:after="0" w:line="119" w:lineRule="exact"/>
              <w:rPr>
                <w:sz w:val="20"/>
                <w:szCs w:val="20"/>
                <w:color w:val="auto"/>
              </w:rPr>
            </w:pPr>
            <w:r>
              <w:rPr>
                <w:rFonts w:ascii="Calibri" w:cs="Calibri" w:eastAsia="Calibri" w:hAnsi="Calibri"/>
                <w:sz w:val="10"/>
                <w:szCs w:val="10"/>
                <w:b w:val="1"/>
                <w:bCs w:val="1"/>
                <w:color w:val="auto"/>
              </w:rPr>
              <w:t>Investng Actvites</w:t>
            </w: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600" w:type="dxa"/>
            <w:vAlign w:val="bottom"/>
            <w:shd w:val="clear" w:color="auto" w:fill="CFF0FC"/>
          </w:tcPr>
          <w:p>
            <w:pPr>
              <w:ind w:left="60"/>
              <w:spacing w:after="0"/>
              <w:rPr>
                <w:sz w:val="20"/>
                <w:szCs w:val="20"/>
                <w:color w:val="auto"/>
              </w:rPr>
            </w:pPr>
            <w:r>
              <w:rPr>
                <w:rFonts w:ascii="Calibri" w:cs="Calibri" w:eastAsia="Calibri" w:hAnsi="Calibri"/>
                <w:sz w:val="10"/>
                <w:szCs w:val="10"/>
                <w:color w:val="auto"/>
              </w:rPr>
              <w:t>Purchases of property and equipment</w:t>
            </w:r>
          </w:p>
        </w:tc>
        <w:tc>
          <w:tcPr>
            <w:tcW w:w="8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40"/>
              <w:spacing w:after="0"/>
              <w:rPr>
                <w:sz w:val="20"/>
                <w:szCs w:val="20"/>
                <w:color w:val="auto"/>
              </w:rPr>
            </w:pPr>
            <w:r>
              <w:rPr>
                <w:rFonts w:ascii="Calibri" w:cs="Calibri" w:eastAsia="Calibri" w:hAnsi="Calibri"/>
                <w:sz w:val="10"/>
                <w:szCs w:val="10"/>
                <w:color w:val="auto"/>
              </w:rPr>
              <w:t>(24,563 )</w:t>
            </w:r>
          </w:p>
        </w:tc>
        <w:tc>
          <w:tcPr>
            <w:tcW w:w="80" w:type="dxa"/>
            <w:vAlign w:val="bottom"/>
            <w:shd w:val="clear" w:color="auto" w:fill="CFF0FC"/>
          </w:tcPr>
          <w:p>
            <w:pPr>
              <w:spacing w:after="0"/>
              <w:rPr>
                <w:sz w:val="12"/>
                <w:szCs w:val="12"/>
                <w:color w:val="auto"/>
              </w:rPr>
            </w:pPr>
          </w:p>
        </w:tc>
        <w:tc>
          <w:tcPr>
            <w:tcW w:w="1500" w:type="dxa"/>
            <w:vAlign w:val="bottom"/>
            <w:gridSpan w:val="2"/>
            <w:shd w:val="clear" w:color="auto" w:fill="CFF0FC"/>
          </w:tcPr>
          <w:p>
            <w:pPr>
              <w:jc w:val="right"/>
              <w:ind w:right="200"/>
              <w:spacing w:after="0"/>
              <w:rPr>
                <w:sz w:val="20"/>
                <w:szCs w:val="20"/>
                <w:color w:val="auto"/>
              </w:rPr>
            </w:pPr>
            <w:r>
              <w:rPr>
                <w:rFonts w:ascii="Calibri" w:cs="Calibri" w:eastAsia="Calibri" w:hAnsi="Calibri"/>
                <w:sz w:val="10"/>
                <w:szCs w:val="10"/>
                <w:color w:val="auto"/>
              </w:rPr>
              <w:t>(5,924 )</w:t>
            </w:r>
          </w:p>
        </w:tc>
        <w:tc>
          <w:tcPr>
            <w:tcW w:w="32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60"/>
              <w:spacing w:after="0"/>
              <w:rPr>
                <w:sz w:val="20"/>
                <w:szCs w:val="20"/>
                <w:color w:val="auto"/>
              </w:rPr>
            </w:pPr>
            <w:r>
              <w:rPr>
                <w:rFonts w:ascii="Calibri" w:cs="Calibri" w:eastAsia="Calibri" w:hAnsi="Calibri"/>
                <w:sz w:val="10"/>
                <w:szCs w:val="10"/>
                <w:color w:val="auto"/>
              </w:rPr>
              <w:t>(7,713 )</w:t>
            </w:r>
          </w:p>
        </w:tc>
        <w:tc>
          <w:tcPr>
            <w:tcW w:w="0" w:type="dxa"/>
            <w:vAlign w:val="bottom"/>
          </w:tcPr>
          <w:p>
            <w:pPr>
              <w:spacing w:after="0"/>
              <w:rPr>
                <w:sz w:val="1"/>
                <w:szCs w:val="1"/>
                <w:color w:val="auto"/>
              </w:rPr>
            </w:pPr>
          </w:p>
        </w:tc>
      </w:tr>
      <w:tr>
        <w:trPr>
          <w:trHeight w:val="128"/>
        </w:trPr>
        <w:tc>
          <w:tcPr>
            <w:tcW w:w="6600" w:type="dxa"/>
            <w:vAlign w:val="bottom"/>
          </w:tcPr>
          <w:p>
            <w:pPr>
              <w:ind w:left="60"/>
              <w:spacing w:after="0" w:line="119" w:lineRule="exact"/>
              <w:rPr>
                <w:sz w:val="20"/>
                <w:szCs w:val="20"/>
                <w:color w:val="auto"/>
              </w:rPr>
            </w:pPr>
            <w:r>
              <w:rPr>
                <w:rFonts w:ascii="Calibri" w:cs="Calibri" w:eastAsia="Calibri" w:hAnsi="Calibri"/>
                <w:sz w:val="10"/>
                <w:szCs w:val="10"/>
                <w:color w:val="auto"/>
              </w:rPr>
              <w:t>Proceeds from sale of property and equipment</w:t>
            </w:r>
          </w:p>
        </w:tc>
        <w:tc>
          <w:tcPr>
            <w:tcW w:w="880" w:type="dxa"/>
            <w:vAlign w:val="bottom"/>
          </w:tcPr>
          <w:p>
            <w:pPr>
              <w:spacing w:after="0"/>
              <w:rPr>
                <w:sz w:val="11"/>
                <w:szCs w:val="11"/>
                <w:color w:val="auto"/>
              </w:rPr>
            </w:pPr>
          </w:p>
        </w:tc>
        <w:tc>
          <w:tcPr>
            <w:tcW w:w="480" w:type="dxa"/>
            <w:vAlign w:val="bottom"/>
          </w:tcPr>
          <w:p>
            <w:pPr>
              <w:jc w:val="right"/>
              <w:spacing w:after="0" w:line="119" w:lineRule="exact"/>
              <w:rPr>
                <w:sz w:val="20"/>
                <w:szCs w:val="20"/>
                <w:color w:val="auto"/>
              </w:rPr>
            </w:pPr>
            <w:r>
              <w:rPr>
                <w:rFonts w:ascii="Calibri" w:cs="Calibri" w:eastAsia="Calibri" w:hAnsi="Calibri"/>
                <w:sz w:val="10"/>
                <w:szCs w:val="10"/>
                <w:color w:val="auto"/>
              </w:rPr>
              <w:t>460</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gridSpan w:val="2"/>
          </w:tcPr>
          <w:p>
            <w:pPr>
              <w:jc w:val="right"/>
              <w:ind w:right="260"/>
              <w:spacing w:after="0" w:line="119" w:lineRule="exact"/>
              <w:rPr>
                <w:sz w:val="20"/>
                <w:szCs w:val="20"/>
                <w:color w:val="auto"/>
              </w:rPr>
            </w:pPr>
            <w:r>
              <w:rPr>
                <w:rFonts w:ascii="Calibri" w:cs="Calibri" w:eastAsia="Calibri" w:hAnsi="Calibri"/>
                <w:sz w:val="10"/>
                <w:szCs w:val="10"/>
                <w:color w:val="auto"/>
              </w:rPr>
              <w:t>—</w:t>
            </w:r>
          </w:p>
        </w:tc>
        <w:tc>
          <w:tcPr>
            <w:tcW w:w="320" w:type="dxa"/>
            <w:vAlign w:val="bottom"/>
          </w:tcPr>
          <w:p>
            <w:pPr>
              <w:spacing w:after="0"/>
              <w:rPr>
                <w:sz w:val="11"/>
                <w:szCs w:val="11"/>
                <w:color w:val="auto"/>
              </w:rPr>
            </w:pPr>
          </w:p>
        </w:tc>
        <w:tc>
          <w:tcPr>
            <w:tcW w:w="1120" w:type="dxa"/>
            <w:vAlign w:val="bottom"/>
            <w:gridSpan w:val="2"/>
          </w:tcPr>
          <w:p>
            <w:pPr>
              <w:jc w:val="right"/>
              <w:ind w:right="120"/>
              <w:spacing w:after="0" w:line="119" w:lineRule="exact"/>
              <w:rPr>
                <w:sz w:val="20"/>
                <w:szCs w:val="20"/>
                <w:color w:val="auto"/>
              </w:rPr>
            </w:pPr>
            <w:r>
              <w:rPr>
                <w:rFonts w:ascii="Calibri" w:cs="Calibri" w:eastAsia="Calibri" w:hAnsi="Calibri"/>
                <w:sz w:val="10"/>
                <w:szCs w:val="10"/>
                <w:color w:val="auto"/>
              </w:rPr>
              <w:t>—</w:t>
            </w:r>
          </w:p>
        </w:tc>
        <w:tc>
          <w:tcPr>
            <w:tcW w:w="0" w:type="dxa"/>
            <w:vAlign w:val="bottom"/>
          </w:tcPr>
          <w:p>
            <w:pPr>
              <w:spacing w:after="0"/>
              <w:rPr>
                <w:sz w:val="1"/>
                <w:szCs w:val="1"/>
                <w:color w:val="auto"/>
              </w:rPr>
            </w:pPr>
          </w:p>
        </w:tc>
      </w:tr>
      <w:tr>
        <w:trPr>
          <w:trHeight w:val="148"/>
        </w:trPr>
        <w:tc>
          <w:tcPr>
            <w:tcW w:w="6600" w:type="dxa"/>
            <w:vAlign w:val="bottom"/>
            <w:shd w:val="clear" w:color="auto" w:fill="CFF0FC"/>
          </w:tcPr>
          <w:p>
            <w:pPr>
              <w:ind w:left="60"/>
              <w:spacing w:after="0"/>
              <w:rPr>
                <w:sz w:val="20"/>
                <w:szCs w:val="20"/>
                <w:color w:val="auto"/>
              </w:rPr>
            </w:pPr>
            <w:r>
              <w:rPr>
                <w:rFonts w:ascii="Calibri" w:cs="Calibri" w:eastAsia="Calibri" w:hAnsi="Calibri"/>
                <w:sz w:val="10"/>
                <w:szCs w:val="10"/>
                <w:color w:val="auto"/>
              </w:rPr>
              <w:t>Capitalizaton of website development costs</w:t>
            </w:r>
          </w:p>
        </w:tc>
        <w:tc>
          <w:tcPr>
            <w:tcW w:w="8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40"/>
              <w:spacing w:after="0"/>
              <w:rPr>
                <w:sz w:val="20"/>
                <w:szCs w:val="20"/>
                <w:color w:val="auto"/>
              </w:rPr>
            </w:pPr>
            <w:r>
              <w:rPr>
                <w:rFonts w:ascii="Calibri" w:cs="Calibri" w:eastAsia="Calibri" w:hAnsi="Calibri"/>
                <w:sz w:val="10"/>
                <w:szCs w:val="10"/>
                <w:color w:val="auto"/>
              </w:rPr>
              <w:t>(16,648 )</w:t>
            </w:r>
          </w:p>
        </w:tc>
        <w:tc>
          <w:tcPr>
            <w:tcW w:w="80" w:type="dxa"/>
            <w:vAlign w:val="bottom"/>
            <w:shd w:val="clear" w:color="auto" w:fill="CFF0FC"/>
          </w:tcPr>
          <w:p>
            <w:pPr>
              <w:spacing w:after="0"/>
              <w:rPr>
                <w:sz w:val="12"/>
                <w:szCs w:val="12"/>
                <w:color w:val="auto"/>
              </w:rPr>
            </w:pPr>
          </w:p>
        </w:tc>
        <w:tc>
          <w:tcPr>
            <w:tcW w:w="1500" w:type="dxa"/>
            <w:vAlign w:val="bottom"/>
            <w:gridSpan w:val="2"/>
            <w:shd w:val="clear" w:color="auto" w:fill="CFF0FC"/>
          </w:tcPr>
          <w:p>
            <w:pPr>
              <w:jc w:val="right"/>
              <w:ind w:right="200"/>
              <w:spacing w:after="0"/>
              <w:rPr>
                <w:sz w:val="20"/>
                <w:szCs w:val="20"/>
                <w:color w:val="auto"/>
              </w:rPr>
            </w:pPr>
            <w:r>
              <w:rPr>
                <w:rFonts w:ascii="Calibri" w:cs="Calibri" w:eastAsia="Calibri" w:hAnsi="Calibri"/>
                <w:sz w:val="10"/>
                <w:szCs w:val="10"/>
                <w:color w:val="auto"/>
              </w:rPr>
              <w:t>(11,346 )</w:t>
            </w:r>
          </w:p>
        </w:tc>
        <w:tc>
          <w:tcPr>
            <w:tcW w:w="32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60"/>
              <w:spacing w:after="0"/>
              <w:rPr>
                <w:sz w:val="20"/>
                <w:szCs w:val="20"/>
                <w:color w:val="auto"/>
              </w:rPr>
            </w:pPr>
            <w:r>
              <w:rPr>
                <w:rFonts w:ascii="Calibri" w:cs="Calibri" w:eastAsia="Calibri" w:hAnsi="Calibri"/>
                <w:sz w:val="10"/>
                <w:szCs w:val="10"/>
                <w:color w:val="auto"/>
              </w:rPr>
              <w:t>(6,163 )</w:t>
            </w:r>
          </w:p>
        </w:tc>
        <w:tc>
          <w:tcPr>
            <w:tcW w:w="0" w:type="dxa"/>
            <w:vAlign w:val="bottom"/>
          </w:tcPr>
          <w:p>
            <w:pPr>
              <w:spacing w:after="0"/>
              <w:rPr>
                <w:sz w:val="1"/>
                <w:szCs w:val="1"/>
                <w:color w:val="auto"/>
              </w:rPr>
            </w:pPr>
          </w:p>
        </w:tc>
      </w:tr>
      <w:tr>
        <w:trPr>
          <w:trHeight w:val="128"/>
        </w:trPr>
        <w:tc>
          <w:tcPr>
            <w:tcW w:w="6600" w:type="dxa"/>
            <w:vAlign w:val="bottom"/>
          </w:tcPr>
          <w:p>
            <w:pPr>
              <w:ind w:left="60"/>
              <w:spacing w:after="0" w:line="119" w:lineRule="exact"/>
              <w:rPr>
                <w:sz w:val="20"/>
                <w:szCs w:val="20"/>
                <w:color w:val="auto"/>
              </w:rPr>
            </w:pPr>
            <w:r>
              <w:rPr>
                <w:rFonts w:ascii="Calibri" w:cs="Calibri" w:eastAsia="Calibri" w:hAnsi="Calibri"/>
                <w:sz w:val="10"/>
                <w:szCs w:val="10"/>
                <w:color w:val="auto"/>
              </w:rPr>
              <w:t>Cash paid for acquisitons, net of cash acquired</w:t>
            </w:r>
          </w:p>
        </w:tc>
        <w:tc>
          <w:tcPr>
            <w:tcW w:w="880" w:type="dxa"/>
            <w:vAlign w:val="bottom"/>
          </w:tcPr>
          <w:p>
            <w:pPr>
              <w:spacing w:after="0"/>
              <w:rPr>
                <w:sz w:val="11"/>
                <w:szCs w:val="11"/>
                <w:color w:val="auto"/>
              </w:rPr>
            </w:pPr>
          </w:p>
        </w:tc>
        <w:tc>
          <w:tcPr>
            <w:tcW w:w="760" w:type="dxa"/>
            <w:vAlign w:val="bottom"/>
            <w:gridSpan w:val="2"/>
          </w:tcPr>
          <w:p>
            <w:pPr>
              <w:jc w:val="right"/>
              <w:ind w:right="300"/>
              <w:spacing w:after="0" w:line="119" w:lineRule="exact"/>
              <w:rPr>
                <w:sz w:val="20"/>
                <w:szCs w:val="20"/>
                <w:color w:val="auto"/>
              </w:rPr>
            </w:pPr>
            <w:r>
              <w:rPr>
                <w:rFonts w:ascii="Calibri" w:cs="Calibri" w:eastAsia="Calibri" w:hAnsi="Calibri"/>
                <w:sz w:val="10"/>
                <w:szCs w:val="10"/>
                <w:color w:val="auto"/>
              </w:rPr>
              <w:t>—</w:t>
            </w:r>
          </w:p>
        </w:tc>
        <w:tc>
          <w:tcPr>
            <w:tcW w:w="80" w:type="dxa"/>
            <w:vAlign w:val="bottom"/>
          </w:tcPr>
          <w:p>
            <w:pPr>
              <w:spacing w:after="0"/>
              <w:rPr>
                <w:sz w:val="11"/>
                <w:szCs w:val="11"/>
                <w:color w:val="auto"/>
              </w:rPr>
            </w:pPr>
          </w:p>
        </w:tc>
        <w:tc>
          <w:tcPr>
            <w:tcW w:w="1500" w:type="dxa"/>
            <w:vAlign w:val="bottom"/>
            <w:gridSpan w:val="2"/>
          </w:tcPr>
          <w:p>
            <w:pPr>
              <w:jc w:val="right"/>
              <w:ind w:right="260"/>
              <w:spacing w:after="0" w:line="119" w:lineRule="exact"/>
              <w:rPr>
                <w:sz w:val="20"/>
                <w:szCs w:val="20"/>
                <w:color w:val="auto"/>
              </w:rPr>
            </w:pPr>
            <w:r>
              <w:rPr>
                <w:rFonts w:ascii="Calibri" w:cs="Calibri" w:eastAsia="Calibri" w:hAnsi="Calibri"/>
                <w:sz w:val="10"/>
                <w:szCs w:val="10"/>
                <w:color w:val="auto"/>
              </w:rPr>
              <w:t>—</w:t>
            </w:r>
          </w:p>
        </w:tc>
        <w:tc>
          <w:tcPr>
            <w:tcW w:w="320" w:type="dxa"/>
            <w:vAlign w:val="bottom"/>
          </w:tcPr>
          <w:p>
            <w:pPr>
              <w:spacing w:after="0"/>
              <w:rPr>
                <w:sz w:val="11"/>
                <w:szCs w:val="11"/>
                <w:color w:val="auto"/>
              </w:rPr>
            </w:pPr>
          </w:p>
        </w:tc>
        <w:tc>
          <w:tcPr>
            <w:tcW w:w="1120" w:type="dxa"/>
            <w:vAlign w:val="bottom"/>
            <w:gridSpan w:val="2"/>
          </w:tcPr>
          <w:p>
            <w:pPr>
              <w:jc w:val="right"/>
              <w:ind w:right="60"/>
              <w:spacing w:after="0" w:line="119" w:lineRule="exact"/>
              <w:rPr>
                <w:sz w:val="20"/>
                <w:szCs w:val="20"/>
                <w:color w:val="auto"/>
              </w:rPr>
            </w:pPr>
            <w:r>
              <w:rPr>
                <w:rFonts w:ascii="Calibri" w:cs="Calibri" w:eastAsia="Calibri" w:hAnsi="Calibri"/>
                <w:sz w:val="10"/>
                <w:szCs w:val="10"/>
                <w:color w:val="auto"/>
              </w:rPr>
              <w:t>(64,273 )</w:t>
            </w:r>
          </w:p>
        </w:tc>
        <w:tc>
          <w:tcPr>
            <w:tcW w:w="0" w:type="dxa"/>
            <w:vAlign w:val="bottom"/>
          </w:tcPr>
          <w:p>
            <w:pPr>
              <w:spacing w:after="0"/>
              <w:rPr>
                <w:sz w:val="1"/>
                <w:szCs w:val="1"/>
                <w:color w:val="auto"/>
              </w:rPr>
            </w:pPr>
          </w:p>
        </w:tc>
      </w:tr>
      <w:tr>
        <w:trPr>
          <w:trHeight w:val="148"/>
        </w:trPr>
        <w:tc>
          <w:tcPr>
            <w:tcW w:w="6600" w:type="dxa"/>
            <w:vAlign w:val="bottom"/>
            <w:shd w:val="clear" w:color="auto" w:fill="CFF0FC"/>
          </w:tcPr>
          <w:p>
            <w:pPr>
              <w:ind w:left="60"/>
              <w:spacing w:after="0"/>
              <w:rPr>
                <w:sz w:val="20"/>
                <w:szCs w:val="20"/>
                <w:color w:val="auto"/>
              </w:rPr>
            </w:pPr>
            <w:r>
              <w:rPr>
                <w:rFonts w:ascii="Calibri" w:cs="Calibri" w:eastAsia="Calibri" w:hAnsi="Calibri"/>
                <w:sz w:val="10"/>
                <w:szCs w:val="10"/>
                <w:color w:val="auto"/>
              </w:rPr>
              <w:t>Purchases of short-term investments</w:t>
            </w:r>
          </w:p>
        </w:tc>
        <w:tc>
          <w:tcPr>
            <w:tcW w:w="8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40"/>
              <w:spacing w:after="0"/>
              <w:rPr>
                <w:sz w:val="20"/>
                <w:szCs w:val="20"/>
                <w:color w:val="auto"/>
              </w:rPr>
            </w:pPr>
            <w:r>
              <w:rPr>
                <w:rFonts w:ascii="Calibri" w:cs="Calibri" w:eastAsia="Calibri" w:hAnsi="Calibri"/>
                <w:sz w:val="10"/>
                <w:szCs w:val="10"/>
                <w:color w:val="auto"/>
              </w:rPr>
              <w:t>(98,016 )</w:t>
            </w:r>
          </w:p>
        </w:tc>
        <w:tc>
          <w:tcPr>
            <w:tcW w:w="80" w:type="dxa"/>
            <w:vAlign w:val="bottom"/>
            <w:shd w:val="clear" w:color="auto" w:fill="CFF0FC"/>
          </w:tcPr>
          <w:p>
            <w:pPr>
              <w:spacing w:after="0"/>
              <w:rPr>
                <w:sz w:val="12"/>
                <w:szCs w:val="12"/>
                <w:color w:val="auto"/>
              </w:rPr>
            </w:pPr>
          </w:p>
        </w:tc>
        <w:tc>
          <w:tcPr>
            <w:tcW w:w="1500" w:type="dxa"/>
            <w:vAlign w:val="bottom"/>
            <w:gridSpan w:val="2"/>
            <w:shd w:val="clear" w:color="auto" w:fill="CFF0FC"/>
          </w:tcPr>
          <w:p>
            <w:pPr>
              <w:jc w:val="right"/>
              <w:ind w:right="260"/>
              <w:spacing w:after="0"/>
              <w:rPr>
                <w:sz w:val="20"/>
                <w:szCs w:val="20"/>
                <w:color w:val="auto"/>
              </w:rPr>
            </w:pPr>
            <w:r>
              <w:rPr>
                <w:rFonts w:ascii="Calibri" w:cs="Calibri" w:eastAsia="Calibri" w:hAnsi="Calibri"/>
                <w:sz w:val="10"/>
                <w:szCs w:val="10"/>
                <w:color w:val="auto"/>
              </w:rPr>
              <w:t>—</w:t>
            </w:r>
          </w:p>
        </w:tc>
        <w:tc>
          <w:tcPr>
            <w:tcW w:w="32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60"/>
              <w:spacing w:after="0"/>
              <w:rPr>
                <w:sz w:val="20"/>
                <w:szCs w:val="20"/>
                <w:color w:val="auto"/>
              </w:rPr>
            </w:pPr>
            <w:r>
              <w:rPr>
                <w:rFonts w:ascii="Calibri" w:cs="Calibri" w:eastAsia="Calibri" w:hAnsi="Calibri"/>
                <w:sz w:val="10"/>
                <w:szCs w:val="10"/>
                <w:color w:val="auto"/>
              </w:rPr>
              <w:t>(120,000 )</w:t>
            </w:r>
          </w:p>
        </w:tc>
        <w:tc>
          <w:tcPr>
            <w:tcW w:w="0" w:type="dxa"/>
            <w:vAlign w:val="bottom"/>
          </w:tcPr>
          <w:p>
            <w:pPr>
              <w:spacing w:after="0"/>
              <w:rPr>
                <w:sz w:val="1"/>
                <w:szCs w:val="1"/>
                <w:color w:val="auto"/>
              </w:rPr>
            </w:pPr>
          </w:p>
        </w:tc>
      </w:tr>
      <w:tr>
        <w:trPr>
          <w:trHeight w:val="128"/>
        </w:trPr>
        <w:tc>
          <w:tcPr>
            <w:tcW w:w="6600" w:type="dxa"/>
            <w:vAlign w:val="bottom"/>
          </w:tcPr>
          <w:p>
            <w:pPr>
              <w:ind w:left="60"/>
              <w:spacing w:after="0" w:line="119" w:lineRule="exact"/>
              <w:rPr>
                <w:sz w:val="20"/>
                <w:szCs w:val="20"/>
                <w:color w:val="auto"/>
              </w:rPr>
            </w:pPr>
            <w:r>
              <w:rPr>
                <w:rFonts w:ascii="Calibri" w:cs="Calibri" w:eastAsia="Calibri" w:hAnsi="Calibri"/>
                <w:sz w:val="10"/>
                <w:szCs w:val="10"/>
                <w:color w:val="auto"/>
              </w:rPr>
              <w:t>Maturites of short-term investments</w:t>
            </w:r>
          </w:p>
        </w:tc>
        <w:tc>
          <w:tcPr>
            <w:tcW w:w="880" w:type="dxa"/>
            <w:vAlign w:val="bottom"/>
          </w:tcPr>
          <w:p>
            <w:pPr>
              <w:spacing w:after="0"/>
              <w:rPr>
                <w:sz w:val="11"/>
                <w:szCs w:val="11"/>
                <w:color w:val="auto"/>
              </w:rPr>
            </w:pPr>
          </w:p>
        </w:tc>
        <w:tc>
          <w:tcPr>
            <w:tcW w:w="760" w:type="dxa"/>
            <w:vAlign w:val="bottom"/>
            <w:gridSpan w:val="2"/>
          </w:tcPr>
          <w:p>
            <w:pPr>
              <w:jc w:val="right"/>
              <w:ind w:right="300"/>
              <w:spacing w:after="0" w:line="119" w:lineRule="exact"/>
              <w:rPr>
                <w:sz w:val="20"/>
                <w:szCs w:val="20"/>
                <w:color w:val="auto"/>
              </w:rPr>
            </w:pPr>
            <w:r>
              <w:rPr>
                <w:rFonts w:ascii="Calibri" w:cs="Calibri" w:eastAsia="Calibri" w:hAnsi="Calibri"/>
                <w:sz w:val="10"/>
                <w:szCs w:val="10"/>
                <w:color w:val="auto"/>
              </w:rPr>
              <w:t>—</w:t>
            </w:r>
          </w:p>
        </w:tc>
        <w:tc>
          <w:tcPr>
            <w:tcW w:w="80" w:type="dxa"/>
            <w:vAlign w:val="bottom"/>
          </w:tcPr>
          <w:p>
            <w:pPr>
              <w:spacing w:after="0"/>
              <w:rPr>
                <w:sz w:val="11"/>
                <w:szCs w:val="11"/>
                <w:color w:val="auto"/>
              </w:rPr>
            </w:pPr>
          </w:p>
        </w:tc>
        <w:tc>
          <w:tcPr>
            <w:tcW w:w="1260" w:type="dxa"/>
            <w:vAlign w:val="bottom"/>
          </w:tcPr>
          <w:p>
            <w:pPr>
              <w:jc w:val="right"/>
              <w:spacing w:after="0" w:line="119" w:lineRule="exact"/>
              <w:rPr>
                <w:sz w:val="20"/>
                <w:szCs w:val="20"/>
                <w:color w:val="auto"/>
              </w:rPr>
            </w:pPr>
            <w:r>
              <w:rPr>
                <w:rFonts w:ascii="Calibri" w:cs="Calibri" w:eastAsia="Calibri" w:hAnsi="Calibri"/>
                <w:sz w:val="10"/>
                <w:szCs w:val="10"/>
                <w:color w:val="auto"/>
              </w:rPr>
              <w:t>90,000</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jc w:val="right"/>
              <w:spacing w:after="0" w:line="119" w:lineRule="exact"/>
              <w:rPr>
                <w:sz w:val="20"/>
                <w:szCs w:val="20"/>
                <w:color w:val="auto"/>
              </w:rPr>
            </w:pPr>
            <w:r>
              <w:rPr>
                <w:rFonts w:ascii="Calibri" w:cs="Calibri" w:eastAsia="Calibri" w:hAnsi="Calibri"/>
                <w:sz w:val="10"/>
                <w:szCs w:val="10"/>
                <w:color w:val="auto"/>
              </w:rPr>
              <w:t>130,000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600" w:type="dxa"/>
            <w:vAlign w:val="bottom"/>
            <w:shd w:val="clear" w:color="auto" w:fill="CFF0FC"/>
          </w:tcPr>
          <w:p>
            <w:pPr>
              <w:ind w:left="60"/>
              <w:spacing w:after="0"/>
              <w:rPr>
                <w:sz w:val="20"/>
                <w:szCs w:val="20"/>
                <w:color w:val="auto"/>
              </w:rPr>
            </w:pPr>
            <w:r>
              <w:rPr>
                <w:rFonts w:ascii="Calibri" w:cs="Calibri" w:eastAsia="Calibri" w:hAnsi="Calibri"/>
                <w:sz w:val="10"/>
                <w:szCs w:val="10"/>
                <w:color w:val="auto"/>
              </w:rPr>
              <w:t>Sale of short-term investments</w:t>
            </w:r>
          </w:p>
        </w:tc>
        <w:tc>
          <w:tcPr>
            <w:tcW w:w="8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Calibri" w:cs="Calibri" w:eastAsia="Calibri" w:hAnsi="Calibri"/>
                <w:sz w:val="10"/>
                <w:szCs w:val="10"/>
                <w:color w:val="auto"/>
              </w:rPr>
              <w:t>77,462</w:t>
            </w: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500" w:type="dxa"/>
            <w:vAlign w:val="bottom"/>
            <w:gridSpan w:val="2"/>
            <w:shd w:val="clear" w:color="auto" w:fill="CFF0FC"/>
          </w:tcPr>
          <w:p>
            <w:pPr>
              <w:jc w:val="right"/>
              <w:ind w:right="260"/>
              <w:spacing w:after="0"/>
              <w:rPr>
                <w:sz w:val="20"/>
                <w:szCs w:val="20"/>
                <w:color w:val="auto"/>
              </w:rPr>
            </w:pPr>
            <w:r>
              <w:rPr>
                <w:rFonts w:ascii="Calibri" w:cs="Calibri" w:eastAsia="Calibri" w:hAnsi="Calibri"/>
                <w:sz w:val="10"/>
                <w:szCs w:val="10"/>
                <w:color w:val="auto"/>
              </w:rPr>
              <w:t>—</w:t>
            </w:r>
          </w:p>
        </w:tc>
        <w:tc>
          <w:tcPr>
            <w:tcW w:w="32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20"/>
              <w:spacing w:after="0"/>
              <w:rPr>
                <w:sz w:val="20"/>
                <w:szCs w:val="20"/>
                <w:color w:val="auto"/>
              </w:rPr>
            </w:pPr>
            <w:r>
              <w:rPr>
                <w:rFonts w:ascii="Calibri" w:cs="Calibri" w:eastAsia="Calibri" w:hAnsi="Calibri"/>
                <w:sz w:val="10"/>
                <w:szCs w:val="10"/>
                <w:color w:val="auto"/>
              </w:rPr>
              <w:t>—</w:t>
            </w:r>
          </w:p>
        </w:tc>
        <w:tc>
          <w:tcPr>
            <w:tcW w:w="0" w:type="dxa"/>
            <w:vAlign w:val="bottom"/>
          </w:tcPr>
          <w:p>
            <w:pPr>
              <w:spacing w:after="0"/>
              <w:rPr>
                <w:sz w:val="1"/>
                <w:szCs w:val="1"/>
                <w:color w:val="auto"/>
              </w:rPr>
            </w:pPr>
          </w:p>
        </w:tc>
      </w:tr>
      <w:tr>
        <w:trPr>
          <w:trHeight w:val="128"/>
        </w:trPr>
        <w:tc>
          <w:tcPr>
            <w:tcW w:w="6600" w:type="dxa"/>
            <w:vAlign w:val="bottom"/>
          </w:tcPr>
          <w:p>
            <w:pPr>
              <w:ind w:left="60"/>
              <w:spacing w:after="0" w:line="119" w:lineRule="exact"/>
              <w:rPr>
                <w:sz w:val="20"/>
                <w:szCs w:val="20"/>
                <w:color w:val="auto"/>
              </w:rPr>
            </w:pPr>
            <w:r>
              <w:rPr>
                <w:rFonts w:ascii="Calibri" w:cs="Calibri" w:eastAsia="Calibri" w:hAnsi="Calibri"/>
                <w:sz w:val="10"/>
                <w:szCs w:val="10"/>
                <w:color w:val="auto"/>
              </w:rPr>
              <w:t>Advance payments to customers, net of collectons</w:t>
            </w:r>
          </w:p>
        </w:tc>
        <w:tc>
          <w:tcPr>
            <w:tcW w:w="880" w:type="dxa"/>
            <w:vAlign w:val="bottom"/>
          </w:tcPr>
          <w:p>
            <w:pPr>
              <w:spacing w:after="0"/>
              <w:rPr>
                <w:sz w:val="11"/>
                <w:szCs w:val="11"/>
                <w:color w:val="auto"/>
              </w:rPr>
            </w:pPr>
          </w:p>
        </w:tc>
        <w:tc>
          <w:tcPr>
            <w:tcW w:w="760" w:type="dxa"/>
            <w:vAlign w:val="bottom"/>
            <w:gridSpan w:val="2"/>
          </w:tcPr>
          <w:p>
            <w:pPr>
              <w:jc w:val="right"/>
              <w:ind w:right="240"/>
              <w:spacing w:after="0" w:line="119" w:lineRule="exact"/>
              <w:rPr>
                <w:sz w:val="20"/>
                <w:szCs w:val="20"/>
                <w:color w:val="auto"/>
              </w:rPr>
            </w:pPr>
            <w:r>
              <w:rPr>
                <w:rFonts w:ascii="Calibri" w:cs="Calibri" w:eastAsia="Calibri" w:hAnsi="Calibri"/>
                <w:sz w:val="10"/>
                <w:szCs w:val="10"/>
                <w:color w:val="auto"/>
              </w:rPr>
              <w:t>(259 )</w:t>
            </w:r>
          </w:p>
        </w:tc>
        <w:tc>
          <w:tcPr>
            <w:tcW w:w="80" w:type="dxa"/>
            <w:vAlign w:val="bottom"/>
          </w:tcPr>
          <w:p>
            <w:pPr>
              <w:spacing w:after="0"/>
              <w:rPr>
                <w:sz w:val="11"/>
                <w:szCs w:val="11"/>
                <w:color w:val="auto"/>
              </w:rPr>
            </w:pPr>
          </w:p>
        </w:tc>
        <w:tc>
          <w:tcPr>
            <w:tcW w:w="1500" w:type="dxa"/>
            <w:vAlign w:val="bottom"/>
            <w:gridSpan w:val="2"/>
          </w:tcPr>
          <w:p>
            <w:pPr>
              <w:jc w:val="right"/>
              <w:ind w:right="260"/>
              <w:spacing w:after="0" w:line="119" w:lineRule="exact"/>
              <w:rPr>
                <w:sz w:val="20"/>
                <w:szCs w:val="20"/>
                <w:color w:val="auto"/>
              </w:rPr>
            </w:pPr>
            <w:r>
              <w:rPr>
                <w:rFonts w:ascii="Calibri" w:cs="Calibri" w:eastAsia="Calibri" w:hAnsi="Calibri"/>
                <w:sz w:val="10"/>
                <w:szCs w:val="10"/>
                <w:color w:val="auto"/>
              </w:rPr>
              <w:t>—</w:t>
            </w:r>
          </w:p>
        </w:tc>
        <w:tc>
          <w:tcPr>
            <w:tcW w:w="320" w:type="dxa"/>
            <w:vAlign w:val="bottom"/>
          </w:tcPr>
          <w:p>
            <w:pPr>
              <w:spacing w:after="0"/>
              <w:rPr>
                <w:sz w:val="11"/>
                <w:szCs w:val="11"/>
                <w:color w:val="auto"/>
              </w:rPr>
            </w:pPr>
          </w:p>
        </w:tc>
        <w:tc>
          <w:tcPr>
            <w:tcW w:w="1120" w:type="dxa"/>
            <w:vAlign w:val="bottom"/>
            <w:gridSpan w:val="2"/>
          </w:tcPr>
          <w:p>
            <w:pPr>
              <w:jc w:val="right"/>
              <w:ind w:right="120"/>
              <w:spacing w:after="0" w:line="119" w:lineRule="exact"/>
              <w:rPr>
                <w:sz w:val="20"/>
                <w:szCs w:val="20"/>
                <w:color w:val="auto"/>
              </w:rPr>
            </w:pPr>
            <w:r>
              <w:rPr>
                <w:rFonts w:ascii="Calibri" w:cs="Calibri" w:eastAsia="Calibri" w:hAnsi="Calibri"/>
                <w:sz w:val="10"/>
                <w:szCs w:val="10"/>
                <w:color w:val="auto"/>
              </w:rPr>
              <w:t>—</w:t>
            </w:r>
          </w:p>
        </w:tc>
        <w:tc>
          <w:tcPr>
            <w:tcW w:w="0" w:type="dxa"/>
            <w:vAlign w:val="bottom"/>
          </w:tcPr>
          <w:p>
            <w:pPr>
              <w:spacing w:after="0"/>
              <w:rPr>
                <w:sz w:val="1"/>
                <w:szCs w:val="1"/>
                <w:color w:val="auto"/>
              </w:rPr>
            </w:pPr>
          </w:p>
        </w:tc>
      </w:tr>
      <w:tr>
        <w:trPr>
          <w:trHeight w:val="21"/>
        </w:trPr>
        <w:tc>
          <w:tcPr>
            <w:tcW w:w="66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6600" w:type="dxa"/>
            <w:vAlign w:val="bottom"/>
            <w:shd w:val="clear" w:color="auto" w:fill="CFF0FC"/>
          </w:tcPr>
          <w:p>
            <w:pPr>
              <w:spacing w:after="0" w:line="119" w:lineRule="exact"/>
              <w:rPr>
                <w:sz w:val="20"/>
                <w:szCs w:val="20"/>
                <w:color w:val="auto"/>
              </w:rPr>
            </w:pPr>
            <w:r>
              <w:rPr>
                <w:rFonts w:ascii="Calibri" w:cs="Calibri" w:eastAsia="Calibri" w:hAnsi="Calibri"/>
                <w:sz w:val="10"/>
                <w:szCs w:val="10"/>
                <w:color w:val="auto"/>
              </w:rPr>
              <w:t>Net cash (used in) provided by investng actvites</w:t>
            </w:r>
          </w:p>
        </w:tc>
        <w:tc>
          <w:tcPr>
            <w:tcW w:w="88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40"/>
              <w:spacing w:after="0" w:line="119" w:lineRule="exact"/>
              <w:rPr>
                <w:sz w:val="20"/>
                <w:szCs w:val="20"/>
                <w:color w:val="auto"/>
              </w:rPr>
            </w:pPr>
            <w:r>
              <w:rPr>
                <w:rFonts w:ascii="Calibri" w:cs="Calibri" w:eastAsia="Calibri" w:hAnsi="Calibri"/>
                <w:sz w:val="10"/>
                <w:szCs w:val="10"/>
                <w:color w:val="auto"/>
              </w:rPr>
              <w:t>(61,564 )</w:t>
            </w:r>
          </w:p>
        </w:tc>
        <w:tc>
          <w:tcPr>
            <w:tcW w:w="80" w:type="dxa"/>
            <w:vAlign w:val="bottom"/>
            <w:shd w:val="clear" w:color="auto" w:fill="CFF0FC"/>
          </w:tcPr>
          <w:p>
            <w:pPr>
              <w:spacing w:after="0"/>
              <w:rPr>
                <w:sz w:val="11"/>
                <w:szCs w:val="11"/>
                <w:color w:val="auto"/>
              </w:rPr>
            </w:pPr>
          </w:p>
        </w:tc>
        <w:tc>
          <w:tcPr>
            <w:tcW w:w="1260" w:type="dxa"/>
            <w:vAlign w:val="bottom"/>
            <w:shd w:val="clear" w:color="auto" w:fill="CFF0FC"/>
          </w:tcPr>
          <w:p>
            <w:pPr>
              <w:jc w:val="right"/>
              <w:spacing w:after="0" w:line="119" w:lineRule="exact"/>
              <w:rPr>
                <w:sz w:val="20"/>
                <w:szCs w:val="20"/>
                <w:color w:val="auto"/>
              </w:rPr>
            </w:pPr>
            <w:r>
              <w:rPr>
                <w:rFonts w:ascii="Calibri" w:cs="Calibri" w:eastAsia="Calibri" w:hAnsi="Calibri"/>
                <w:sz w:val="10"/>
                <w:szCs w:val="10"/>
                <w:color w:val="auto"/>
              </w:rPr>
              <w:t>72,730</w:t>
            </w:r>
          </w:p>
        </w:tc>
        <w:tc>
          <w:tcPr>
            <w:tcW w:w="24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120" w:type="dxa"/>
            <w:vAlign w:val="bottom"/>
            <w:gridSpan w:val="2"/>
            <w:shd w:val="clear" w:color="auto" w:fill="CFF0FC"/>
          </w:tcPr>
          <w:p>
            <w:pPr>
              <w:jc w:val="right"/>
              <w:ind w:right="60"/>
              <w:spacing w:after="0" w:line="119" w:lineRule="exact"/>
              <w:rPr>
                <w:sz w:val="20"/>
                <w:szCs w:val="20"/>
                <w:color w:val="auto"/>
              </w:rPr>
            </w:pPr>
            <w:r>
              <w:rPr>
                <w:rFonts w:ascii="Calibri" w:cs="Calibri" w:eastAsia="Calibri" w:hAnsi="Calibri"/>
                <w:sz w:val="10"/>
                <w:szCs w:val="10"/>
                <w:color w:val="auto"/>
              </w:rPr>
              <w:t>(68,149 )</w:t>
            </w:r>
          </w:p>
        </w:tc>
        <w:tc>
          <w:tcPr>
            <w:tcW w:w="0" w:type="dxa"/>
            <w:vAlign w:val="bottom"/>
          </w:tcPr>
          <w:p>
            <w:pPr>
              <w:spacing w:after="0"/>
              <w:rPr>
                <w:sz w:val="1"/>
                <w:szCs w:val="1"/>
                <w:color w:val="auto"/>
              </w:rPr>
            </w:pPr>
          </w:p>
        </w:tc>
      </w:tr>
      <w:tr>
        <w:trPr>
          <w:trHeight w:val="128"/>
        </w:trPr>
        <w:tc>
          <w:tcPr>
            <w:tcW w:w="6600" w:type="dxa"/>
            <w:vAlign w:val="bottom"/>
            <w:tcBorders>
              <w:top w:val="single" w:sz="8" w:color="CFF0FC"/>
            </w:tcBorders>
          </w:tcPr>
          <w:p>
            <w:pPr>
              <w:spacing w:after="0" w:line="119" w:lineRule="exact"/>
              <w:rPr>
                <w:sz w:val="20"/>
                <w:szCs w:val="20"/>
                <w:color w:val="auto"/>
              </w:rPr>
            </w:pPr>
            <w:r>
              <w:rPr>
                <w:rFonts w:ascii="Calibri" w:cs="Calibri" w:eastAsia="Calibri" w:hAnsi="Calibri"/>
                <w:sz w:val="10"/>
                <w:szCs w:val="10"/>
                <w:b w:val="1"/>
                <w:bCs w:val="1"/>
                <w:color w:val="auto"/>
              </w:rPr>
              <w:t>Financing Actvites</w:t>
            </w:r>
          </w:p>
        </w:tc>
        <w:tc>
          <w:tcPr>
            <w:tcW w:w="8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80" w:type="dxa"/>
            <w:vAlign w:val="bottom"/>
            <w:tcBorders>
              <w:top w:val="single" w:sz="8" w:color="CFF0FC"/>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600" w:type="dxa"/>
            <w:vAlign w:val="bottom"/>
            <w:shd w:val="clear" w:color="auto" w:fill="CFF0FC"/>
          </w:tcPr>
          <w:p>
            <w:pPr>
              <w:ind w:left="60"/>
              <w:spacing w:after="0"/>
              <w:rPr>
                <w:sz w:val="20"/>
                <w:szCs w:val="20"/>
                <w:color w:val="auto"/>
              </w:rPr>
            </w:pPr>
            <w:r>
              <w:rPr>
                <w:rFonts w:ascii="Calibri" w:cs="Calibri" w:eastAsia="Calibri" w:hAnsi="Calibri"/>
                <w:sz w:val="10"/>
                <w:szCs w:val="10"/>
                <w:color w:val="auto"/>
              </w:rPr>
              <w:t>Proceeds from issuance of common stock upon exercise of stock optons</w:t>
            </w:r>
          </w:p>
        </w:tc>
        <w:tc>
          <w:tcPr>
            <w:tcW w:w="8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rPr>
                <w:sz w:val="20"/>
                <w:szCs w:val="20"/>
                <w:color w:val="auto"/>
              </w:rPr>
            </w:pPr>
            <w:r>
              <w:rPr>
                <w:rFonts w:ascii="Calibri" w:cs="Calibri" w:eastAsia="Calibri" w:hAnsi="Calibri"/>
                <w:sz w:val="10"/>
                <w:szCs w:val="10"/>
                <w:color w:val="auto"/>
              </w:rPr>
              <w:t>74</w:t>
            </w: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rPr>
                <w:sz w:val="20"/>
                <w:szCs w:val="20"/>
                <w:color w:val="auto"/>
              </w:rPr>
            </w:pPr>
            <w:r>
              <w:rPr>
                <w:rFonts w:ascii="Calibri" w:cs="Calibri" w:eastAsia="Calibri" w:hAnsi="Calibri"/>
                <w:sz w:val="10"/>
                <w:szCs w:val="10"/>
                <w:color w:val="auto"/>
              </w:rPr>
              <w:t>721</w:t>
            </w:r>
          </w:p>
        </w:tc>
        <w:tc>
          <w:tcPr>
            <w:tcW w:w="2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Calibri" w:cs="Calibri" w:eastAsia="Calibri" w:hAnsi="Calibri"/>
                <w:sz w:val="10"/>
                <w:szCs w:val="10"/>
                <w:color w:val="auto"/>
              </w:rPr>
              <w:t>663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6600" w:type="dxa"/>
            <w:vAlign w:val="bottom"/>
          </w:tcPr>
          <w:p>
            <w:pPr>
              <w:ind w:left="60"/>
              <w:spacing w:after="0" w:line="119" w:lineRule="exact"/>
              <w:rPr>
                <w:sz w:val="20"/>
                <w:szCs w:val="20"/>
                <w:color w:val="auto"/>
              </w:rPr>
            </w:pPr>
            <w:r>
              <w:rPr>
                <w:rFonts w:ascii="Calibri" w:cs="Calibri" w:eastAsia="Calibri" w:hAnsi="Calibri"/>
                <w:sz w:val="10"/>
                <w:szCs w:val="10"/>
                <w:color w:val="auto"/>
              </w:rPr>
              <w:t>Payment of fnance lease obligatons</w:t>
            </w:r>
          </w:p>
        </w:tc>
        <w:tc>
          <w:tcPr>
            <w:tcW w:w="880" w:type="dxa"/>
            <w:vAlign w:val="bottom"/>
          </w:tcPr>
          <w:p>
            <w:pPr>
              <w:spacing w:after="0"/>
              <w:rPr>
                <w:sz w:val="11"/>
                <w:szCs w:val="11"/>
                <w:color w:val="auto"/>
              </w:rPr>
            </w:pPr>
          </w:p>
        </w:tc>
        <w:tc>
          <w:tcPr>
            <w:tcW w:w="760" w:type="dxa"/>
            <w:vAlign w:val="bottom"/>
            <w:gridSpan w:val="2"/>
          </w:tcPr>
          <w:p>
            <w:pPr>
              <w:jc w:val="right"/>
              <w:ind w:right="240"/>
              <w:spacing w:after="0" w:line="119" w:lineRule="exact"/>
              <w:rPr>
                <w:sz w:val="20"/>
                <w:szCs w:val="20"/>
                <w:color w:val="auto"/>
              </w:rPr>
            </w:pPr>
            <w:r>
              <w:rPr>
                <w:rFonts w:ascii="Calibri" w:cs="Calibri" w:eastAsia="Calibri" w:hAnsi="Calibri"/>
                <w:sz w:val="10"/>
                <w:szCs w:val="10"/>
                <w:color w:val="auto"/>
              </w:rPr>
              <w:t>(70 )</w:t>
            </w:r>
          </w:p>
        </w:tc>
        <w:tc>
          <w:tcPr>
            <w:tcW w:w="80" w:type="dxa"/>
            <w:vAlign w:val="bottom"/>
          </w:tcPr>
          <w:p>
            <w:pPr>
              <w:spacing w:after="0"/>
              <w:rPr>
                <w:sz w:val="11"/>
                <w:szCs w:val="11"/>
                <w:color w:val="auto"/>
              </w:rPr>
            </w:pPr>
          </w:p>
        </w:tc>
        <w:tc>
          <w:tcPr>
            <w:tcW w:w="1500" w:type="dxa"/>
            <w:vAlign w:val="bottom"/>
            <w:gridSpan w:val="2"/>
          </w:tcPr>
          <w:p>
            <w:pPr>
              <w:jc w:val="right"/>
              <w:ind w:right="200"/>
              <w:spacing w:after="0" w:line="119" w:lineRule="exact"/>
              <w:rPr>
                <w:sz w:val="20"/>
                <w:szCs w:val="20"/>
                <w:color w:val="auto"/>
              </w:rPr>
            </w:pPr>
            <w:r>
              <w:rPr>
                <w:rFonts w:ascii="Calibri" w:cs="Calibri" w:eastAsia="Calibri" w:hAnsi="Calibri"/>
                <w:sz w:val="10"/>
                <w:szCs w:val="10"/>
                <w:color w:val="auto"/>
              </w:rPr>
              <w:t>(68 )</w:t>
            </w:r>
          </w:p>
        </w:tc>
        <w:tc>
          <w:tcPr>
            <w:tcW w:w="320" w:type="dxa"/>
            <w:vAlign w:val="bottom"/>
          </w:tcPr>
          <w:p>
            <w:pPr>
              <w:spacing w:after="0"/>
              <w:rPr>
                <w:sz w:val="11"/>
                <w:szCs w:val="11"/>
                <w:color w:val="auto"/>
              </w:rPr>
            </w:pPr>
          </w:p>
        </w:tc>
        <w:tc>
          <w:tcPr>
            <w:tcW w:w="1120" w:type="dxa"/>
            <w:vAlign w:val="bottom"/>
            <w:gridSpan w:val="2"/>
          </w:tcPr>
          <w:p>
            <w:pPr>
              <w:jc w:val="right"/>
              <w:ind w:right="60"/>
              <w:spacing w:after="0" w:line="119" w:lineRule="exact"/>
              <w:rPr>
                <w:sz w:val="20"/>
                <w:szCs w:val="20"/>
                <w:color w:val="auto"/>
              </w:rPr>
            </w:pPr>
            <w:r>
              <w:rPr>
                <w:rFonts w:ascii="Calibri" w:cs="Calibri" w:eastAsia="Calibri" w:hAnsi="Calibri"/>
                <w:sz w:val="10"/>
                <w:szCs w:val="10"/>
                <w:color w:val="auto"/>
              </w:rPr>
              <w:t>(39 )</w:t>
            </w:r>
          </w:p>
        </w:tc>
        <w:tc>
          <w:tcPr>
            <w:tcW w:w="0" w:type="dxa"/>
            <w:vAlign w:val="bottom"/>
          </w:tcPr>
          <w:p>
            <w:pPr>
              <w:spacing w:after="0"/>
              <w:rPr>
                <w:sz w:val="1"/>
                <w:szCs w:val="1"/>
                <w:color w:val="auto"/>
              </w:rPr>
            </w:pPr>
          </w:p>
        </w:tc>
      </w:tr>
      <w:tr>
        <w:trPr>
          <w:trHeight w:val="148"/>
        </w:trPr>
        <w:tc>
          <w:tcPr>
            <w:tcW w:w="6600" w:type="dxa"/>
            <w:vAlign w:val="bottom"/>
            <w:shd w:val="clear" w:color="auto" w:fill="CFF0FC"/>
          </w:tcPr>
          <w:p>
            <w:pPr>
              <w:ind w:left="60"/>
              <w:spacing w:after="0"/>
              <w:rPr>
                <w:sz w:val="20"/>
                <w:szCs w:val="20"/>
                <w:color w:val="auto"/>
              </w:rPr>
            </w:pPr>
            <w:r>
              <w:rPr>
                <w:rFonts w:ascii="Calibri" w:cs="Calibri" w:eastAsia="Calibri" w:hAnsi="Calibri"/>
                <w:sz w:val="10"/>
                <w:szCs w:val="10"/>
                <w:color w:val="auto"/>
              </w:rPr>
              <w:t>Payment of withholding taxes on net share setlements of restricted stock units</w:t>
            </w:r>
          </w:p>
        </w:tc>
        <w:tc>
          <w:tcPr>
            <w:tcW w:w="8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40"/>
              <w:spacing w:after="0"/>
              <w:rPr>
                <w:sz w:val="20"/>
                <w:szCs w:val="20"/>
                <w:color w:val="auto"/>
              </w:rPr>
            </w:pPr>
            <w:r>
              <w:rPr>
                <w:rFonts w:ascii="Calibri" w:cs="Calibri" w:eastAsia="Calibri" w:hAnsi="Calibri"/>
                <w:sz w:val="10"/>
                <w:szCs w:val="10"/>
                <w:color w:val="auto"/>
              </w:rPr>
              <w:t>(15,597 )</w:t>
            </w:r>
          </w:p>
        </w:tc>
        <w:tc>
          <w:tcPr>
            <w:tcW w:w="80" w:type="dxa"/>
            <w:vAlign w:val="bottom"/>
            <w:shd w:val="clear" w:color="auto" w:fill="CFF0FC"/>
          </w:tcPr>
          <w:p>
            <w:pPr>
              <w:spacing w:after="0"/>
              <w:rPr>
                <w:sz w:val="12"/>
                <w:szCs w:val="12"/>
                <w:color w:val="auto"/>
              </w:rPr>
            </w:pPr>
          </w:p>
        </w:tc>
        <w:tc>
          <w:tcPr>
            <w:tcW w:w="1500" w:type="dxa"/>
            <w:vAlign w:val="bottom"/>
            <w:gridSpan w:val="2"/>
            <w:shd w:val="clear" w:color="auto" w:fill="CFF0FC"/>
          </w:tcPr>
          <w:p>
            <w:pPr>
              <w:jc w:val="right"/>
              <w:ind w:right="200"/>
              <w:spacing w:after="0"/>
              <w:rPr>
                <w:sz w:val="20"/>
                <w:szCs w:val="20"/>
                <w:color w:val="auto"/>
              </w:rPr>
            </w:pPr>
            <w:r>
              <w:rPr>
                <w:rFonts w:ascii="Calibri" w:cs="Calibri" w:eastAsia="Calibri" w:hAnsi="Calibri"/>
                <w:sz w:val="10"/>
                <w:szCs w:val="10"/>
                <w:color w:val="auto"/>
              </w:rPr>
              <w:t>(16,022 )</w:t>
            </w:r>
          </w:p>
        </w:tc>
        <w:tc>
          <w:tcPr>
            <w:tcW w:w="32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60"/>
              <w:spacing w:after="0"/>
              <w:rPr>
                <w:sz w:val="20"/>
                <w:szCs w:val="20"/>
                <w:color w:val="auto"/>
              </w:rPr>
            </w:pPr>
            <w:r>
              <w:rPr>
                <w:rFonts w:ascii="Calibri" w:cs="Calibri" w:eastAsia="Calibri" w:hAnsi="Calibri"/>
                <w:sz w:val="10"/>
                <w:szCs w:val="10"/>
                <w:color w:val="auto"/>
              </w:rPr>
              <w:t>(15,388 )</w:t>
            </w:r>
          </w:p>
        </w:tc>
        <w:tc>
          <w:tcPr>
            <w:tcW w:w="0" w:type="dxa"/>
            <w:vAlign w:val="bottom"/>
          </w:tcPr>
          <w:p>
            <w:pPr>
              <w:spacing w:after="0"/>
              <w:rPr>
                <w:sz w:val="1"/>
                <w:szCs w:val="1"/>
                <w:color w:val="auto"/>
              </w:rPr>
            </w:pPr>
          </w:p>
        </w:tc>
      </w:tr>
      <w:tr>
        <w:trPr>
          <w:trHeight w:val="128"/>
        </w:trPr>
        <w:tc>
          <w:tcPr>
            <w:tcW w:w="6600" w:type="dxa"/>
            <w:vAlign w:val="bottom"/>
          </w:tcPr>
          <w:p>
            <w:pPr>
              <w:ind w:left="60"/>
              <w:spacing w:after="0" w:line="119" w:lineRule="exact"/>
              <w:rPr>
                <w:sz w:val="20"/>
                <w:szCs w:val="20"/>
                <w:color w:val="auto"/>
              </w:rPr>
            </w:pPr>
            <w:r>
              <w:rPr>
                <w:rFonts w:ascii="Calibri" w:cs="Calibri" w:eastAsia="Calibri" w:hAnsi="Calibri"/>
                <w:sz w:val="10"/>
                <w:szCs w:val="10"/>
                <w:color w:val="auto"/>
              </w:rPr>
              <w:t>Repurchase of common stock</w:t>
            </w:r>
          </w:p>
        </w:tc>
        <w:tc>
          <w:tcPr>
            <w:tcW w:w="880" w:type="dxa"/>
            <w:vAlign w:val="bottom"/>
          </w:tcPr>
          <w:p>
            <w:pPr>
              <w:spacing w:after="0"/>
              <w:rPr>
                <w:sz w:val="11"/>
                <w:szCs w:val="11"/>
                <w:color w:val="auto"/>
              </w:rPr>
            </w:pPr>
          </w:p>
        </w:tc>
        <w:tc>
          <w:tcPr>
            <w:tcW w:w="760" w:type="dxa"/>
            <w:vAlign w:val="bottom"/>
            <w:gridSpan w:val="2"/>
          </w:tcPr>
          <w:p>
            <w:pPr>
              <w:jc w:val="right"/>
              <w:ind w:right="240"/>
              <w:spacing w:after="0" w:line="119" w:lineRule="exact"/>
              <w:rPr>
                <w:sz w:val="20"/>
                <w:szCs w:val="20"/>
                <w:color w:val="auto"/>
              </w:rPr>
            </w:pPr>
            <w:r>
              <w:rPr>
                <w:rFonts w:ascii="Calibri" w:cs="Calibri" w:eastAsia="Calibri" w:hAnsi="Calibri"/>
                <w:sz w:val="10"/>
                <w:szCs w:val="10"/>
                <w:color w:val="auto"/>
              </w:rPr>
              <w:t>(208,524 )</w:t>
            </w:r>
          </w:p>
        </w:tc>
        <w:tc>
          <w:tcPr>
            <w:tcW w:w="80" w:type="dxa"/>
            <w:vAlign w:val="bottom"/>
          </w:tcPr>
          <w:p>
            <w:pPr>
              <w:spacing w:after="0"/>
              <w:rPr>
                <w:sz w:val="11"/>
                <w:szCs w:val="11"/>
                <w:color w:val="auto"/>
              </w:rPr>
            </w:pPr>
          </w:p>
        </w:tc>
        <w:tc>
          <w:tcPr>
            <w:tcW w:w="1500" w:type="dxa"/>
            <w:vAlign w:val="bottom"/>
            <w:gridSpan w:val="2"/>
          </w:tcPr>
          <w:p>
            <w:pPr>
              <w:jc w:val="right"/>
              <w:ind w:right="200"/>
              <w:spacing w:after="0" w:line="119" w:lineRule="exact"/>
              <w:rPr>
                <w:sz w:val="20"/>
                <w:szCs w:val="20"/>
                <w:color w:val="auto"/>
              </w:rPr>
            </w:pPr>
            <w:r>
              <w:rPr>
                <w:rFonts w:ascii="Calibri" w:cs="Calibri" w:eastAsia="Calibri" w:hAnsi="Calibri"/>
                <w:sz w:val="10"/>
                <w:szCs w:val="10"/>
                <w:color w:val="auto"/>
              </w:rPr>
              <w:t>(14,428 )</w:t>
            </w:r>
          </w:p>
        </w:tc>
        <w:tc>
          <w:tcPr>
            <w:tcW w:w="320" w:type="dxa"/>
            <w:vAlign w:val="bottom"/>
          </w:tcPr>
          <w:p>
            <w:pPr>
              <w:spacing w:after="0"/>
              <w:rPr>
                <w:sz w:val="11"/>
                <w:szCs w:val="11"/>
                <w:color w:val="auto"/>
              </w:rPr>
            </w:pPr>
          </w:p>
        </w:tc>
        <w:tc>
          <w:tcPr>
            <w:tcW w:w="1120" w:type="dxa"/>
            <w:vAlign w:val="bottom"/>
            <w:gridSpan w:val="2"/>
          </w:tcPr>
          <w:p>
            <w:pPr>
              <w:jc w:val="right"/>
              <w:ind w:right="120"/>
              <w:spacing w:after="0" w:line="119" w:lineRule="exact"/>
              <w:rPr>
                <w:sz w:val="20"/>
                <w:szCs w:val="20"/>
                <w:color w:val="auto"/>
              </w:rPr>
            </w:pPr>
            <w:r>
              <w:rPr>
                <w:rFonts w:ascii="Calibri" w:cs="Calibri" w:eastAsia="Calibri" w:hAnsi="Calibri"/>
                <w:sz w:val="10"/>
                <w:szCs w:val="10"/>
                <w:color w:val="auto"/>
              </w:rPr>
              <w:t>—</w:t>
            </w:r>
          </w:p>
        </w:tc>
        <w:tc>
          <w:tcPr>
            <w:tcW w:w="0" w:type="dxa"/>
            <w:vAlign w:val="bottom"/>
          </w:tcPr>
          <w:p>
            <w:pPr>
              <w:spacing w:after="0"/>
              <w:rPr>
                <w:sz w:val="1"/>
                <w:szCs w:val="1"/>
                <w:color w:val="auto"/>
              </w:rPr>
            </w:pPr>
          </w:p>
        </w:tc>
      </w:tr>
      <w:tr>
        <w:trPr>
          <w:trHeight w:val="148"/>
        </w:trPr>
        <w:tc>
          <w:tcPr>
            <w:tcW w:w="6600" w:type="dxa"/>
            <w:vAlign w:val="bottom"/>
            <w:shd w:val="clear" w:color="auto" w:fill="CFF0FC"/>
          </w:tcPr>
          <w:p>
            <w:pPr>
              <w:ind w:left="60"/>
              <w:spacing w:after="0"/>
              <w:rPr>
                <w:sz w:val="20"/>
                <w:szCs w:val="20"/>
                <w:color w:val="auto"/>
              </w:rPr>
            </w:pPr>
            <w:r>
              <w:rPr>
                <w:rFonts w:ascii="Calibri" w:cs="Calibri" w:eastAsia="Calibri" w:hAnsi="Calibri"/>
                <w:sz w:val="10"/>
                <w:szCs w:val="10"/>
                <w:color w:val="auto"/>
              </w:rPr>
              <w:t>Repayment of line of credit</w:t>
            </w:r>
          </w:p>
        </w:tc>
        <w:tc>
          <w:tcPr>
            <w:tcW w:w="8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300"/>
              <w:spacing w:after="0"/>
              <w:rPr>
                <w:sz w:val="20"/>
                <w:szCs w:val="20"/>
                <w:color w:val="auto"/>
              </w:rPr>
            </w:pPr>
            <w:r>
              <w:rPr>
                <w:rFonts w:ascii="Calibri" w:cs="Calibri" w:eastAsia="Calibri" w:hAnsi="Calibri"/>
                <w:sz w:val="10"/>
                <w:szCs w:val="10"/>
                <w:color w:val="auto"/>
              </w:rPr>
              <w:t>—</w:t>
            </w:r>
          </w:p>
        </w:tc>
        <w:tc>
          <w:tcPr>
            <w:tcW w:w="80" w:type="dxa"/>
            <w:vAlign w:val="bottom"/>
            <w:shd w:val="clear" w:color="auto" w:fill="CFF0FC"/>
          </w:tcPr>
          <w:p>
            <w:pPr>
              <w:spacing w:after="0"/>
              <w:rPr>
                <w:sz w:val="12"/>
                <w:szCs w:val="12"/>
                <w:color w:val="auto"/>
              </w:rPr>
            </w:pPr>
          </w:p>
        </w:tc>
        <w:tc>
          <w:tcPr>
            <w:tcW w:w="1500" w:type="dxa"/>
            <w:vAlign w:val="bottom"/>
            <w:gridSpan w:val="2"/>
            <w:shd w:val="clear" w:color="auto" w:fill="CFF0FC"/>
          </w:tcPr>
          <w:p>
            <w:pPr>
              <w:jc w:val="right"/>
              <w:ind w:right="260"/>
              <w:spacing w:after="0"/>
              <w:rPr>
                <w:sz w:val="20"/>
                <w:szCs w:val="20"/>
                <w:color w:val="auto"/>
              </w:rPr>
            </w:pPr>
            <w:r>
              <w:rPr>
                <w:rFonts w:ascii="Calibri" w:cs="Calibri" w:eastAsia="Calibri" w:hAnsi="Calibri"/>
                <w:sz w:val="10"/>
                <w:szCs w:val="10"/>
                <w:color w:val="auto"/>
              </w:rPr>
              <w:t>—</w:t>
            </w:r>
          </w:p>
        </w:tc>
        <w:tc>
          <w:tcPr>
            <w:tcW w:w="32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60"/>
              <w:spacing w:after="0"/>
              <w:rPr>
                <w:sz w:val="20"/>
                <w:szCs w:val="20"/>
                <w:color w:val="auto"/>
              </w:rPr>
            </w:pPr>
            <w:r>
              <w:rPr>
                <w:rFonts w:ascii="Calibri" w:cs="Calibri" w:eastAsia="Calibri" w:hAnsi="Calibri"/>
                <w:sz w:val="10"/>
                <w:szCs w:val="10"/>
                <w:color w:val="auto"/>
              </w:rPr>
              <w:t>(14,250 )</w:t>
            </w:r>
          </w:p>
        </w:tc>
        <w:tc>
          <w:tcPr>
            <w:tcW w:w="0" w:type="dxa"/>
            <w:vAlign w:val="bottom"/>
          </w:tcPr>
          <w:p>
            <w:pPr>
              <w:spacing w:after="0"/>
              <w:rPr>
                <w:sz w:val="1"/>
                <w:szCs w:val="1"/>
                <w:color w:val="auto"/>
              </w:rPr>
            </w:pPr>
          </w:p>
        </w:tc>
      </w:tr>
      <w:tr>
        <w:trPr>
          <w:trHeight w:val="128"/>
        </w:trPr>
        <w:tc>
          <w:tcPr>
            <w:tcW w:w="6600" w:type="dxa"/>
            <w:vAlign w:val="bottom"/>
          </w:tcPr>
          <w:p>
            <w:pPr>
              <w:ind w:left="60"/>
              <w:spacing w:after="0" w:line="119" w:lineRule="exact"/>
              <w:rPr>
                <w:sz w:val="20"/>
                <w:szCs w:val="20"/>
                <w:color w:val="auto"/>
              </w:rPr>
            </w:pPr>
            <w:r>
              <w:rPr>
                <w:rFonts w:ascii="Calibri" w:cs="Calibri" w:eastAsia="Calibri" w:hAnsi="Calibri"/>
                <w:sz w:val="10"/>
                <w:szCs w:val="10"/>
                <w:color w:val="auto"/>
              </w:rPr>
              <w:t>Payment of deferred fnancing costs</w:t>
            </w:r>
          </w:p>
        </w:tc>
        <w:tc>
          <w:tcPr>
            <w:tcW w:w="880" w:type="dxa"/>
            <w:vAlign w:val="bottom"/>
          </w:tcPr>
          <w:p>
            <w:pPr>
              <w:spacing w:after="0"/>
              <w:rPr>
                <w:sz w:val="11"/>
                <w:szCs w:val="11"/>
                <w:color w:val="auto"/>
              </w:rPr>
            </w:pPr>
          </w:p>
        </w:tc>
        <w:tc>
          <w:tcPr>
            <w:tcW w:w="760" w:type="dxa"/>
            <w:vAlign w:val="bottom"/>
            <w:gridSpan w:val="2"/>
          </w:tcPr>
          <w:p>
            <w:pPr>
              <w:jc w:val="right"/>
              <w:ind w:right="300"/>
              <w:spacing w:after="0" w:line="119" w:lineRule="exact"/>
              <w:rPr>
                <w:sz w:val="20"/>
                <w:szCs w:val="20"/>
                <w:color w:val="auto"/>
              </w:rPr>
            </w:pPr>
            <w:r>
              <w:rPr>
                <w:rFonts w:ascii="Calibri" w:cs="Calibri" w:eastAsia="Calibri" w:hAnsi="Calibri"/>
                <w:sz w:val="10"/>
                <w:szCs w:val="10"/>
                <w:color w:val="auto"/>
              </w:rPr>
              <w:t>—</w:t>
            </w:r>
          </w:p>
        </w:tc>
        <w:tc>
          <w:tcPr>
            <w:tcW w:w="80" w:type="dxa"/>
            <w:vAlign w:val="bottom"/>
          </w:tcPr>
          <w:p>
            <w:pPr>
              <w:spacing w:after="0"/>
              <w:rPr>
                <w:sz w:val="11"/>
                <w:szCs w:val="11"/>
                <w:color w:val="auto"/>
              </w:rPr>
            </w:pPr>
          </w:p>
        </w:tc>
        <w:tc>
          <w:tcPr>
            <w:tcW w:w="1500" w:type="dxa"/>
            <w:vAlign w:val="bottom"/>
            <w:gridSpan w:val="2"/>
          </w:tcPr>
          <w:p>
            <w:pPr>
              <w:jc w:val="right"/>
              <w:ind w:right="200"/>
              <w:spacing w:after="0" w:line="119" w:lineRule="exact"/>
              <w:rPr>
                <w:sz w:val="20"/>
                <w:szCs w:val="20"/>
                <w:color w:val="auto"/>
              </w:rPr>
            </w:pPr>
            <w:r>
              <w:rPr>
                <w:rFonts w:ascii="Calibri" w:cs="Calibri" w:eastAsia="Calibri" w:hAnsi="Calibri"/>
                <w:sz w:val="10"/>
                <w:szCs w:val="10"/>
                <w:color w:val="auto"/>
              </w:rPr>
              <w:t>(2,578 )</w:t>
            </w:r>
          </w:p>
        </w:tc>
        <w:tc>
          <w:tcPr>
            <w:tcW w:w="320" w:type="dxa"/>
            <w:vAlign w:val="bottom"/>
          </w:tcPr>
          <w:p>
            <w:pPr>
              <w:spacing w:after="0"/>
              <w:rPr>
                <w:sz w:val="11"/>
                <w:szCs w:val="11"/>
                <w:color w:val="auto"/>
              </w:rPr>
            </w:pPr>
          </w:p>
        </w:tc>
        <w:tc>
          <w:tcPr>
            <w:tcW w:w="1120" w:type="dxa"/>
            <w:vAlign w:val="bottom"/>
            <w:gridSpan w:val="2"/>
          </w:tcPr>
          <w:p>
            <w:pPr>
              <w:jc w:val="right"/>
              <w:ind w:right="120"/>
              <w:spacing w:after="0" w:line="119" w:lineRule="exact"/>
              <w:rPr>
                <w:sz w:val="20"/>
                <w:szCs w:val="20"/>
                <w:color w:val="auto"/>
              </w:rPr>
            </w:pPr>
            <w:r>
              <w:rPr>
                <w:rFonts w:ascii="Calibri" w:cs="Calibri" w:eastAsia="Calibri" w:hAnsi="Calibri"/>
                <w:sz w:val="10"/>
                <w:szCs w:val="10"/>
                <w:color w:val="auto"/>
              </w:rPr>
              <w:t>—</w:t>
            </w:r>
          </w:p>
        </w:tc>
        <w:tc>
          <w:tcPr>
            <w:tcW w:w="0" w:type="dxa"/>
            <w:vAlign w:val="bottom"/>
          </w:tcPr>
          <w:p>
            <w:pPr>
              <w:spacing w:after="0"/>
              <w:rPr>
                <w:sz w:val="1"/>
                <w:szCs w:val="1"/>
                <w:color w:val="auto"/>
              </w:rPr>
            </w:pPr>
          </w:p>
        </w:tc>
      </w:tr>
      <w:tr>
        <w:trPr>
          <w:trHeight w:val="148"/>
        </w:trPr>
        <w:tc>
          <w:tcPr>
            <w:tcW w:w="6600" w:type="dxa"/>
            <w:vAlign w:val="bottom"/>
            <w:shd w:val="clear" w:color="auto" w:fill="CFF0FC"/>
          </w:tcPr>
          <w:p>
            <w:pPr>
              <w:ind w:left="60"/>
              <w:spacing w:after="0"/>
              <w:rPr>
                <w:sz w:val="20"/>
                <w:szCs w:val="20"/>
                <w:color w:val="auto"/>
              </w:rPr>
            </w:pPr>
            <w:r>
              <w:rPr>
                <w:rFonts w:ascii="Calibri" w:cs="Calibri" w:eastAsia="Calibri" w:hAnsi="Calibri"/>
                <w:sz w:val="10"/>
                <w:szCs w:val="10"/>
                <w:color w:val="auto"/>
              </w:rPr>
              <w:t>Payment of tax distributons to redeemable noncontrolling interest holders</w:t>
            </w:r>
          </w:p>
        </w:tc>
        <w:tc>
          <w:tcPr>
            <w:tcW w:w="8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40"/>
              <w:spacing w:after="0"/>
              <w:rPr>
                <w:sz w:val="20"/>
                <w:szCs w:val="20"/>
                <w:color w:val="auto"/>
              </w:rPr>
            </w:pPr>
            <w:r>
              <w:rPr>
                <w:rFonts w:ascii="Calibri" w:cs="Calibri" w:eastAsia="Calibri" w:hAnsi="Calibri"/>
                <w:sz w:val="10"/>
                <w:szCs w:val="10"/>
                <w:color w:val="auto"/>
              </w:rPr>
              <w:t>(38 )</w:t>
            </w:r>
          </w:p>
        </w:tc>
        <w:tc>
          <w:tcPr>
            <w:tcW w:w="80" w:type="dxa"/>
            <w:vAlign w:val="bottom"/>
            <w:shd w:val="clear" w:color="auto" w:fill="CFF0FC"/>
          </w:tcPr>
          <w:p>
            <w:pPr>
              <w:spacing w:after="0"/>
              <w:rPr>
                <w:sz w:val="12"/>
                <w:szCs w:val="12"/>
                <w:color w:val="auto"/>
              </w:rPr>
            </w:pPr>
          </w:p>
        </w:tc>
        <w:tc>
          <w:tcPr>
            <w:tcW w:w="1500" w:type="dxa"/>
            <w:vAlign w:val="bottom"/>
            <w:gridSpan w:val="2"/>
            <w:shd w:val="clear" w:color="auto" w:fill="CFF0FC"/>
          </w:tcPr>
          <w:p>
            <w:pPr>
              <w:jc w:val="right"/>
              <w:ind w:right="200"/>
              <w:spacing w:after="0"/>
              <w:rPr>
                <w:sz w:val="20"/>
                <w:szCs w:val="20"/>
                <w:color w:val="auto"/>
              </w:rPr>
            </w:pPr>
            <w:r>
              <w:rPr>
                <w:rFonts w:ascii="Calibri" w:cs="Calibri" w:eastAsia="Calibri" w:hAnsi="Calibri"/>
                <w:sz w:val="10"/>
                <w:szCs w:val="10"/>
                <w:color w:val="auto"/>
              </w:rPr>
              <w:t>(19,913 )</w:t>
            </w:r>
          </w:p>
        </w:tc>
        <w:tc>
          <w:tcPr>
            <w:tcW w:w="32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120"/>
              <w:spacing w:after="0"/>
              <w:rPr>
                <w:sz w:val="20"/>
                <w:szCs w:val="20"/>
                <w:color w:val="auto"/>
              </w:rPr>
            </w:pPr>
            <w:r>
              <w:rPr>
                <w:rFonts w:ascii="Calibri" w:cs="Calibri" w:eastAsia="Calibri" w:hAnsi="Calibri"/>
                <w:sz w:val="10"/>
                <w:szCs w:val="10"/>
                <w:color w:val="auto"/>
              </w:rPr>
              <w:t>—</w:t>
            </w:r>
          </w:p>
        </w:tc>
        <w:tc>
          <w:tcPr>
            <w:tcW w:w="0" w:type="dxa"/>
            <w:vAlign w:val="bottom"/>
          </w:tcPr>
          <w:p>
            <w:pPr>
              <w:spacing w:after="0"/>
              <w:rPr>
                <w:sz w:val="1"/>
                <w:szCs w:val="1"/>
                <w:color w:val="auto"/>
              </w:rPr>
            </w:pPr>
          </w:p>
        </w:tc>
      </w:tr>
      <w:tr>
        <w:trPr>
          <w:trHeight w:val="128"/>
        </w:trPr>
        <w:tc>
          <w:tcPr>
            <w:tcW w:w="6600" w:type="dxa"/>
            <w:vAlign w:val="bottom"/>
          </w:tcPr>
          <w:p>
            <w:pPr>
              <w:ind w:left="60"/>
              <w:spacing w:after="0" w:line="119" w:lineRule="exact"/>
              <w:rPr>
                <w:sz w:val="20"/>
                <w:szCs w:val="20"/>
                <w:color w:val="auto"/>
              </w:rPr>
            </w:pPr>
            <w:r>
              <w:rPr>
                <w:rFonts w:ascii="Calibri" w:cs="Calibri" w:eastAsia="Calibri" w:hAnsi="Calibri"/>
                <w:sz w:val="10"/>
                <w:szCs w:val="10"/>
                <w:color w:val="auto"/>
              </w:rPr>
              <w:t>Acquisiton of remaining interest in CarOfer, LLC</w:t>
            </w:r>
          </w:p>
        </w:tc>
        <w:tc>
          <w:tcPr>
            <w:tcW w:w="880" w:type="dxa"/>
            <w:vAlign w:val="bottom"/>
          </w:tcPr>
          <w:p>
            <w:pPr>
              <w:spacing w:after="0"/>
              <w:rPr>
                <w:sz w:val="11"/>
                <w:szCs w:val="11"/>
                <w:color w:val="auto"/>
              </w:rPr>
            </w:pPr>
          </w:p>
        </w:tc>
        <w:tc>
          <w:tcPr>
            <w:tcW w:w="760" w:type="dxa"/>
            <w:vAlign w:val="bottom"/>
            <w:gridSpan w:val="2"/>
          </w:tcPr>
          <w:p>
            <w:pPr>
              <w:jc w:val="right"/>
              <w:ind w:right="240"/>
              <w:spacing w:after="0" w:line="119" w:lineRule="exact"/>
              <w:rPr>
                <w:sz w:val="20"/>
                <w:szCs w:val="20"/>
                <w:color w:val="auto"/>
              </w:rPr>
            </w:pPr>
            <w:r>
              <w:rPr>
                <w:rFonts w:ascii="Calibri" w:cs="Calibri" w:eastAsia="Calibri" w:hAnsi="Calibri"/>
                <w:sz w:val="10"/>
                <w:szCs w:val="10"/>
                <w:color w:val="auto"/>
              </w:rPr>
              <w:t>(25,014 )</w:t>
            </w:r>
          </w:p>
        </w:tc>
        <w:tc>
          <w:tcPr>
            <w:tcW w:w="80" w:type="dxa"/>
            <w:vAlign w:val="bottom"/>
          </w:tcPr>
          <w:p>
            <w:pPr>
              <w:spacing w:after="0"/>
              <w:rPr>
                <w:sz w:val="11"/>
                <w:szCs w:val="11"/>
                <w:color w:val="auto"/>
              </w:rPr>
            </w:pPr>
          </w:p>
        </w:tc>
        <w:tc>
          <w:tcPr>
            <w:tcW w:w="1500" w:type="dxa"/>
            <w:vAlign w:val="bottom"/>
            <w:gridSpan w:val="2"/>
          </w:tcPr>
          <w:p>
            <w:pPr>
              <w:jc w:val="right"/>
              <w:ind w:right="260"/>
              <w:spacing w:after="0" w:line="119" w:lineRule="exact"/>
              <w:rPr>
                <w:sz w:val="20"/>
                <w:szCs w:val="20"/>
                <w:color w:val="auto"/>
              </w:rPr>
            </w:pPr>
            <w:r>
              <w:rPr>
                <w:rFonts w:ascii="Calibri" w:cs="Calibri" w:eastAsia="Calibri" w:hAnsi="Calibri"/>
                <w:sz w:val="10"/>
                <w:szCs w:val="10"/>
                <w:color w:val="auto"/>
              </w:rPr>
              <w:t>—</w:t>
            </w:r>
          </w:p>
        </w:tc>
        <w:tc>
          <w:tcPr>
            <w:tcW w:w="320" w:type="dxa"/>
            <w:vAlign w:val="bottom"/>
          </w:tcPr>
          <w:p>
            <w:pPr>
              <w:spacing w:after="0"/>
              <w:rPr>
                <w:sz w:val="11"/>
                <w:szCs w:val="11"/>
                <w:color w:val="auto"/>
              </w:rPr>
            </w:pPr>
          </w:p>
        </w:tc>
        <w:tc>
          <w:tcPr>
            <w:tcW w:w="1120" w:type="dxa"/>
            <w:vAlign w:val="bottom"/>
            <w:gridSpan w:val="2"/>
          </w:tcPr>
          <w:p>
            <w:pPr>
              <w:jc w:val="right"/>
              <w:ind w:right="120"/>
              <w:spacing w:after="0" w:line="119" w:lineRule="exact"/>
              <w:rPr>
                <w:sz w:val="20"/>
                <w:szCs w:val="20"/>
                <w:color w:val="auto"/>
              </w:rPr>
            </w:pPr>
            <w:r>
              <w:rPr>
                <w:rFonts w:ascii="Calibri" w:cs="Calibri" w:eastAsia="Calibri" w:hAnsi="Calibri"/>
                <w:sz w:val="10"/>
                <w:szCs w:val="10"/>
                <w:color w:val="auto"/>
              </w:rPr>
              <w:t>—</w:t>
            </w:r>
          </w:p>
        </w:tc>
        <w:tc>
          <w:tcPr>
            <w:tcW w:w="0" w:type="dxa"/>
            <w:vAlign w:val="bottom"/>
          </w:tcPr>
          <w:p>
            <w:pPr>
              <w:spacing w:after="0"/>
              <w:rPr>
                <w:sz w:val="1"/>
                <w:szCs w:val="1"/>
                <w:color w:val="auto"/>
              </w:rPr>
            </w:pPr>
          </w:p>
        </w:tc>
      </w:tr>
      <w:tr>
        <w:trPr>
          <w:trHeight w:val="138"/>
        </w:trPr>
        <w:tc>
          <w:tcPr>
            <w:tcW w:w="6600" w:type="dxa"/>
            <w:vAlign w:val="bottom"/>
            <w:shd w:val="clear" w:color="auto" w:fill="CFF0FC"/>
          </w:tcPr>
          <w:p>
            <w:pPr>
              <w:ind w:left="60"/>
              <w:spacing w:after="0"/>
              <w:rPr>
                <w:sz w:val="20"/>
                <w:szCs w:val="20"/>
                <w:color w:val="auto"/>
              </w:rPr>
            </w:pPr>
            <w:r>
              <w:rPr>
                <w:rFonts w:ascii="Calibri" w:cs="Calibri" w:eastAsia="Calibri" w:hAnsi="Calibri"/>
                <w:sz w:val="10"/>
                <w:szCs w:val="10"/>
                <w:color w:val="auto"/>
              </w:rPr>
              <w:t>Change in gross advance payments received from third-party transacton processor</w:t>
            </w:r>
          </w:p>
        </w:tc>
        <w:tc>
          <w:tcPr>
            <w:tcW w:w="88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240"/>
              <w:spacing w:after="0"/>
              <w:rPr>
                <w:sz w:val="20"/>
                <w:szCs w:val="20"/>
                <w:color w:val="auto"/>
              </w:rPr>
            </w:pPr>
            <w:r>
              <w:rPr>
                <w:rFonts w:ascii="Calibri" w:cs="Calibri" w:eastAsia="Calibri" w:hAnsi="Calibri"/>
                <w:sz w:val="10"/>
                <w:szCs w:val="10"/>
                <w:color w:val="auto"/>
              </w:rPr>
              <w:t>(4,475 )</w:t>
            </w:r>
          </w:p>
        </w:tc>
        <w:tc>
          <w:tcPr>
            <w:tcW w:w="80" w:type="dxa"/>
            <w:vAlign w:val="bottom"/>
            <w:shd w:val="clear" w:color="auto" w:fill="CFF0FC"/>
          </w:tcPr>
          <w:p>
            <w:pPr>
              <w:spacing w:after="0"/>
              <w:rPr>
                <w:sz w:val="12"/>
                <w:szCs w:val="12"/>
                <w:color w:val="auto"/>
              </w:rPr>
            </w:pPr>
          </w:p>
        </w:tc>
        <w:tc>
          <w:tcPr>
            <w:tcW w:w="1500" w:type="dxa"/>
            <w:vAlign w:val="bottom"/>
            <w:gridSpan w:val="2"/>
            <w:shd w:val="clear" w:color="auto" w:fill="CFF0FC"/>
          </w:tcPr>
          <w:p>
            <w:pPr>
              <w:jc w:val="right"/>
              <w:ind w:right="200"/>
              <w:spacing w:after="0"/>
              <w:rPr>
                <w:sz w:val="20"/>
                <w:szCs w:val="20"/>
                <w:color w:val="auto"/>
              </w:rPr>
            </w:pPr>
            <w:r>
              <w:rPr>
                <w:rFonts w:ascii="Calibri" w:cs="Calibri" w:eastAsia="Calibri" w:hAnsi="Calibri"/>
                <w:sz w:val="10"/>
                <w:szCs w:val="10"/>
                <w:color w:val="auto"/>
              </w:rPr>
              <w:t>(40,332 )</w:t>
            </w:r>
          </w:p>
        </w:tc>
        <w:tc>
          <w:tcPr>
            <w:tcW w:w="3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Calibri" w:cs="Calibri" w:eastAsia="Calibri" w:hAnsi="Calibri"/>
                <w:sz w:val="10"/>
                <w:szCs w:val="10"/>
                <w:color w:val="auto"/>
              </w:rPr>
              <w:t>46,822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66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6600" w:type="dxa"/>
            <w:vAlign w:val="bottom"/>
          </w:tcPr>
          <w:p>
            <w:pPr>
              <w:spacing w:after="0" w:line="119" w:lineRule="exact"/>
              <w:rPr>
                <w:sz w:val="20"/>
                <w:szCs w:val="20"/>
                <w:color w:val="auto"/>
              </w:rPr>
            </w:pPr>
            <w:r>
              <w:rPr>
                <w:rFonts w:ascii="Calibri" w:cs="Calibri" w:eastAsia="Calibri" w:hAnsi="Calibri"/>
                <w:sz w:val="10"/>
                <w:szCs w:val="10"/>
                <w:color w:val="auto"/>
              </w:rPr>
              <w:t>Net cash (used in) provided by fnancing actvites</w:t>
            </w:r>
          </w:p>
        </w:tc>
        <w:tc>
          <w:tcPr>
            <w:tcW w:w="880" w:type="dxa"/>
            <w:vAlign w:val="bottom"/>
          </w:tcPr>
          <w:p>
            <w:pPr>
              <w:spacing w:after="0"/>
              <w:rPr>
                <w:sz w:val="11"/>
                <w:szCs w:val="11"/>
                <w:color w:val="auto"/>
              </w:rPr>
            </w:pPr>
          </w:p>
        </w:tc>
        <w:tc>
          <w:tcPr>
            <w:tcW w:w="760" w:type="dxa"/>
            <w:vAlign w:val="bottom"/>
            <w:gridSpan w:val="2"/>
          </w:tcPr>
          <w:p>
            <w:pPr>
              <w:jc w:val="right"/>
              <w:ind w:right="240"/>
              <w:spacing w:after="0" w:line="119" w:lineRule="exact"/>
              <w:rPr>
                <w:sz w:val="20"/>
                <w:szCs w:val="20"/>
                <w:color w:val="auto"/>
              </w:rPr>
            </w:pPr>
            <w:r>
              <w:rPr>
                <w:rFonts w:ascii="Calibri" w:cs="Calibri" w:eastAsia="Calibri" w:hAnsi="Calibri"/>
                <w:sz w:val="10"/>
                <w:szCs w:val="10"/>
                <w:color w:val="auto"/>
              </w:rPr>
              <w:t>(253,644 )</w:t>
            </w:r>
          </w:p>
        </w:tc>
        <w:tc>
          <w:tcPr>
            <w:tcW w:w="80" w:type="dxa"/>
            <w:vAlign w:val="bottom"/>
          </w:tcPr>
          <w:p>
            <w:pPr>
              <w:spacing w:after="0"/>
              <w:rPr>
                <w:sz w:val="11"/>
                <w:szCs w:val="11"/>
                <w:color w:val="auto"/>
              </w:rPr>
            </w:pPr>
          </w:p>
        </w:tc>
        <w:tc>
          <w:tcPr>
            <w:tcW w:w="1500" w:type="dxa"/>
            <w:vAlign w:val="bottom"/>
            <w:gridSpan w:val="2"/>
          </w:tcPr>
          <w:p>
            <w:pPr>
              <w:jc w:val="right"/>
              <w:ind w:right="200"/>
              <w:spacing w:after="0" w:line="119" w:lineRule="exact"/>
              <w:rPr>
                <w:sz w:val="20"/>
                <w:szCs w:val="20"/>
                <w:color w:val="auto"/>
              </w:rPr>
            </w:pPr>
            <w:r>
              <w:rPr>
                <w:rFonts w:ascii="Calibri" w:cs="Calibri" w:eastAsia="Calibri" w:hAnsi="Calibri"/>
                <w:sz w:val="10"/>
                <w:szCs w:val="10"/>
                <w:color w:val="auto"/>
              </w:rPr>
              <w:t>(92,620 )</w:t>
            </w:r>
          </w:p>
        </w:tc>
        <w:tc>
          <w:tcPr>
            <w:tcW w:w="320" w:type="dxa"/>
            <w:vAlign w:val="bottom"/>
          </w:tcPr>
          <w:p>
            <w:pPr>
              <w:spacing w:after="0"/>
              <w:rPr>
                <w:sz w:val="11"/>
                <w:szCs w:val="11"/>
                <w:color w:val="auto"/>
              </w:rPr>
            </w:pPr>
          </w:p>
        </w:tc>
        <w:tc>
          <w:tcPr>
            <w:tcW w:w="1020" w:type="dxa"/>
            <w:vAlign w:val="bottom"/>
          </w:tcPr>
          <w:p>
            <w:pPr>
              <w:jc w:val="right"/>
              <w:spacing w:after="0" w:line="119" w:lineRule="exact"/>
              <w:rPr>
                <w:sz w:val="20"/>
                <w:szCs w:val="20"/>
                <w:color w:val="auto"/>
              </w:rPr>
            </w:pPr>
            <w:r>
              <w:rPr>
                <w:rFonts w:ascii="Calibri" w:cs="Calibri" w:eastAsia="Calibri" w:hAnsi="Calibri"/>
                <w:sz w:val="10"/>
                <w:szCs w:val="10"/>
                <w:color w:val="auto"/>
              </w:rPr>
              <w:t>17,808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66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600" w:type="dxa"/>
            <w:vAlign w:val="bottom"/>
            <w:shd w:val="clear" w:color="auto" w:fill="CFF0FC"/>
          </w:tcPr>
          <w:p>
            <w:pPr>
              <w:spacing w:after="0" w:line="119" w:lineRule="exact"/>
              <w:rPr>
                <w:sz w:val="20"/>
                <w:szCs w:val="20"/>
                <w:color w:val="auto"/>
              </w:rPr>
            </w:pPr>
            <w:r>
              <w:rPr>
                <w:rFonts w:ascii="Calibri" w:cs="Calibri" w:eastAsia="Calibri" w:hAnsi="Calibri"/>
                <w:sz w:val="10"/>
                <w:szCs w:val="10"/>
                <w:color w:val="auto"/>
              </w:rPr>
              <w:t>Impact of foreign currency on cash, cash equivalents, and restricted cash</w:t>
            </w:r>
          </w:p>
        </w:tc>
        <w:tc>
          <w:tcPr>
            <w:tcW w:w="88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line="119" w:lineRule="exact"/>
              <w:rPr>
                <w:sz w:val="20"/>
                <w:szCs w:val="20"/>
                <w:color w:val="auto"/>
              </w:rPr>
            </w:pPr>
            <w:r>
              <w:rPr>
                <w:rFonts w:ascii="Calibri" w:cs="Calibri" w:eastAsia="Calibri" w:hAnsi="Calibri"/>
                <w:sz w:val="10"/>
                <w:szCs w:val="10"/>
                <w:color w:val="auto"/>
              </w:rPr>
              <w:t>475</w:t>
            </w: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500" w:type="dxa"/>
            <w:vAlign w:val="bottom"/>
            <w:gridSpan w:val="2"/>
            <w:shd w:val="clear" w:color="auto" w:fill="CFF0FC"/>
          </w:tcPr>
          <w:p>
            <w:pPr>
              <w:jc w:val="right"/>
              <w:ind w:right="200"/>
              <w:spacing w:after="0" w:line="119" w:lineRule="exact"/>
              <w:rPr>
                <w:sz w:val="20"/>
                <w:szCs w:val="20"/>
                <w:color w:val="auto"/>
              </w:rPr>
            </w:pPr>
            <w:r>
              <w:rPr>
                <w:rFonts w:ascii="Calibri" w:cs="Calibri" w:eastAsia="Calibri" w:hAnsi="Calibri"/>
                <w:sz w:val="10"/>
                <w:szCs w:val="10"/>
                <w:color w:val="auto"/>
              </w:rPr>
              <w:t>(364 )</w:t>
            </w:r>
          </w:p>
        </w:tc>
        <w:tc>
          <w:tcPr>
            <w:tcW w:w="320" w:type="dxa"/>
            <w:vAlign w:val="bottom"/>
            <w:shd w:val="clear" w:color="auto" w:fill="CFF0FC"/>
          </w:tcPr>
          <w:p>
            <w:pPr>
              <w:spacing w:after="0"/>
              <w:rPr>
                <w:sz w:val="12"/>
                <w:szCs w:val="12"/>
                <w:color w:val="auto"/>
              </w:rPr>
            </w:pPr>
          </w:p>
        </w:tc>
        <w:tc>
          <w:tcPr>
            <w:tcW w:w="1120" w:type="dxa"/>
            <w:vAlign w:val="bottom"/>
            <w:gridSpan w:val="2"/>
            <w:shd w:val="clear" w:color="auto" w:fill="CFF0FC"/>
          </w:tcPr>
          <w:p>
            <w:pPr>
              <w:jc w:val="right"/>
              <w:ind w:right="60"/>
              <w:spacing w:after="0" w:line="119" w:lineRule="exact"/>
              <w:rPr>
                <w:sz w:val="20"/>
                <w:szCs w:val="20"/>
                <w:color w:val="auto"/>
              </w:rPr>
            </w:pPr>
            <w:r>
              <w:rPr>
                <w:rFonts w:ascii="Calibri" w:cs="Calibri" w:eastAsia="Calibri" w:hAnsi="Calibri"/>
                <w:sz w:val="10"/>
                <w:szCs w:val="10"/>
                <w:color w:val="auto"/>
              </w:rPr>
              <w:t>(597 )</w:t>
            </w:r>
          </w:p>
        </w:tc>
        <w:tc>
          <w:tcPr>
            <w:tcW w:w="0" w:type="dxa"/>
            <w:vAlign w:val="bottom"/>
          </w:tcPr>
          <w:p>
            <w:pPr>
              <w:spacing w:after="0"/>
              <w:rPr>
                <w:sz w:val="1"/>
                <w:szCs w:val="1"/>
                <w:color w:val="auto"/>
              </w:rPr>
            </w:pPr>
          </w:p>
        </w:tc>
      </w:tr>
      <w:tr>
        <w:trPr>
          <w:trHeight w:val="128"/>
        </w:trPr>
        <w:tc>
          <w:tcPr>
            <w:tcW w:w="6600" w:type="dxa"/>
            <w:vAlign w:val="bottom"/>
          </w:tcPr>
          <w:p>
            <w:pPr>
              <w:spacing w:after="0" w:line="119" w:lineRule="exact"/>
              <w:rPr>
                <w:sz w:val="20"/>
                <w:szCs w:val="20"/>
                <w:color w:val="auto"/>
              </w:rPr>
            </w:pPr>
            <w:r>
              <w:rPr>
                <w:rFonts w:ascii="Calibri" w:cs="Calibri" w:eastAsia="Calibri" w:hAnsi="Calibri"/>
                <w:sz w:val="10"/>
                <w:szCs w:val="10"/>
                <w:color w:val="auto"/>
              </w:rPr>
              <w:t>Net (decrease) increase in cash, cash equivalents, and restricted cash</w:t>
            </w:r>
          </w:p>
        </w:tc>
        <w:tc>
          <w:tcPr>
            <w:tcW w:w="880" w:type="dxa"/>
            <w:vAlign w:val="bottom"/>
          </w:tcPr>
          <w:p>
            <w:pPr>
              <w:spacing w:after="0"/>
              <w:rPr>
                <w:sz w:val="11"/>
                <w:szCs w:val="11"/>
                <w:color w:val="auto"/>
              </w:rPr>
            </w:pPr>
          </w:p>
        </w:tc>
        <w:tc>
          <w:tcPr>
            <w:tcW w:w="760" w:type="dxa"/>
            <w:vAlign w:val="bottom"/>
            <w:gridSpan w:val="2"/>
          </w:tcPr>
          <w:p>
            <w:pPr>
              <w:jc w:val="right"/>
              <w:ind w:right="240"/>
              <w:spacing w:after="0" w:line="119" w:lineRule="exact"/>
              <w:rPr>
                <w:sz w:val="20"/>
                <w:szCs w:val="20"/>
                <w:color w:val="auto"/>
              </w:rPr>
            </w:pPr>
            <w:r>
              <w:rPr>
                <w:rFonts w:ascii="Calibri" w:cs="Calibri" w:eastAsia="Calibri" w:hAnsi="Calibri"/>
                <w:sz w:val="10"/>
                <w:szCs w:val="10"/>
                <w:color w:val="auto"/>
              </w:rPr>
              <w:t>(190,206 )</w:t>
            </w:r>
          </w:p>
        </w:tc>
        <w:tc>
          <w:tcPr>
            <w:tcW w:w="80" w:type="dxa"/>
            <w:vAlign w:val="bottom"/>
          </w:tcPr>
          <w:p>
            <w:pPr>
              <w:spacing w:after="0"/>
              <w:rPr>
                <w:sz w:val="11"/>
                <w:szCs w:val="11"/>
                <w:color w:val="auto"/>
              </w:rPr>
            </w:pPr>
          </w:p>
        </w:tc>
        <w:tc>
          <w:tcPr>
            <w:tcW w:w="1260" w:type="dxa"/>
            <w:vAlign w:val="bottom"/>
          </w:tcPr>
          <w:p>
            <w:pPr>
              <w:jc w:val="right"/>
              <w:spacing w:after="0" w:line="119" w:lineRule="exact"/>
              <w:rPr>
                <w:sz w:val="20"/>
                <w:szCs w:val="20"/>
                <w:color w:val="auto"/>
              </w:rPr>
            </w:pPr>
            <w:r>
              <w:rPr>
                <w:rFonts w:ascii="Calibri" w:cs="Calibri" w:eastAsia="Calibri" w:hAnsi="Calibri"/>
                <w:sz w:val="10"/>
                <w:szCs w:val="10"/>
                <w:color w:val="auto"/>
              </w:rPr>
              <w:t>235,852</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jc w:val="right"/>
              <w:spacing w:after="0" w:line="119" w:lineRule="exact"/>
              <w:rPr>
                <w:sz w:val="20"/>
                <w:szCs w:val="20"/>
                <w:color w:val="auto"/>
              </w:rPr>
            </w:pPr>
            <w:r>
              <w:rPr>
                <w:rFonts w:ascii="Calibri" w:cs="Calibri" w:eastAsia="Calibri" w:hAnsi="Calibri"/>
                <w:sz w:val="10"/>
                <w:szCs w:val="10"/>
                <w:color w:val="auto"/>
              </w:rPr>
              <w:t>47,354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660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0"/>
                <w:szCs w:val="10"/>
                <w:color w:val="auto"/>
              </w:rPr>
              <w:t>Cash, cash equivalents, and restricted cash at beginning of period</w:t>
            </w:r>
          </w:p>
        </w:tc>
        <w:tc>
          <w:tcPr>
            <w:tcW w:w="880" w:type="dxa"/>
            <w:vAlign w:val="bottom"/>
            <w:tcBorders>
              <w:bottom w:val="single" w:sz="8" w:color="auto"/>
            </w:tcBorders>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0"/>
                <w:szCs w:val="10"/>
                <w:color w:val="auto"/>
              </w:rPr>
              <w:t>484,132</w:t>
            </w:r>
          </w:p>
        </w:tc>
        <w:tc>
          <w:tcPr>
            <w:tcW w:w="28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0"/>
                <w:szCs w:val="10"/>
                <w:color w:val="auto"/>
              </w:rPr>
              <w:t>248,280</w:t>
            </w:r>
          </w:p>
        </w:tc>
        <w:tc>
          <w:tcPr>
            <w:tcW w:w="240" w:type="dxa"/>
            <w:vAlign w:val="bottom"/>
            <w:tcBorders>
              <w:bottom w:val="single" w:sz="8" w:color="CFF0FC"/>
            </w:tcBorders>
            <w:shd w:val="clear" w:color="auto" w:fill="CFF0FC"/>
          </w:tcPr>
          <w:p>
            <w:pPr>
              <w:spacing w:after="0"/>
              <w:rPr>
                <w:sz w:val="12"/>
                <w:szCs w:val="12"/>
                <w:color w:val="auto"/>
              </w:rPr>
            </w:pPr>
          </w:p>
        </w:tc>
        <w:tc>
          <w:tcPr>
            <w:tcW w:w="320" w:type="dxa"/>
            <w:vAlign w:val="bottom"/>
            <w:tcBorders>
              <w:bottom w:val="single" w:sz="8" w:color="auto"/>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0"/>
                <w:szCs w:val="10"/>
                <w:color w:val="auto"/>
              </w:rPr>
              <w:t>200,926</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6600" w:type="dxa"/>
            <w:vAlign w:val="bottom"/>
          </w:tcPr>
          <w:p>
            <w:pPr>
              <w:spacing w:after="0"/>
              <w:rPr>
                <w:sz w:val="20"/>
                <w:szCs w:val="20"/>
                <w:color w:val="auto"/>
              </w:rPr>
            </w:pPr>
            <w:r>
              <w:rPr>
                <w:rFonts w:ascii="Calibri" w:cs="Calibri" w:eastAsia="Calibri" w:hAnsi="Calibri"/>
                <w:sz w:val="10"/>
                <w:szCs w:val="10"/>
                <w:color w:val="auto"/>
              </w:rPr>
              <w:t>Cash, cash equivalents, and restricted cash at end of period</w:t>
            </w:r>
          </w:p>
        </w:tc>
        <w:tc>
          <w:tcPr>
            <w:tcW w:w="880" w:type="dxa"/>
            <w:vAlign w:val="bottom"/>
            <w:tcBorders>
              <w:bottom w:val="single" w:sz="8" w:color="auto"/>
            </w:tcBorders>
          </w:tcPr>
          <w:p>
            <w:pPr>
              <w:jc w:val="right"/>
              <w:ind w:right="770"/>
              <w:spacing w:after="0" w:line="119" w:lineRule="exact"/>
              <w:rPr>
                <w:sz w:val="20"/>
                <w:szCs w:val="20"/>
                <w:color w:val="auto"/>
              </w:rPr>
            </w:pPr>
            <w:r>
              <w:rPr>
                <w:rFonts w:ascii="Calibri" w:cs="Calibri" w:eastAsia="Calibri" w:hAnsi="Calibri"/>
                <w:sz w:val="10"/>
                <w:szCs w:val="10"/>
                <w:color w:val="auto"/>
                <w:w w:val="77"/>
              </w:rPr>
              <w:t>$</w:t>
            </w:r>
          </w:p>
        </w:tc>
        <w:tc>
          <w:tcPr>
            <w:tcW w:w="480" w:type="dxa"/>
            <w:vAlign w:val="bottom"/>
            <w:tcBorders>
              <w:bottom w:val="single" w:sz="8" w:color="auto"/>
            </w:tcBorders>
          </w:tcPr>
          <w:p>
            <w:pPr>
              <w:jc w:val="right"/>
              <w:spacing w:after="0" w:line="119" w:lineRule="exact"/>
              <w:rPr>
                <w:sz w:val="20"/>
                <w:szCs w:val="20"/>
                <w:color w:val="auto"/>
              </w:rPr>
            </w:pPr>
            <w:r>
              <w:rPr>
                <w:rFonts w:ascii="Calibri" w:cs="Calibri" w:eastAsia="Calibri" w:hAnsi="Calibri"/>
                <w:sz w:val="10"/>
                <w:szCs w:val="10"/>
                <w:color w:val="auto"/>
              </w:rPr>
              <w:t>293,926</w:t>
            </w:r>
          </w:p>
        </w:tc>
        <w:tc>
          <w:tcPr>
            <w:tcW w:w="280" w:type="dxa"/>
            <w:vAlign w:val="bottom"/>
          </w:tcPr>
          <w:p>
            <w:pPr>
              <w:spacing w:after="0"/>
              <w:rPr>
                <w:sz w:val="11"/>
                <w:szCs w:val="11"/>
                <w:color w:val="auto"/>
              </w:rPr>
            </w:pPr>
          </w:p>
        </w:tc>
        <w:tc>
          <w:tcPr>
            <w:tcW w:w="80" w:type="dxa"/>
            <w:vAlign w:val="bottom"/>
            <w:tcBorders>
              <w:bottom w:val="single" w:sz="8" w:color="auto"/>
            </w:tcBorders>
          </w:tcPr>
          <w:p>
            <w:pPr>
              <w:jc w:val="right"/>
              <w:spacing w:after="0" w:line="119" w:lineRule="exact"/>
              <w:rPr>
                <w:sz w:val="20"/>
                <w:szCs w:val="20"/>
                <w:color w:val="auto"/>
              </w:rPr>
            </w:pPr>
            <w:r>
              <w:rPr>
                <w:rFonts w:ascii="Calibri" w:cs="Calibri" w:eastAsia="Calibri" w:hAnsi="Calibri"/>
                <w:sz w:val="10"/>
                <w:szCs w:val="10"/>
                <w:color w:val="auto"/>
                <w:w w:val="77"/>
              </w:rPr>
              <w:t>$</w:t>
            </w:r>
          </w:p>
        </w:tc>
        <w:tc>
          <w:tcPr>
            <w:tcW w:w="1260" w:type="dxa"/>
            <w:vAlign w:val="bottom"/>
            <w:tcBorders>
              <w:bottom w:val="single" w:sz="8" w:color="auto"/>
            </w:tcBorders>
          </w:tcPr>
          <w:p>
            <w:pPr>
              <w:jc w:val="right"/>
              <w:spacing w:after="0" w:line="119" w:lineRule="exact"/>
              <w:rPr>
                <w:sz w:val="20"/>
                <w:szCs w:val="20"/>
                <w:color w:val="auto"/>
              </w:rPr>
            </w:pPr>
            <w:r>
              <w:rPr>
                <w:rFonts w:ascii="Calibri" w:cs="Calibri" w:eastAsia="Calibri" w:hAnsi="Calibri"/>
                <w:sz w:val="10"/>
                <w:szCs w:val="10"/>
                <w:color w:val="auto"/>
              </w:rPr>
              <w:t>484,132</w:t>
            </w:r>
          </w:p>
        </w:tc>
        <w:tc>
          <w:tcPr>
            <w:tcW w:w="240" w:type="dxa"/>
            <w:vAlign w:val="bottom"/>
          </w:tcPr>
          <w:p>
            <w:pPr>
              <w:spacing w:after="0"/>
              <w:rPr>
                <w:sz w:val="11"/>
                <w:szCs w:val="11"/>
                <w:color w:val="auto"/>
              </w:rPr>
            </w:pPr>
          </w:p>
        </w:tc>
        <w:tc>
          <w:tcPr>
            <w:tcW w:w="320" w:type="dxa"/>
            <w:vAlign w:val="bottom"/>
            <w:tcBorders>
              <w:bottom w:val="single" w:sz="8" w:color="auto"/>
            </w:tcBorders>
          </w:tcPr>
          <w:p>
            <w:pPr>
              <w:jc w:val="right"/>
              <w:ind w:right="190"/>
              <w:spacing w:after="0" w:line="119" w:lineRule="exact"/>
              <w:rPr>
                <w:sz w:val="20"/>
                <w:szCs w:val="20"/>
                <w:color w:val="auto"/>
              </w:rPr>
            </w:pPr>
            <w:r>
              <w:rPr>
                <w:rFonts w:ascii="Calibri" w:cs="Calibri" w:eastAsia="Calibri" w:hAnsi="Calibri"/>
                <w:sz w:val="10"/>
                <w:szCs w:val="10"/>
                <w:color w:val="auto"/>
              </w:rPr>
              <w:t>$</w:t>
            </w:r>
          </w:p>
        </w:tc>
        <w:tc>
          <w:tcPr>
            <w:tcW w:w="1020" w:type="dxa"/>
            <w:vAlign w:val="bottom"/>
            <w:tcBorders>
              <w:bottom w:val="single" w:sz="8" w:color="auto"/>
            </w:tcBorders>
          </w:tcPr>
          <w:p>
            <w:pPr>
              <w:jc w:val="right"/>
              <w:spacing w:after="0" w:line="119" w:lineRule="exact"/>
              <w:rPr>
                <w:sz w:val="20"/>
                <w:szCs w:val="20"/>
                <w:color w:val="auto"/>
              </w:rPr>
            </w:pPr>
            <w:r>
              <w:rPr>
                <w:rFonts w:ascii="Calibri" w:cs="Calibri" w:eastAsia="Calibri" w:hAnsi="Calibri"/>
                <w:sz w:val="10"/>
                <w:szCs w:val="10"/>
                <w:color w:val="auto"/>
              </w:rPr>
              <w:t>248,280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6600" w:type="dxa"/>
            <w:vAlign w:val="bottom"/>
            <w:shd w:val="clear" w:color="auto" w:fill="CFF0FC"/>
          </w:tcPr>
          <w:p>
            <w:pPr>
              <w:spacing w:after="0" w:line="118" w:lineRule="exact"/>
              <w:rPr>
                <w:sz w:val="20"/>
                <w:szCs w:val="20"/>
                <w:color w:val="auto"/>
              </w:rPr>
            </w:pPr>
            <w:r>
              <w:rPr>
                <w:rFonts w:ascii="Calibri" w:cs="Calibri" w:eastAsia="Calibri" w:hAnsi="Calibri"/>
                <w:sz w:val="10"/>
                <w:szCs w:val="10"/>
                <w:b w:val="1"/>
                <w:bCs w:val="1"/>
                <w:color w:val="auto"/>
              </w:rPr>
              <w:t>Supplemental disclosure of cash fow informaton:</w:t>
            </w:r>
          </w:p>
        </w:tc>
        <w:tc>
          <w:tcPr>
            <w:tcW w:w="8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6600" w:type="dxa"/>
            <w:vAlign w:val="bottom"/>
          </w:tcPr>
          <w:p>
            <w:pPr>
              <w:spacing w:after="0"/>
              <w:rPr>
                <w:sz w:val="20"/>
                <w:szCs w:val="20"/>
                <w:color w:val="auto"/>
              </w:rPr>
            </w:pPr>
            <w:r>
              <w:rPr>
                <w:rFonts w:ascii="Calibri" w:cs="Calibri" w:eastAsia="Calibri" w:hAnsi="Calibri"/>
                <w:sz w:val="10"/>
                <w:szCs w:val="10"/>
                <w:color w:val="auto"/>
              </w:rPr>
              <w:t>Cash paid for income taxes</w:t>
            </w:r>
          </w:p>
        </w:tc>
        <w:tc>
          <w:tcPr>
            <w:tcW w:w="880" w:type="dxa"/>
            <w:vAlign w:val="bottom"/>
            <w:tcBorders>
              <w:bottom w:val="single" w:sz="8" w:color="auto"/>
            </w:tcBorders>
          </w:tcPr>
          <w:p>
            <w:pPr>
              <w:jc w:val="right"/>
              <w:ind w:right="770"/>
              <w:spacing w:after="0" w:line="119" w:lineRule="exact"/>
              <w:rPr>
                <w:sz w:val="20"/>
                <w:szCs w:val="20"/>
                <w:color w:val="auto"/>
              </w:rPr>
            </w:pPr>
            <w:r>
              <w:rPr>
                <w:rFonts w:ascii="Calibri" w:cs="Calibri" w:eastAsia="Calibri" w:hAnsi="Calibri"/>
                <w:sz w:val="10"/>
                <w:szCs w:val="10"/>
                <w:color w:val="auto"/>
                <w:w w:val="77"/>
              </w:rPr>
              <w:t>$</w:t>
            </w:r>
          </w:p>
        </w:tc>
        <w:tc>
          <w:tcPr>
            <w:tcW w:w="480" w:type="dxa"/>
            <w:vAlign w:val="bottom"/>
            <w:tcBorders>
              <w:bottom w:val="single" w:sz="8" w:color="auto"/>
            </w:tcBorders>
          </w:tcPr>
          <w:p>
            <w:pPr>
              <w:jc w:val="right"/>
              <w:spacing w:after="0" w:line="119" w:lineRule="exact"/>
              <w:rPr>
                <w:sz w:val="20"/>
                <w:szCs w:val="20"/>
                <w:color w:val="auto"/>
              </w:rPr>
            </w:pPr>
            <w:r>
              <w:rPr>
                <w:rFonts w:ascii="Calibri" w:cs="Calibri" w:eastAsia="Calibri" w:hAnsi="Calibri"/>
                <w:sz w:val="10"/>
                <w:szCs w:val="10"/>
                <w:color w:val="auto"/>
              </w:rPr>
              <w:t>74,783</w:t>
            </w:r>
          </w:p>
        </w:tc>
        <w:tc>
          <w:tcPr>
            <w:tcW w:w="280" w:type="dxa"/>
            <w:vAlign w:val="bottom"/>
          </w:tcPr>
          <w:p>
            <w:pPr>
              <w:spacing w:after="0"/>
              <w:rPr>
                <w:sz w:val="11"/>
                <w:szCs w:val="11"/>
                <w:color w:val="auto"/>
              </w:rPr>
            </w:pPr>
          </w:p>
        </w:tc>
        <w:tc>
          <w:tcPr>
            <w:tcW w:w="80" w:type="dxa"/>
            <w:vAlign w:val="bottom"/>
            <w:tcBorders>
              <w:bottom w:val="single" w:sz="8" w:color="auto"/>
            </w:tcBorders>
          </w:tcPr>
          <w:p>
            <w:pPr>
              <w:jc w:val="right"/>
              <w:spacing w:after="0" w:line="119" w:lineRule="exact"/>
              <w:rPr>
                <w:sz w:val="20"/>
                <w:szCs w:val="20"/>
                <w:color w:val="auto"/>
              </w:rPr>
            </w:pPr>
            <w:r>
              <w:rPr>
                <w:rFonts w:ascii="Calibri" w:cs="Calibri" w:eastAsia="Calibri" w:hAnsi="Calibri"/>
                <w:sz w:val="10"/>
                <w:szCs w:val="10"/>
                <w:color w:val="auto"/>
                <w:w w:val="77"/>
              </w:rPr>
              <w:t>$</w:t>
            </w:r>
          </w:p>
        </w:tc>
        <w:tc>
          <w:tcPr>
            <w:tcW w:w="1260" w:type="dxa"/>
            <w:vAlign w:val="bottom"/>
            <w:tcBorders>
              <w:bottom w:val="single" w:sz="8" w:color="auto"/>
            </w:tcBorders>
          </w:tcPr>
          <w:p>
            <w:pPr>
              <w:jc w:val="right"/>
              <w:spacing w:after="0" w:line="119" w:lineRule="exact"/>
              <w:rPr>
                <w:sz w:val="20"/>
                <w:szCs w:val="20"/>
                <w:color w:val="auto"/>
              </w:rPr>
            </w:pPr>
            <w:r>
              <w:rPr>
                <w:rFonts w:ascii="Calibri" w:cs="Calibri" w:eastAsia="Calibri" w:hAnsi="Calibri"/>
                <w:sz w:val="10"/>
                <w:szCs w:val="10"/>
                <w:color w:val="auto"/>
              </w:rPr>
              <w:t>61,001</w:t>
            </w:r>
          </w:p>
        </w:tc>
        <w:tc>
          <w:tcPr>
            <w:tcW w:w="240" w:type="dxa"/>
            <w:vAlign w:val="bottom"/>
          </w:tcPr>
          <w:p>
            <w:pPr>
              <w:spacing w:after="0"/>
              <w:rPr>
                <w:sz w:val="11"/>
                <w:szCs w:val="11"/>
                <w:color w:val="auto"/>
              </w:rPr>
            </w:pPr>
          </w:p>
        </w:tc>
        <w:tc>
          <w:tcPr>
            <w:tcW w:w="320" w:type="dxa"/>
            <w:vAlign w:val="bottom"/>
            <w:tcBorders>
              <w:bottom w:val="single" w:sz="8" w:color="auto"/>
            </w:tcBorders>
          </w:tcPr>
          <w:p>
            <w:pPr>
              <w:jc w:val="right"/>
              <w:ind w:right="190"/>
              <w:spacing w:after="0" w:line="119" w:lineRule="exact"/>
              <w:rPr>
                <w:sz w:val="20"/>
                <w:szCs w:val="20"/>
                <w:color w:val="auto"/>
              </w:rPr>
            </w:pPr>
            <w:r>
              <w:rPr>
                <w:rFonts w:ascii="Calibri" w:cs="Calibri" w:eastAsia="Calibri" w:hAnsi="Calibri"/>
                <w:sz w:val="10"/>
                <w:szCs w:val="10"/>
                <w:color w:val="auto"/>
              </w:rPr>
              <w:t>$</w:t>
            </w:r>
          </w:p>
        </w:tc>
        <w:tc>
          <w:tcPr>
            <w:tcW w:w="1020" w:type="dxa"/>
            <w:vAlign w:val="bottom"/>
            <w:tcBorders>
              <w:bottom w:val="single" w:sz="8" w:color="auto"/>
            </w:tcBorders>
          </w:tcPr>
          <w:p>
            <w:pPr>
              <w:jc w:val="right"/>
              <w:spacing w:after="0" w:line="119" w:lineRule="exact"/>
              <w:rPr>
                <w:sz w:val="20"/>
                <w:szCs w:val="20"/>
                <w:color w:val="auto"/>
              </w:rPr>
            </w:pPr>
            <w:r>
              <w:rPr>
                <w:rFonts w:ascii="Calibri" w:cs="Calibri" w:eastAsia="Calibri" w:hAnsi="Calibri"/>
                <w:sz w:val="10"/>
                <w:szCs w:val="10"/>
                <w:color w:val="auto"/>
              </w:rPr>
              <w:t>27,520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6600" w:type="dxa"/>
            <w:vAlign w:val="bottom"/>
            <w:tcBorders>
              <w:bottom w:val="single" w:sz="8" w:color="CFF0FC"/>
            </w:tcBorders>
            <w:shd w:val="clear" w:color="auto" w:fill="CFF0FC"/>
          </w:tcPr>
          <w:p>
            <w:pPr>
              <w:spacing w:after="0" w:line="113" w:lineRule="exact"/>
              <w:rPr>
                <w:sz w:val="20"/>
                <w:szCs w:val="20"/>
                <w:color w:val="auto"/>
              </w:rPr>
            </w:pPr>
            <w:r>
              <w:rPr>
                <w:rFonts w:ascii="Calibri" w:cs="Calibri" w:eastAsia="Calibri" w:hAnsi="Calibri"/>
                <w:sz w:val="10"/>
                <w:szCs w:val="10"/>
                <w:color w:val="auto"/>
              </w:rPr>
              <w:t>Cash paid for operatng lease liabilites</w:t>
            </w:r>
          </w:p>
        </w:tc>
        <w:tc>
          <w:tcPr>
            <w:tcW w:w="880" w:type="dxa"/>
            <w:vAlign w:val="bottom"/>
            <w:tcBorders>
              <w:bottom w:val="single" w:sz="8" w:color="auto"/>
            </w:tcBorders>
            <w:shd w:val="clear" w:color="auto" w:fill="CFF0FC"/>
          </w:tcPr>
          <w:p>
            <w:pPr>
              <w:jc w:val="right"/>
              <w:ind w:right="770"/>
              <w:spacing w:after="0" w:line="113" w:lineRule="exact"/>
              <w:rPr>
                <w:sz w:val="20"/>
                <w:szCs w:val="20"/>
                <w:color w:val="auto"/>
              </w:rPr>
            </w:pPr>
            <w:r>
              <w:rPr>
                <w:rFonts w:ascii="Calibri" w:cs="Calibri" w:eastAsia="Calibri" w:hAnsi="Calibri"/>
                <w:sz w:val="10"/>
                <w:szCs w:val="10"/>
                <w:color w:val="auto"/>
                <w:w w:val="77"/>
              </w:rPr>
              <w:t>$</w:t>
            </w:r>
          </w:p>
        </w:tc>
        <w:tc>
          <w:tcPr>
            <w:tcW w:w="480" w:type="dxa"/>
            <w:vAlign w:val="bottom"/>
            <w:tcBorders>
              <w:bottom w:val="single" w:sz="8" w:color="auto"/>
            </w:tcBorders>
            <w:shd w:val="clear" w:color="auto" w:fill="CFF0FC"/>
          </w:tcPr>
          <w:p>
            <w:pPr>
              <w:jc w:val="right"/>
              <w:spacing w:after="0" w:line="113" w:lineRule="exact"/>
              <w:rPr>
                <w:sz w:val="20"/>
                <w:szCs w:val="20"/>
                <w:color w:val="auto"/>
              </w:rPr>
            </w:pPr>
            <w:r>
              <w:rPr>
                <w:rFonts w:ascii="Calibri" w:cs="Calibri" w:eastAsia="Calibri" w:hAnsi="Calibri"/>
                <w:sz w:val="10"/>
                <w:szCs w:val="10"/>
                <w:color w:val="auto"/>
              </w:rPr>
              <w:t>19,504</w:t>
            </w:r>
          </w:p>
        </w:tc>
        <w:tc>
          <w:tcPr>
            <w:tcW w:w="28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jc w:val="right"/>
              <w:spacing w:after="0" w:line="113" w:lineRule="exact"/>
              <w:rPr>
                <w:sz w:val="20"/>
                <w:szCs w:val="20"/>
                <w:color w:val="auto"/>
              </w:rPr>
            </w:pPr>
            <w:r>
              <w:rPr>
                <w:rFonts w:ascii="Calibri" w:cs="Calibri" w:eastAsia="Calibri" w:hAnsi="Calibri"/>
                <w:sz w:val="10"/>
                <w:szCs w:val="10"/>
                <w:color w:val="auto"/>
                <w:w w:val="77"/>
              </w:rPr>
              <w:t>$</w:t>
            </w:r>
          </w:p>
        </w:tc>
        <w:tc>
          <w:tcPr>
            <w:tcW w:w="1260" w:type="dxa"/>
            <w:vAlign w:val="bottom"/>
            <w:tcBorders>
              <w:bottom w:val="single" w:sz="8" w:color="auto"/>
            </w:tcBorders>
            <w:shd w:val="clear" w:color="auto" w:fill="CFF0FC"/>
          </w:tcPr>
          <w:p>
            <w:pPr>
              <w:jc w:val="right"/>
              <w:spacing w:after="0" w:line="113" w:lineRule="exact"/>
              <w:rPr>
                <w:sz w:val="20"/>
                <w:szCs w:val="20"/>
                <w:color w:val="auto"/>
              </w:rPr>
            </w:pPr>
            <w:r>
              <w:rPr>
                <w:rFonts w:ascii="Calibri" w:cs="Calibri" w:eastAsia="Calibri" w:hAnsi="Calibri"/>
                <w:sz w:val="10"/>
                <w:szCs w:val="10"/>
                <w:color w:val="auto"/>
              </w:rPr>
              <w:t>17,548</w:t>
            </w:r>
          </w:p>
        </w:tc>
        <w:tc>
          <w:tcPr>
            <w:tcW w:w="240" w:type="dxa"/>
            <w:vAlign w:val="bottom"/>
            <w:tcBorders>
              <w:bottom w:val="single" w:sz="8" w:color="CFF0FC"/>
            </w:tcBorders>
            <w:shd w:val="clear" w:color="auto" w:fill="CFF0FC"/>
          </w:tcPr>
          <w:p>
            <w:pPr>
              <w:spacing w:after="0"/>
              <w:rPr>
                <w:sz w:val="13"/>
                <w:szCs w:val="13"/>
                <w:color w:val="auto"/>
              </w:rPr>
            </w:pPr>
          </w:p>
        </w:tc>
        <w:tc>
          <w:tcPr>
            <w:tcW w:w="320" w:type="dxa"/>
            <w:vAlign w:val="bottom"/>
            <w:tcBorders>
              <w:bottom w:val="single" w:sz="8" w:color="auto"/>
            </w:tcBorders>
            <w:shd w:val="clear" w:color="auto" w:fill="CFF0FC"/>
          </w:tcPr>
          <w:p>
            <w:pPr>
              <w:jc w:val="right"/>
              <w:ind w:right="190"/>
              <w:spacing w:after="0" w:line="113" w:lineRule="exact"/>
              <w:rPr>
                <w:sz w:val="20"/>
                <w:szCs w:val="20"/>
                <w:color w:val="auto"/>
              </w:rPr>
            </w:pPr>
            <w:r>
              <w:rPr>
                <w:rFonts w:ascii="Calibri" w:cs="Calibri" w:eastAsia="Calibri" w:hAnsi="Calibri"/>
                <w:sz w:val="10"/>
                <w:szCs w:val="10"/>
                <w:color w:val="auto"/>
              </w:rPr>
              <w:t>$</w:t>
            </w:r>
          </w:p>
        </w:tc>
        <w:tc>
          <w:tcPr>
            <w:tcW w:w="1020" w:type="dxa"/>
            <w:vAlign w:val="bottom"/>
            <w:tcBorders>
              <w:bottom w:val="single" w:sz="8" w:color="auto"/>
            </w:tcBorders>
            <w:shd w:val="clear" w:color="auto" w:fill="CFF0FC"/>
          </w:tcPr>
          <w:p>
            <w:pPr>
              <w:jc w:val="right"/>
              <w:spacing w:after="0" w:line="113" w:lineRule="exact"/>
              <w:rPr>
                <w:sz w:val="20"/>
                <w:szCs w:val="20"/>
                <w:color w:val="auto"/>
              </w:rPr>
            </w:pPr>
            <w:r>
              <w:rPr>
                <w:rFonts w:ascii="Calibri" w:cs="Calibri" w:eastAsia="Calibri" w:hAnsi="Calibri"/>
                <w:sz w:val="10"/>
                <w:szCs w:val="10"/>
                <w:color w:val="auto"/>
              </w:rPr>
              <w:t>16,168</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6600" w:type="dxa"/>
            <w:vAlign w:val="bottom"/>
          </w:tcPr>
          <w:p>
            <w:pPr>
              <w:spacing w:after="0" w:line="113" w:lineRule="exact"/>
              <w:rPr>
                <w:sz w:val="20"/>
                <w:szCs w:val="20"/>
                <w:color w:val="auto"/>
              </w:rPr>
            </w:pPr>
            <w:r>
              <w:rPr>
                <w:rFonts w:ascii="Calibri" w:cs="Calibri" w:eastAsia="Calibri" w:hAnsi="Calibri"/>
                <w:sz w:val="10"/>
                <w:szCs w:val="10"/>
                <w:color w:val="auto"/>
              </w:rPr>
              <w:t>Cash paid for interest</w:t>
            </w:r>
          </w:p>
        </w:tc>
        <w:tc>
          <w:tcPr>
            <w:tcW w:w="880" w:type="dxa"/>
            <w:vAlign w:val="bottom"/>
          </w:tcPr>
          <w:p>
            <w:pPr>
              <w:jc w:val="right"/>
              <w:ind w:right="770"/>
              <w:spacing w:after="0" w:line="113" w:lineRule="exact"/>
              <w:rPr>
                <w:sz w:val="20"/>
                <w:szCs w:val="20"/>
                <w:color w:val="auto"/>
              </w:rPr>
            </w:pPr>
            <w:r>
              <w:rPr>
                <w:rFonts w:ascii="Calibri" w:cs="Calibri" w:eastAsia="Calibri" w:hAnsi="Calibri"/>
                <w:sz w:val="10"/>
                <w:szCs w:val="10"/>
                <w:color w:val="auto"/>
                <w:w w:val="77"/>
              </w:rPr>
              <w:t>$</w:t>
            </w:r>
          </w:p>
        </w:tc>
        <w:tc>
          <w:tcPr>
            <w:tcW w:w="480" w:type="dxa"/>
            <w:vAlign w:val="bottom"/>
          </w:tcPr>
          <w:p>
            <w:pPr>
              <w:jc w:val="right"/>
              <w:spacing w:after="0" w:line="113" w:lineRule="exact"/>
              <w:rPr>
                <w:sz w:val="20"/>
                <w:szCs w:val="20"/>
                <w:color w:val="auto"/>
              </w:rPr>
            </w:pPr>
            <w:r>
              <w:rPr>
                <w:rFonts w:ascii="Calibri" w:cs="Calibri" w:eastAsia="Calibri" w:hAnsi="Calibri"/>
                <w:sz w:val="10"/>
                <w:szCs w:val="10"/>
                <w:color w:val="auto"/>
              </w:rPr>
              <w:t>566</w:t>
            </w:r>
          </w:p>
        </w:tc>
        <w:tc>
          <w:tcPr>
            <w:tcW w:w="280" w:type="dxa"/>
            <w:vAlign w:val="bottom"/>
          </w:tcPr>
          <w:p>
            <w:pPr>
              <w:spacing w:after="0"/>
              <w:rPr>
                <w:sz w:val="9"/>
                <w:szCs w:val="9"/>
                <w:color w:val="auto"/>
              </w:rPr>
            </w:pPr>
          </w:p>
        </w:tc>
        <w:tc>
          <w:tcPr>
            <w:tcW w:w="80" w:type="dxa"/>
            <w:vAlign w:val="bottom"/>
          </w:tcPr>
          <w:p>
            <w:pPr>
              <w:jc w:val="right"/>
              <w:spacing w:after="0" w:line="113" w:lineRule="exact"/>
              <w:rPr>
                <w:sz w:val="20"/>
                <w:szCs w:val="20"/>
                <w:color w:val="auto"/>
              </w:rPr>
            </w:pPr>
            <w:r>
              <w:rPr>
                <w:rFonts w:ascii="Calibri" w:cs="Calibri" w:eastAsia="Calibri" w:hAnsi="Calibri"/>
                <w:sz w:val="10"/>
                <w:szCs w:val="10"/>
                <w:color w:val="auto"/>
                <w:w w:val="77"/>
              </w:rPr>
              <w:t>$</w:t>
            </w:r>
          </w:p>
        </w:tc>
        <w:tc>
          <w:tcPr>
            <w:tcW w:w="1260" w:type="dxa"/>
            <w:vAlign w:val="bottom"/>
          </w:tcPr>
          <w:p>
            <w:pPr>
              <w:jc w:val="right"/>
              <w:spacing w:after="0" w:line="113" w:lineRule="exact"/>
              <w:rPr>
                <w:sz w:val="20"/>
                <w:szCs w:val="20"/>
                <w:color w:val="auto"/>
              </w:rPr>
            </w:pPr>
            <w:r>
              <w:rPr>
                <w:rFonts w:ascii="Calibri" w:cs="Calibri" w:eastAsia="Calibri" w:hAnsi="Calibri"/>
                <w:sz w:val="10"/>
                <w:szCs w:val="10"/>
                <w:color w:val="auto"/>
              </w:rPr>
              <w:t>64</w:t>
            </w:r>
          </w:p>
        </w:tc>
        <w:tc>
          <w:tcPr>
            <w:tcW w:w="240" w:type="dxa"/>
            <w:vAlign w:val="bottom"/>
          </w:tcPr>
          <w:p>
            <w:pPr>
              <w:spacing w:after="0"/>
              <w:rPr>
                <w:sz w:val="9"/>
                <w:szCs w:val="9"/>
                <w:color w:val="auto"/>
              </w:rPr>
            </w:pPr>
          </w:p>
        </w:tc>
        <w:tc>
          <w:tcPr>
            <w:tcW w:w="320" w:type="dxa"/>
            <w:vAlign w:val="bottom"/>
          </w:tcPr>
          <w:p>
            <w:pPr>
              <w:jc w:val="right"/>
              <w:ind w:right="190"/>
              <w:spacing w:after="0" w:line="113" w:lineRule="exact"/>
              <w:rPr>
                <w:sz w:val="20"/>
                <w:szCs w:val="20"/>
                <w:color w:val="auto"/>
              </w:rPr>
            </w:pPr>
            <w:r>
              <w:rPr>
                <w:rFonts w:ascii="Calibri" w:cs="Calibri" w:eastAsia="Calibri" w:hAnsi="Calibri"/>
                <w:sz w:val="10"/>
                <w:szCs w:val="10"/>
                <w:color w:val="auto"/>
              </w:rPr>
              <w:t>$</w:t>
            </w:r>
          </w:p>
        </w:tc>
        <w:tc>
          <w:tcPr>
            <w:tcW w:w="1120" w:type="dxa"/>
            <w:vAlign w:val="bottom"/>
            <w:gridSpan w:val="2"/>
          </w:tcPr>
          <w:p>
            <w:pPr>
              <w:jc w:val="right"/>
              <w:ind w:right="120"/>
              <w:spacing w:after="0" w:line="113" w:lineRule="exact"/>
              <w:rPr>
                <w:sz w:val="20"/>
                <w:szCs w:val="20"/>
                <w:color w:val="auto"/>
              </w:rPr>
            </w:pPr>
            <w:r>
              <w:rPr>
                <w:rFonts w:ascii="Calibri" w:cs="Calibri" w:eastAsia="Calibri" w:hAnsi="Calibri"/>
                <w:sz w:val="10"/>
                <w:szCs w:val="10"/>
                <w:color w:val="auto"/>
              </w:rPr>
              <w:t>—</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6600" w:type="dxa"/>
            <w:vAlign w:val="bottom"/>
            <w:shd w:val="clear" w:color="auto" w:fill="CFF0FC"/>
          </w:tcPr>
          <w:p>
            <w:pPr>
              <w:spacing w:after="0" w:line="118" w:lineRule="exact"/>
              <w:rPr>
                <w:sz w:val="20"/>
                <w:szCs w:val="20"/>
                <w:color w:val="auto"/>
              </w:rPr>
            </w:pPr>
            <w:r>
              <w:rPr>
                <w:rFonts w:ascii="Calibri" w:cs="Calibri" w:eastAsia="Calibri" w:hAnsi="Calibri"/>
                <w:sz w:val="10"/>
                <w:szCs w:val="10"/>
                <w:b w:val="1"/>
                <w:bCs w:val="1"/>
                <w:color w:val="auto"/>
              </w:rPr>
              <w:t>Supplemental noncash disclosure of cash fow informaton:</w:t>
            </w:r>
          </w:p>
        </w:tc>
        <w:tc>
          <w:tcPr>
            <w:tcW w:w="8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6600" w:type="dxa"/>
            <w:vAlign w:val="bottom"/>
          </w:tcPr>
          <w:p>
            <w:pPr>
              <w:spacing w:after="0" w:line="112" w:lineRule="exact"/>
              <w:rPr>
                <w:sz w:val="20"/>
                <w:szCs w:val="20"/>
                <w:color w:val="auto"/>
              </w:rPr>
            </w:pPr>
            <w:r>
              <w:rPr>
                <w:rFonts w:ascii="Calibri" w:cs="Calibri" w:eastAsia="Calibri" w:hAnsi="Calibri"/>
                <w:sz w:val="10"/>
                <w:szCs w:val="10"/>
                <w:color w:val="auto"/>
              </w:rPr>
              <w:t>Unpaid purchases of property and equipment, capitalized website</w:t>
            </w:r>
          </w:p>
        </w:tc>
        <w:tc>
          <w:tcPr>
            <w:tcW w:w="880" w:type="dxa"/>
            <w:vAlign w:val="bottom"/>
            <w:vMerge w:val="restart"/>
          </w:tcPr>
          <w:p>
            <w:pPr>
              <w:jc w:val="right"/>
              <w:ind w:right="770"/>
              <w:spacing w:after="0"/>
              <w:rPr>
                <w:sz w:val="20"/>
                <w:szCs w:val="20"/>
                <w:color w:val="auto"/>
              </w:rPr>
            </w:pPr>
            <w:r>
              <w:rPr>
                <w:rFonts w:ascii="Calibri" w:cs="Calibri" w:eastAsia="Calibri" w:hAnsi="Calibri"/>
                <w:sz w:val="10"/>
                <w:szCs w:val="10"/>
                <w:color w:val="auto"/>
                <w:w w:val="77"/>
              </w:rPr>
              <w:t>$</w:t>
            </w:r>
          </w:p>
        </w:tc>
        <w:tc>
          <w:tcPr>
            <w:tcW w:w="480" w:type="dxa"/>
            <w:vAlign w:val="bottom"/>
            <w:vMerge w:val="restart"/>
          </w:tcPr>
          <w:p>
            <w:pPr>
              <w:jc w:val="right"/>
              <w:spacing w:after="0"/>
              <w:rPr>
                <w:sz w:val="20"/>
                <w:szCs w:val="20"/>
                <w:color w:val="auto"/>
              </w:rPr>
            </w:pPr>
            <w:r>
              <w:rPr>
                <w:rFonts w:ascii="Calibri" w:cs="Calibri" w:eastAsia="Calibri" w:hAnsi="Calibri"/>
                <w:sz w:val="10"/>
                <w:szCs w:val="10"/>
                <w:color w:val="auto"/>
              </w:rPr>
              <w:t>18,149</w:t>
            </w:r>
          </w:p>
        </w:tc>
        <w:tc>
          <w:tcPr>
            <w:tcW w:w="28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Calibri" w:cs="Calibri" w:eastAsia="Calibri" w:hAnsi="Calibri"/>
                <w:sz w:val="10"/>
                <w:szCs w:val="10"/>
                <w:color w:val="auto"/>
                <w:w w:val="77"/>
              </w:rPr>
              <w:t>$</w:t>
            </w:r>
          </w:p>
        </w:tc>
        <w:tc>
          <w:tcPr>
            <w:tcW w:w="1260" w:type="dxa"/>
            <w:vAlign w:val="bottom"/>
            <w:vMerge w:val="restart"/>
          </w:tcPr>
          <w:p>
            <w:pPr>
              <w:jc w:val="right"/>
              <w:spacing w:after="0"/>
              <w:rPr>
                <w:sz w:val="20"/>
                <w:szCs w:val="20"/>
                <w:color w:val="auto"/>
              </w:rPr>
            </w:pPr>
            <w:r>
              <w:rPr>
                <w:rFonts w:ascii="Calibri" w:cs="Calibri" w:eastAsia="Calibri" w:hAnsi="Calibri"/>
                <w:sz w:val="10"/>
                <w:szCs w:val="10"/>
                <w:color w:val="auto"/>
              </w:rPr>
              <w:t>1,927</w:t>
            </w:r>
          </w:p>
        </w:tc>
        <w:tc>
          <w:tcPr>
            <w:tcW w:w="240" w:type="dxa"/>
            <w:vAlign w:val="bottom"/>
          </w:tcPr>
          <w:p>
            <w:pPr>
              <w:spacing w:after="0"/>
              <w:rPr>
                <w:sz w:val="9"/>
                <w:szCs w:val="9"/>
                <w:color w:val="auto"/>
              </w:rPr>
            </w:pPr>
          </w:p>
        </w:tc>
        <w:tc>
          <w:tcPr>
            <w:tcW w:w="320" w:type="dxa"/>
            <w:vAlign w:val="bottom"/>
            <w:vMerge w:val="restart"/>
          </w:tcPr>
          <w:p>
            <w:pPr>
              <w:jc w:val="right"/>
              <w:ind w:right="190"/>
              <w:spacing w:after="0"/>
              <w:rPr>
                <w:sz w:val="20"/>
                <w:szCs w:val="20"/>
                <w:color w:val="auto"/>
              </w:rPr>
            </w:pPr>
            <w:r>
              <w:rPr>
                <w:rFonts w:ascii="Calibri" w:cs="Calibri" w:eastAsia="Calibri" w:hAnsi="Calibri"/>
                <w:sz w:val="10"/>
                <w:szCs w:val="10"/>
                <w:color w:val="auto"/>
              </w:rPr>
              <w:t>$</w:t>
            </w:r>
          </w:p>
        </w:tc>
        <w:tc>
          <w:tcPr>
            <w:tcW w:w="1020" w:type="dxa"/>
            <w:vAlign w:val="bottom"/>
            <w:vMerge w:val="restart"/>
          </w:tcPr>
          <w:p>
            <w:pPr>
              <w:jc w:val="right"/>
              <w:spacing w:after="0"/>
              <w:rPr>
                <w:sz w:val="20"/>
                <w:szCs w:val="20"/>
                <w:color w:val="auto"/>
              </w:rPr>
            </w:pPr>
            <w:r>
              <w:rPr>
                <w:rFonts w:ascii="Calibri" w:cs="Calibri" w:eastAsia="Calibri" w:hAnsi="Calibri"/>
                <w:sz w:val="10"/>
                <w:szCs w:val="10"/>
                <w:color w:val="auto"/>
              </w:rPr>
              <w:t>478</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6600" w:type="dxa"/>
            <w:vAlign w:val="bottom"/>
          </w:tcPr>
          <w:p>
            <w:pPr>
              <w:ind w:left="40"/>
              <w:spacing w:after="0" w:line="115" w:lineRule="exact"/>
              <w:rPr>
                <w:sz w:val="20"/>
                <w:szCs w:val="20"/>
                <w:color w:val="auto"/>
              </w:rPr>
            </w:pPr>
            <w:r>
              <w:rPr>
                <w:rFonts w:ascii="Calibri" w:cs="Calibri" w:eastAsia="Calibri" w:hAnsi="Calibri"/>
                <w:sz w:val="10"/>
                <w:szCs w:val="10"/>
                <w:color w:val="auto"/>
              </w:rPr>
              <w:t>development, capitalized internal-use sofware and capitalized</w:t>
            </w:r>
          </w:p>
        </w:tc>
        <w:tc>
          <w:tcPr>
            <w:tcW w:w="88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6600" w:type="dxa"/>
            <w:vAlign w:val="bottom"/>
          </w:tcPr>
          <w:p>
            <w:pPr>
              <w:ind w:left="40"/>
              <w:spacing w:after="0" w:line="106" w:lineRule="exact"/>
              <w:rPr>
                <w:sz w:val="20"/>
                <w:szCs w:val="20"/>
                <w:color w:val="auto"/>
              </w:rPr>
            </w:pPr>
            <w:r>
              <w:rPr>
                <w:rFonts w:ascii="Calibri" w:cs="Calibri" w:eastAsia="Calibri" w:hAnsi="Calibri"/>
                <w:sz w:val="10"/>
                <w:szCs w:val="10"/>
                <w:color w:val="auto"/>
              </w:rPr>
              <w:t>hostng arrangements</w:t>
            </w:r>
          </w:p>
        </w:tc>
        <w:tc>
          <w:tcPr>
            <w:tcW w:w="8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600" w:type="dxa"/>
            <w:vAlign w:val="bottom"/>
            <w:tcBorders>
              <w:bottom w:val="single" w:sz="8" w:color="CFF0FC"/>
            </w:tcBorders>
            <w:shd w:val="clear" w:color="auto" w:fill="CFF0FC"/>
          </w:tcPr>
          <w:p>
            <w:pPr>
              <w:spacing w:after="0" w:line="108" w:lineRule="exact"/>
              <w:rPr>
                <w:sz w:val="20"/>
                <w:szCs w:val="20"/>
                <w:color w:val="auto"/>
              </w:rPr>
            </w:pPr>
            <w:r>
              <w:rPr>
                <w:rFonts w:ascii="Calibri" w:cs="Calibri" w:eastAsia="Calibri" w:hAnsi="Calibri"/>
                <w:sz w:val="10"/>
                <w:szCs w:val="10"/>
                <w:color w:val="auto"/>
              </w:rPr>
              <w:t>Unpaid repurchases of common stock</w:t>
            </w:r>
          </w:p>
        </w:tc>
        <w:tc>
          <w:tcPr>
            <w:tcW w:w="880" w:type="dxa"/>
            <w:vAlign w:val="bottom"/>
            <w:tcBorders>
              <w:bottom w:val="single" w:sz="8" w:color="auto"/>
            </w:tcBorders>
            <w:shd w:val="clear" w:color="auto" w:fill="CFF0FC"/>
          </w:tcPr>
          <w:p>
            <w:pPr>
              <w:jc w:val="right"/>
              <w:ind w:right="770"/>
              <w:spacing w:after="0" w:line="108" w:lineRule="exact"/>
              <w:rPr>
                <w:sz w:val="20"/>
                <w:szCs w:val="20"/>
                <w:color w:val="auto"/>
              </w:rPr>
            </w:pPr>
            <w:r>
              <w:rPr>
                <w:rFonts w:ascii="Calibri" w:cs="Calibri" w:eastAsia="Calibri" w:hAnsi="Calibri"/>
                <w:sz w:val="10"/>
                <w:szCs w:val="10"/>
                <w:color w:val="auto"/>
                <w:w w:val="77"/>
              </w:rPr>
              <w:t>$</w:t>
            </w:r>
          </w:p>
        </w:tc>
        <w:tc>
          <w:tcPr>
            <w:tcW w:w="480" w:type="dxa"/>
            <w:vAlign w:val="bottom"/>
            <w:tcBorders>
              <w:bottom w:val="single" w:sz="8" w:color="auto"/>
            </w:tcBorders>
            <w:shd w:val="clear" w:color="auto" w:fill="CFF0FC"/>
          </w:tcPr>
          <w:p>
            <w:pPr>
              <w:jc w:val="right"/>
              <w:spacing w:after="0" w:line="108" w:lineRule="exact"/>
              <w:rPr>
                <w:sz w:val="20"/>
                <w:szCs w:val="20"/>
                <w:color w:val="auto"/>
              </w:rPr>
            </w:pPr>
            <w:r>
              <w:rPr>
                <w:rFonts w:ascii="Calibri" w:cs="Calibri" w:eastAsia="Calibri" w:hAnsi="Calibri"/>
                <w:sz w:val="10"/>
                <w:szCs w:val="10"/>
                <w:color w:val="auto"/>
              </w:rPr>
              <w:t>—</w:t>
            </w:r>
          </w:p>
        </w:tc>
        <w:tc>
          <w:tcPr>
            <w:tcW w:w="28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jc w:val="right"/>
              <w:spacing w:after="0" w:line="108" w:lineRule="exact"/>
              <w:rPr>
                <w:sz w:val="20"/>
                <w:szCs w:val="20"/>
                <w:color w:val="auto"/>
              </w:rPr>
            </w:pPr>
            <w:r>
              <w:rPr>
                <w:rFonts w:ascii="Calibri" w:cs="Calibri" w:eastAsia="Calibri" w:hAnsi="Calibri"/>
                <w:sz w:val="10"/>
                <w:szCs w:val="10"/>
                <w:color w:val="auto"/>
                <w:w w:val="77"/>
              </w:rPr>
              <w:t>$</w:t>
            </w:r>
          </w:p>
        </w:tc>
        <w:tc>
          <w:tcPr>
            <w:tcW w:w="1260" w:type="dxa"/>
            <w:vAlign w:val="bottom"/>
            <w:tcBorders>
              <w:bottom w:val="single" w:sz="8" w:color="auto"/>
            </w:tcBorders>
            <w:shd w:val="clear" w:color="auto" w:fill="CFF0FC"/>
          </w:tcPr>
          <w:p>
            <w:pPr>
              <w:jc w:val="right"/>
              <w:spacing w:after="0" w:line="108" w:lineRule="exact"/>
              <w:rPr>
                <w:sz w:val="20"/>
                <w:szCs w:val="20"/>
                <w:color w:val="auto"/>
              </w:rPr>
            </w:pPr>
            <w:r>
              <w:rPr>
                <w:rFonts w:ascii="Calibri" w:cs="Calibri" w:eastAsia="Calibri" w:hAnsi="Calibri"/>
                <w:sz w:val="10"/>
                <w:szCs w:val="10"/>
                <w:color w:val="auto"/>
              </w:rPr>
              <w:t>4,289</w:t>
            </w:r>
          </w:p>
        </w:tc>
        <w:tc>
          <w:tcPr>
            <w:tcW w:w="240" w:type="dxa"/>
            <w:vAlign w:val="bottom"/>
            <w:tcBorders>
              <w:bottom w:val="single" w:sz="8" w:color="CFF0FC"/>
            </w:tcBorders>
            <w:shd w:val="clear" w:color="auto" w:fill="CFF0FC"/>
          </w:tcPr>
          <w:p>
            <w:pPr>
              <w:spacing w:after="0"/>
              <w:rPr>
                <w:sz w:val="12"/>
                <w:szCs w:val="12"/>
                <w:color w:val="auto"/>
              </w:rPr>
            </w:pPr>
          </w:p>
        </w:tc>
        <w:tc>
          <w:tcPr>
            <w:tcW w:w="320" w:type="dxa"/>
            <w:vAlign w:val="bottom"/>
            <w:tcBorders>
              <w:bottom w:val="single" w:sz="8" w:color="auto"/>
            </w:tcBorders>
            <w:shd w:val="clear" w:color="auto" w:fill="CFF0FC"/>
          </w:tcPr>
          <w:p>
            <w:pPr>
              <w:jc w:val="right"/>
              <w:ind w:right="190"/>
              <w:spacing w:after="0" w:line="108" w:lineRule="exact"/>
              <w:rPr>
                <w:sz w:val="20"/>
                <w:szCs w:val="20"/>
                <w:color w:val="auto"/>
              </w:rPr>
            </w:pPr>
            <w:r>
              <w:rPr>
                <w:rFonts w:ascii="Calibri" w:cs="Calibri" w:eastAsia="Calibri" w:hAnsi="Calibri"/>
                <w:sz w:val="10"/>
                <w:szCs w:val="10"/>
                <w:color w:val="auto"/>
              </w:rPr>
              <w:t>$</w:t>
            </w:r>
          </w:p>
        </w:tc>
        <w:tc>
          <w:tcPr>
            <w:tcW w:w="1020" w:type="dxa"/>
            <w:vAlign w:val="bottom"/>
            <w:tcBorders>
              <w:bottom w:val="single" w:sz="8" w:color="auto"/>
            </w:tcBorders>
            <w:shd w:val="clear" w:color="auto" w:fill="CFF0FC"/>
          </w:tcPr>
          <w:p>
            <w:pPr>
              <w:jc w:val="right"/>
              <w:spacing w:after="0" w:line="108" w:lineRule="exact"/>
              <w:rPr>
                <w:sz w:val="20"/>
                <w:szCs w:val="20"/>
                <w:color w:val="auto"/>
              </w:rPr>
            </w:pPr>
            <w:r>
              <w:rPr>
                <w:rFonts w:ascii="Calibri" w:cs="Calibri" w:eastAsia="Calibri" w:hAnsi="Calibri"/>
                <w:sz w:val="10"/>
                <w:szCs w:val="10"/>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6600" w:type="dxa"/>
            <w:vAlign w:val="bottom"/>
          </w:tcPr>
          <w:p>
            <w:pPr>
              <w:spacing w:after="0" w:line="113" w:lineRule="exact"/>
              <w:rPr>
                <w:sz w:val="20"/>
                <w:szCs w:val="20"/>
                <w:color w:val="auto"/>
              </w:rPr>
            </w:pPr>
            <w:r>
              <w:rPr>
                <w:rFonts w:ascii="Calibri" w:cs="Calibri" w:eastAsia="Calibri" w:hAnsi="Calibri"/>
                <w:sz w:val="10"/>
                <w:szCs w:val="10"/>
                <w:color w:val="auto"/>
              </w:rPr>
              <w:t>Unpaid excise tax on repurchases of shares</w:t>
            </w:r>
          </w:p>
        </w:tc>
        <w:tc>
          <w:tcPr>
            <w:tcW w:w="880" w:type="dxa"/>
            <w:vAlign w:val="bottom"/>
          </w:tcPr>
          <w:p>
            <w:pPr>
              <w:jc w:val="right"/>
              <w:ind w:right="770"/>
              <w:spacing w:after="0" w:line="113" w:lineRule="exact"/>
              <w:rPr>
                <w:sz w:val="20"/>
                <w:szCs w:val="20"/>
                <w:color w:val="auto"/>
              </w:rPr>
            </w:pPr>
            <w:r>
              <w:rPr>
                <w:rFonts w:ascii="Calibri" w:cs="Calibri" w:eastAsia="Calibri" w:hAnsi="Calibri"/>
                <w:sz w:val="10"/>
                <w:szCs w:val="10"/>
                <w:color w:val="auto"/>
                <w:w w:val="77"/>
              </w:rPr>
              <w:t>$</w:t>
            </w:r>
          </w:p>
        </w:tc>
        <w:tc>
          <w:tcPr>
            <w:tcW w:w="480" w:type="dxa"/>
            <w:vAlign w:val="bottom"/>
          </w:tcPr>
          <w:p>
            <w:pPr>
              <w:jc w:val="right"/>
              <w:spacing w:after="0" w:line="113" w:lineRule="exact"/>
              <w:rPr>
                <w:sz w:val="20"/>
                <w:szCs w:val="20"/>
                <w:color w:val="auto"/>
              </w:rPr>
            </w:pPr>
            <w:r>
              <w:rPr>
                <w:rFonts w:ascii="Calibri" w:cs="Calibri" w:eastAsia="Calibri" w:hAnsi="Calibri"/>
                <w:sz w:val="10"/>
                <w:szCs w:val="10"/>
                <w:color w:val="auto"/>
              </w:rPr>
              <w:t>1,584</w:t>
            </w:r>
          </w:p>
        </w:tc>
        <w:tc>
          <w:tcPr>
            <w:tcW w:w="280" w:type="dxa"/>
            <w:vAlign w:val="bottom"/>
          </w:tcPr>
          <w:p>
            <w:pPr>
              <w:spacing w:after="0"/>
              <w:rPr>
                <w:sz w:val="9"/>
                <w:szCs w:val="9"/>
                <w:color w:val="auto"/>
              </w:rPr>
            </w:pPr>
          </w:p>
        </w:tc>
        <w:tc>
          <w:tcPr>
            <w:tcW w:w="80" w:type="dxa"/>
            <w:vAlign w:val="bottom"/>
          </w:tcPr>
          <w:p>
            <w:pPr>
              <w:jc w:val="right"/>
              <w:spacing w:after="0" w:line="113" w:lineRule="exact"/>
              <w:rPr>
                <w:sz w:val="20"/>
                <w:szCs w:val="20"/>
                <w:color w:val="auto"/>
              </w:rPr>
            </w:pPr>
            <w:r>
              <w:rPr>
                <w:rFonts w:ascii="Calibri" w:cs="Calibri" w:eastAsia="Calibri" w:hAnsi="Calibri"/>
                <w:sz w:val="10"/>
                <w:szCs w:val="10"/>
                <w:color w:val="auto"/>
                <w:w w:val="77"/>
              </w:rPr>
              <w:t>$</w:t>
            </w:r>
          </w:p>
        </w:tc>
        <w:tc>
          <w:tcPr>
            <w:tcW w:w="1500" w:type="dxa"/>
            <w:vAlign w:val="bottom"/>
            <w:gridSpan w:val="2"/>
          </w:tcPr>
          <w:p>
            <w:pPr>
              <w:jc w:val="right"/>
              <w:ind w:right="260"/>
              <w:spacing w:after="0" w:line="113" w:lineRule="exact"/>
              <w:rPr>
                <w:sz w:val="20"/>
                <w:szCs w:val="20"/>
                <w:color w:val="auto"/>
              </w:rPr>
            </w:pPr>
            <w:r>
              <w:rPr>
                <w:rFonts w:ascii="Calibri" w:cs="Calibri" w:eastAsia="Calibri" w:hAnsi="Calibri"/>
                <w:sz w:val="10"/>
                <w:szCs w:val="10"/>
                <w:color w:val="auto"/>
              </w:rPr>
              <w:t>—</w:t>
            </w:r>
          </w:p>
        </w:tc>
        <w:tc>
          <w:tcPr>
            <w:tcW w:w="320" w:type="dxa"/>
            <w:vAlign w:val="bottom"/>
          </w:tcPr>
          <w:p>
            <w:pPr>
              <w:jc w:val="right"/>
              <w:ind w:right="190"/>
              <w:spacing w:after="0" w:line="113" w:lineRule="exact"/>
              <w:rPr>
                <w:sz w:val="20"/>
                <w:szCs w:val="20"/>
                <w:color w:val="auto"/>
              </w:rPr>
            </w:pPr>
            <w:r>
              <w:rPr>
                <w:rFonts w:ascii="Calibri" w:cs="Calibri" w:eastAsia="Calibri" w:hAnsi="Calibri"/>
                <w:sz w:val="10"/>
                <w:szCs w:val="10"/>
                <w:color w:val="auto"/>
              </w:rPr>
              <w:t>$</w:t>
            </w:r>
          </w:p>
        </w:tc>
        <w:tc>
          <w:tcPr>
            <w:tcW w:w="1120" w:type="dxa"/>
            <w:vAlign w:val="bottom"/>
            <w:gridSpan w:val="2"/>
          </w:tcPr>
          <w:p>
            <w:pPr>
              <w:jc w:val="right"/>
              <w:ind w:right="120"/>
              <w:spacing w:after="0" w:line="113" w:lineRule="exact"/>
              <w:rPr>
                <w:sz w:val="20"/>
                <w:szCs w:val="20"/>
                <w:color w:val="auto"/>
              </w:rPr>
            </w:pPr>
            <w:r>
              <w:rPr>
                <w:rFonts w:ascii="Calibri" w:cs="Calibri" w:eastAsia="Calibri" w:hAnsi="Calibri"/>
                <w:sz w:val="10"/>
                <w:szCs w:val="10"/>
                <w:color w:val="auto"/>
              </w:rPr>
              <w:t>—</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6600" w:type="dxa"/>
            <w:vAlign w:val="bottom"/>
            <w:shd w:val="clear" w:color="auto" w:fill="CFF0FC"/>
          </w:tcPr>
          <w:p>
            <w:pPr>
              <w:spacing w:after="0" w:line="99" w:lineRule="exact"/>
              <w:rPr>
                <w:sz w:val="20"/>
                <w:szCs w:val="20"/>
                <w:color w:val="auto"/>
              </w:rPr>
            </w:pPr>
            <w:r>
              <w:rPr>
                <w:rFonts w:ascii="Calibri" w:cs="Calibri" w:eastAsia="Calibri" w:hAnsi="Calibri"/>
                <w:sz w:val="10"/>
                <w:szCs w:val="10"/>
                <w:color w:val="auto"/>
              </w:rPr>
              <w:t>Capitalized stock-based compensaton expense in website development and</w:t>
            </w:r>
          </w:p>
        </w:tc>
        <w:tc>
          <w:tcPr>
            <w:tcW w:w="880" w:type="dxa"/>
            <w:vAlign w:val="bottom"/>
            <w:vMerge w:val="restart"/>
            <w:shd w:val="clear" w:color="auto" w:fill="CFF0FC"/>
          </w:tcPr>
          <w:p>
            <w:pPr>
              <w:jc w:val="right"/>
              <w:ind w:right="770"/>
              <w:spacing w:after="0"/>
              <w:rPr>
                <w:sz w:val="20"/>
                <w:szCs w:val="20"/>
                <w:color w:val="auto"/>
              </w:rPr>
            </w:pPr>
            <w:r>
              <w:rPr>
                <w:rFonts w:ascii="Calibri" w:cs="Calibri" w:eastAsia="Calibri" w:hAnsi="Calibri"/>
                <w:sz w:val="10"/>
                <w:szCs w:val="10"/>
                <w:color w:val="auto"/>
                <w:w w:val="77"/>
              </w:rPr>
              <w:t>$</w:t>
            </w:r>
          </w:p>
        </w:tc>
        <w:tc>
          <w:tcPr>
            <w:tcW w:w="480" w:type="dxa"/>
            <w:vAlign w:val="bottom"/>
            <w:vMerge w:val="restart"/>
            <w:shd w:val="clear" w:color="auto" w:fill="CFF0FC"/>
          </w:tcPr>
          <w:p>
            <w:pPr>
              <w:jc w:val="right"/>
              <w:spacing w:after="0"/>
              <w:rPr>
                <w:sz w:val="20"/>
                <w:szCs w:val="20"/>
                <w:color w:val="auto"/>
              </w:rPr>
            </w:pPr>
            <w:r>
              <w:rPr>
                <w:rFonts w:ascii="Calibri" w:cs="Calibri" w:eastAsia="Calibri" w:hAnsi="Calibri"/>
                <w:sz w:val="10"/>
                <w:szCs w:val="10"/>
                <w:color w:val="auto"/>
              </w:rPr>
              <w:t>5,472</w:t>
            </w:r>
          </w:p>
        </w:tc>
        <w:tc>
          <w:tcPr>
            <w:tcW w:w="280" w:type="dxa"/>
            <w:vAlign w:val="bottom"/>
            <w:shd w:val="clear" w:color="auto" w:fill="CFF0FC"/>
          </w:tcPr>
          <w:p>
            <w:pPr>
              <w:spacing w:after="0"/>
              <w:rPr>
                <w:sz w:val="8"/>
                <w:szCs w:val="8"/>
                <w:color w:val="auto"/>
              </w:rPr>
            </w:pPr>
          </w:p>
        </w:tc>
        <w:tc>
          <w:tcPr>
            <w:tcW w:w="80" w:type="dxa"/>
            <w:vAlign w:val="bottom"/>
            <w:vMerge w:val="restart"/>
            <w:shd w:val="clear" w:color="auto" w:fill="CFF0FC"/>
          </w:tcPr>
          <w:p>
            <w:pPr>
              <w:jc w:val="right"/>
              <w:spacing w:after="0"/>
              <w:rPr>
                <w:sz w:val="20"/>
                <w:szCs w:val="20"/>
                <w:color w:val="auto"/>
              </w:rPr>
            </w:pPr>
            <w:r>
              <w:rPr>
                <w:rFonts w:ascii="Calibri" w:cs="Calibri" w:eastAsia="Calibri" w:hAnsi="Calibri"/>
                <w:sz w:val="10"/>
                <w:szCs w:val="10"/>
                <w:color w:val="auto"/>
                <w:w w:val="77"/>
              </w:rPr>
              <w:t>$</w:t>
            </w:r>
          </w:p>
        </w:tc>
        <w:tc>
          <w:tcPr>
            <w:tcW w:w="1260" w:type="dxa"/>
            <w:vAlign w:val="bottom"/>
            <w:vMerge w:val="restart"/>
            <w:shd w:val="clear" w:color="auto" w:fill="CFF0FC"/>
          </w:tcPr>
          <w:p>
            <w:pPr>
              <w:jc w:val="right"/>
              <w:spacing w:after="0"/>
              <w:rPr>
                <w:sz w:val="20"/>
                <w:szCs w:val="20"/>
                <w:color w:val="auto"/>
              </w:rPr>
            </w:pPr>
            <w:r>
              <w:rPr>
                <w:rFonts w:ascii="Calibri" w:cs="Calibri" w:eastAsia="Calibri" w:hAnsi="Calibri"/>
                <w:sz w:val="10"/>
                <w:szCs w:val="10"/>
                <w:color w:val="auto"/>
              </w:rPr>
              <w:t>4,468</w:t>
            </w:r>
          </w:p>
        </w:tc>
        <w:tc>
          <w:tcPr>
            <w:tcW w:w="240" w:type="dxa"/>
            <w:vAlign w:val="bottom"/>
            <w:shd w:val="clear" w:color="auto" w:fill="CFF0FC"/>
          </w:tcPr>
          <w:p>
            <w:pPr>
              <w:spacing w:after="0"/>
              <w:rPr>
                <w:sz w:val="8"/>
                <w:szCs w:val="8"/>
                <w:color w:val="auto"/>
              </w:rPr>
            </w:pPr>
          </w:p>
        </w:tc>
        <w:tc>
          <w:tcPr>
            <w:tcW w:w="320" w:type="dxa"/>
            <w:vAlign w:val="bottom"/>
            <w:vMerge w:val="restart"/>
            <w:shd w:val="clear" w:color="auto" w:fill="CFF0FC"/>
          </w:tcPr>
          <w:p>
            <w:pPr>
              <w:jc w:val="right"/>
              <w:ind w:right="190"/>
              <w:spacing w:after="0"/>
              <w:rPr>
                <w:sz w:val="20"/>
                <w:szCs w:val="20"/>
                <w:color w:val="auto"/>
              </w:rPr>
            </w:pPr>
            <w:r>
              <w:rPr>
                <w:rFonts w:ascii="Calibri" w:cs="Calibri" w:eastAsia="Calibri" w:hAnsi="Calibri"/>
                <w:sz w:val="10"/>
                <w:szCs w:val="10"/>
                <w:color w:val="auto"/>
              </w:rPr>
              <w:t>$</w:t>
            </w:r>
          </w:p>
        </w:tc>
        <w:tc>
          <w:tcPr>
            <w:tcW w:w="1020" w:type="dxa"/>
            <w:vAlign w:val="bottom"/>
            <w:vMerge w:val="restart"/>
            <w:shd w:val="clear" w:color="auto" w:fill="CFF0FC"/>
          </w:tcPr>
          <w:p>
            <w:pPr>
              <w:jc w:val="right"/>
              <w:spacing w:after="0"/>
              <w:rPr>
                <w:sz w:val="20"/>
                <w:szCs w:val="20"/>
                <w:color w:val="auto"/>
              </w:rPr>
            </w:pPr>
            <w:r>
              <w:rPr>
                <w:rFonts w:ascii="Calibri" w:cs="Calibri" w:eastAsia="Calibri" w:hAnsi="Calibri"/>
                <w:sz w:val="10"/>
                <w:szCs w:val="10"/>
                <w:color w:val="auto"/>
              </w:rPr>
              <w:t>3,247</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32"/>
        </w:trPr>
        <w:tc>
          <w:tcPr>
            <w:tcW w:w="6600" w:type="dxa"/>
            <w:vAlign w:val="bottom"/>
            <w:vMerge w:val="restart"/>
            <w:shd w:val="clear" w:color="auto" w:fill="CFF0FC"/>
          </w:tcPr>
          <w:p>
            <w:pPr>
              <w:ind w:left="40"/>
              <w:spacing w:after="0" w:line="100" w:lineRule="exact"/>
              <w:rPr>
                <w:sz w:val="20"/>
                <w:szCs w:val="20"/>
                <w:color w:val="auto"/>
              </w:rPr>
            </w:pPr>
            <w:r>
              <w:rPr>
                <w:rFonts w:ascii="Calibri" w:cs="Calibri" w:eastAsia="Calibri" w:hAnsi="Calibri"/>
                <w:sz w:val="10"/>
                <w:szCs w:val="10"/>
                <w:color w:val="auto"/>
              </w:rPr>
              <w:t>internal-use sofware costs and hostng arrangements</w:t>
            </w:r>
          </w:p>
        </w:tc>
        <w:tc>
          <w:tcPr>
            <w:tcW w:w="880" w:type="dxa"/>
            <w:vAlign w:val="bottom"/>
            <w:vMerge w:val="continue"/>
            <w:shd w:val="clear" w:color="auto" w:fill="CFF0FC"/>
          </w:tcPr>
          <w:p>
            <w:pPr>
              <w:spacing w:after="0"/>
              <w:rPr>
                <w:sz w:val="2"/>
                <w:szCs w:val="2"/>
                <w:color w:val="auto"/>
              </w:rPr>
            </w:pPr>
          </w:p>
        </w:tc>
        <w:tc>
          <w:tcPr>
            <w:tcW w:w="480" w:type="dxa"/>
            <w:vAlign w:val="bottom"/>
            <w:vMerge w:val="continue"/>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80" w:type="dxa"/>
            <w:vAlign w:val="bottom"/>
            <w:vMerge w:val="continue"/>
            <w:shd w:val="clear" w:color="auto" w:fill="CFF0FC"/>
          </w:tcPr>
          <w:p>
            <w:pPr>
              <w:spacing w:after="0"/>
              <w:rPr>
                <w:sz w:val="2"/>
                <w:szCs w:val="2"/>
                <w:color w:val="auto"/>
              </w:rPr>
            </w:pPr>
          </w:p>
        </w:tc>
        <w:tc>
          <w:tcPr>
            <w:tcW w:w="1260" w:type="dxa"/>
            <w:vAlign w:val="bottom"/>
            <w:vMerge w:val="continue"/>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320" w:type="dxa"/>
            <w:vAlign w:val="bottom"/>
            <w:vMerge w:val="continue"/>
            <w:shd w:val="clear" w:color="auto" w:fill="CFF0FC"/>
          </w:tcPr>
          <w:p>
            <w:pPr>
              <w:spacing w:after="0"/>
              <w:rPr>
                <w:sz w:val="2"/>
                <w:szCs w:val="2"/>
                <w:color w:val="auto"/>
              </w:rPr>
            </w:pPr>
          </w:p>
        </w:tc>
        <w:tc>
          <w:tcPr>
            <w:tcW w:w="1020" w:type="dxa"/>
            <w:vAlign w:val="bottom"/>
            <w:vMerge w:val="continue"/>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6600" w:type="dxa"/>
            <w:vAlign w:val="bottom"/>
            <w:tcBorders>
              <w:bottom w:val="single" w:sz="8" w:color="CFF0FC"/>
            </w:tcBorders>
            <w:vMerge w:val="continue"/>
            <w:shd w:val="clear" w:color="auto" w:fill="CFF0FC"/>
          </w:tcPr>
          <w:p>
            <w:pPr>
              <w:spacing w:after="0"/>
              <w:rPr>
                <w:sz w:val="9"/>
                <w:szCs w:val="9"/>
                <w:color w:val="auto"/>
              </w:rPr>
            </w:pPr>
          </w:p>
        </w:tc>
        <w:tc>
          <w:tcPr>
            <w:tcW w:w="880" w:type="dxa"/>
            <w:vAlign w:val="bottom"/>
            <w:tcBorders>
              <w:bottom w:val="single" w:sz="8" w:color="auto"/>
            </w:tcBorders>
            <w:shd w:val="clear" w:color="auto" w:fill="CFF0FC"/>
          </w:tcPr>
          <w:p>
            <w:pPr>
              <w:spacing w:after="0"/>
              <w:rPr>
                <w:sz w:val="9"/>
                <w:szCs w:val="9"/>
                <w:color w:val="auto"/>
              </w:rPr>
            </w:pPr>
          </w:p>
        </w:tc>
        <w:tc>
          <w:tcPr>
            <w:tcW w:w="480" w:type="dxa"/>
            <w:vAlign w:val="bottom"/>
            <w:tcBorders>
              <w:bottom w:val="single" w:sz="8" w:color="auto"/>
            </w:tcBorders>
            <w:shd w:val="clear" w:color="auto" w:fill="CFF0FC"/>
          </w:tcPr>
          <w:p>
            <w:pPr>
              <w:spacing w:after="0"/>
              <w:rPr>
                <w:sz w:val="9"/>
                <w:szCs w:val="9"/>
                <w:color w:val="auto"/>
              </w:rPr>
            </w:pPr>
          </w:p>
        </w:tc>
        <w:tc>
          <w:tcPr>
            <w:tcW w:w="280" w:type="dxa"/>
            <w:vAlign w:val="bottom"/>
            <w:tcBorders>
              <w:bottom w:val="single" w:sz="8" w:color="CFF0FC"/>
            </w:tcBorders>
            <w:shd w:val="clear" w:color="auto" w:fill="CFF0FC"/>
          </w:tcPr>
          <w:p>
            <w:pPr>
              <w:spacing w:after="0"/>
              <w:rPr>
                <w:sz w:val="9"/>
                <w:szCs w:val="9"/>
                <w:color w:val="auto"/>
              </w:rPr>
            </w:pPr>
          </w:p>
        </w:tc>
        <w:tc>
          <w:tcPr>
            <w:tcW w:w="80" w:type="dxa"/>
            <w:vAlign w:val="bottom"/>
            <w:tcBorders>
              <w:bottom w:val="single" w:sz="8" w:color="auto"/>
            </w:tcBorders>
            <w:shd w:val="clear" w:color="auto" w:fill="CFF0FC"/>
          </w:tcPr>
          <w:p>
            <w:pPr>
              <w:spacing w:after="0"/>
              <w:rPr>
                <w:sz w:val="9"/>
                <w:szCs w:val="9"/>
                <w:color w:val="auto"/>
              </w:rPr>
            </w:pPr>
          </w:p>
        </w:tc>
        <w:tc>
          <w:tcPr>
            <w:tcW w:w="1260" w:type="dxa"/>
            <w:vAlign w:val="bottom"/>
            <w:tcBorders>
              <w:bottom w:val="single" w:sz="8" w:color="auto"/>
            </w:tcBorders>
            <w:shd w:val="clear" w:color="auto" w:fill="CFF0FC"/>
          </w:tcPr>
          <w:p>
            <w:pPr>
              <w:spacing w:after="0"/>
              <w:rPr>
                <w:sz w:val="9"/>
                <w:szCs w:val="9"/>
                <w:color w:val="auto"/>
              </w:rPr>
            </w:pPr>
          </w:p>
        </w:tc>
        <w:tc>
          <w:tcPr>
            <w:tcW w:w="240" w:type="dxa"/>
            <w:vAlign w:val="bottom"/>
            <w:tcBorders>
              <w:bottom w:val="single" w:sz="8" w:color="CFF0FC"/>
            </w:tcBorders>
            <w:shd w:val="clear" w:color="auto" w:fill="CFF0FC"/>
          </w:tcPr>
          <w:p>
            <w:pPr>
              <w:spacing w:after="0"/>
              <w:rPr>
                <w:sz w:val="9"/>
                <w:szCs w:val="9"/>
                <w:color w:val="auto"/>
              </w:rPr>
            </w:pPr>
          </w:p>
        </w:tc>
        <w:tc>
          <w:tcPr>
            <w:tcW w:w="320" w:type="dxa"/>
            <w:vAlign w:val="bottom"/>
            <w:tcBorders>
              <w:bottom w:val="single" w:sz="8" w:color="auto"/>
            </w:tcBorders>
            <w:shd w:val="clear" w:color="auto" w:fill="CFF0FC"/>
          </w:tcPr>
          <w:p>
            <w:pPr>
              <w:spacing w:after="0"/>
              <w:rPr>
                <w:sz w:val="9"/>
                <w:szCs w:val="9"/>
                <w:color w:val="auto"/>
              </w:rPr>
            </w:pPr>
          </w:p>
        </w:tc>
        <w:tc>
          <w:tcPr>
            <w:tcW w:w="1020" w:type="dxa"/>
            <w:vAlign w:val="bottom"/>
            <w:tcBorders>
              <w:bottom w:val="single" w:sz="8" w:color="auto"/>
            </w:tcBorders>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6600" w:type="dxa"/>
            <w:vAlign w:val="bottom"/>
          </w:tcPr>
          <w:p>
            <w:pPr>
              <w:spacing w:after="0" w:line="108" w:lineRule="exact"/>
              <w:rPr>
                <w:sz w:val="20"/>
                <w:szCs w:val="20"/>
                <w:color w:val="auto"/>
              </w:rPr>
            </w:pPr>
            <w:r>
              <w:rPr>
                <w:rFonts w:ascii="Calibri" w:cs="Calibri" w:eastAsia="Calibri" w:hAnsi="Calibri"/>
                <w:sz w:val="10"/>
                <w:szCs w:val="10"/>
                <w:color w:val="auto"/>
              </w:rPr>
              <w:t>Obtaining a right-of-use asset in exchange for a fnance lease liability</w:t>
            </w:r>
          </w:p>
        </w:tc>
        <w:tc>
          <w:tcPr>
            <w:tcW w:w="880" w:type="dxa"/>
            <w:vAlign w:val="bottom"/>
          </w:tcPr>
          <w:p>
            <w:pPr>
              <w:jc w:val="right"/>
              <w:ind w:right="770"/>
              <w:spacing w:after="0" w:line="108" w:lineRule="exact"/>
              <w:rPr>
                <w:sz w:val="20"/>
                <w:szCs w:val="20"/>
                <w:color w:val="auto"/>
              </w:rPr>
            </w:pPr>
            <w:r>
              <w:rPr>
                <w:rFonts w:ascii="Calibri" w:cs="Calibri" w:eastAsia="Calibri" w:hAnsi="Calibri"/>
                <w:sz w:val="10"/>
                <w:szCs w:val="10"/>
                <w:color w:val="auto"/>
                <w:w w:val="77"/>
              </w:rPr>
              <w:t>$</w:t>
            </w:r>
          </w:p>
        </w:tc>
        <w:tc>
          <w:tcPr>
            <w:tcW w:w="760" w:type="dxa"/>
            <w:vAlign w:val="bottom"/>
            <w:gridSpan w:val="2"/>
          </w:tcPr>
          <w:p>
            <w:pPr>
              <w:jc w:val="right"/>
              <w:ind w:right="300"/>
              <w:spacing w:after="0" w:line="108" w:lineRule="exact"/>
              <w:rPr>
                <w:sz w:val="20"/>
                <w:szCs w:val="20"/>
                <w:color w:val="auto"/>
              </w:rPr>
            </w:pPr>
            <w:r>
              <w:rPr>
                <w:rFonts w:ascii="Calibri" w:cs="Calibri" w:eastAsia="Calibri" w:hAnsi="Calibri"/>
                <w:sz w:val="10"/>
                <w:szCs w:val="10"/>
                <w:color w:val="auto"/>
              </w:rPr>
              <w:t>—</w:t>
            </w:r>
          </w:p>
        </w:tc>
        <w:tc>
          <w:tcPr>
            <w:tcW w:w="80" w:type="dxa"/>
            <w:vAlign w:val="bottom"/>
          </w:tcPr>
          <w:p>
            <w:pPr>
              <w:jc w:val="right"/>
              <w:spacing w:after="0" w:line="108" w:lineRule="exact"/>
              <w:rPr>
                <w:sz w:val="20"/>
                <w:szCs w:val="20"/>
                <w:color w:val="auto"/>
              </w:rPr>
            </w:pPr>
            <w:r>
              <w:rPr>
                <w:rFonts w:ascii="Calibri" w:cs="Calibri" w:eastAsia="Calibri" w:hAnsi="Calibri"/>
                <w:sz w:val="10"/>
                <w:szCs w:val="10"/>
                <w:color w:val="auto"/>
                <w:w w:val="77"/>
              </w:rPr>
              <w:t>$</w:t>
            </w:r>
          </w:p>
        </w:tc>
        <w:tc>
          <w:tcPr>
            <w:tcW w:w="1500" w:type="dxa"/>
            <w:vAlign w:val="bottom"/>
            <w:gridSpan w:val="2"/>
          </w:tcPr>
          <w:p>
            <w:pPr>
              <w:jc w:val="right"/>
              <w:ind w:right="260"/>
              <w:spacing w:after="0" w:line="108" w:lineRule="exact"/>
              <w:rPr>
                <w:sz w:val="20"/>
                <w:szCs w:val="20"/>
                <w:color w:val="auto"/>
              </w:rPr>
            </w:pPr>
            <w:r>
              <w:rPr>
                <w:rFonts w:ascii="Calibri" w:cs="Calibri" w:eastAsia="Calibri" w:hAnsi="Calibri"/>
                <w:sz w:val="10"/>
                <w:szCs w:val="10"/>
                <w:color w:val="auto"/>
              </w:rPr>
              <w:t>—</w:t>
            </w:r>
          </w:p>
        </w:tc>
        <w:tc>
          <w:tcPr>
            <w:tcW w:w="320" w:type="dxa"/>
            <w:vAlign w:val="bottom"/>
          </w:tcPr>
          <w:p>
            <w:pPr>
              <w:jc w:val="right"/>
              <w:ind w:right="190"/>
              <w:spacing w:after="0" w:line="108" w:lineRule="exact"/>
              <w:rPr>
                <w:sz w:val="20"/>
                <w:szCs w:val="20"/>
                <w:color w:val="auto"/>
              </w:rPr>
            </w:pPr>
            <w:r>
              <w:rPr>
                <w:rFonts w:ascii="Calibri" w:cs="Calibri" w:eastAsia="Calibri" w:hAnsi="Calibri"/>
                <w:sz w:val="10"/>
                <w:szCs w:val="10"/>
                <w:color w:val="auto"/>
              </w:rPr>
              <w:t>$</w:t>
            </w:r>
          </w:p>
        </w:tc>
        <w:tc>
          <w:tcPr>
            <w:tcW w:w="1020" w:type="dxa"/>
            <w:vAlign w:val="bottom"/>
          </w:tcPr>
          <w:p>
            <w:pPr>
              <w:jc w:val="right"/>
              <w:spacing w:after="0" w:line="108" w:lineRule="exact"/>
              <w:rPr>
                <w:sz w:val="20"/>
                <w:szCs w:val="20"/>
                <w:color w:val="auto"/>
              </w:rPr>
            </w:pPr>
            <w:r>
              <w:rPr>
                <w:rFonts w:ascii="Calibri" w:cs="Calibri" w:eastAsia="Calibri" w:hAnsi="Calibri"/>
                <w:sz w:val="10"/>
                <w:szCs w:val="10"/>
                <w:color w:val="auto"/>
              </w:rPr>
              <w:t>664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6600" w:type="dxa"/>
            <w:vAlign w:val="bottom"/>
            <w:tcBorders>
              <w:bottom w:val="single" w:sz="8" w:color="CFF0FC"/>
            </w:tcBorders>
            <w:shd w:val="clear" w:color="auto" w:fill="CFF0FC"/>
          </w:tcPr>
          <w:p>
            <w:pPr>
              <w:spacing w:after="0" w:line="113" w:lineRule="exact"/>
              <w:rPr>
                <w:sz w:val="20"/>
                <w:szCs w:val="20"/>
                <w:color w:val="auto"/>
              </w:rPr>
            </w:pPr>
            <w:r>
              <w:rPr>
                <w:rFonts w:ascii="Calibri" w:cs="Calibri" w:eastAsia="Calibri" w:hAnsi="Calibri"/>
                <w:sz w:val="10"/>
                <w:szCs w:val="10"/>
                <w:color w:val="auto"/>
              </w:rPr>
              <w:t>Obtaining a right-of-use asset in exchange for an operatng lease liability</w:t>
            </w:r>
          </w:p>
        </w:tc>
        <w:tc>
          <w:tcPr>
            <w:tcW w:w="880" w:type="dxa"/>
            <w:vAlign w:val="bottom"/>
            <w:tcBorders>
              <w:bottom w:val="single" w:sz="8" w:color="auto"/>
            </w:tcBorders>
            <w:shd w:val="clear" w:color="auto" w:fill="CFF0FC"/>
          </w:tcPr>
          <w:p>
            <w:pPr>
              <w:jc w:val="right"/>
              <w:ind w:right="770"/>
              <w:spacing w:after="0" w:line="113" w:lineRule="exact"/>
              <w:rPr>
                <w:sz w:val="20"/>
                <w:szCs w:val="20"/>
                <w:color w:val="auto"/>
              </w:rPr>
            </w:pPr>
            <w:r>
              <w:rPr>
                <w:rFonts w:ascii="Calibri" w:cs="Calibri" w:eastAsia="Calibri" w:hAnsi="Calibri"/>
                <w:sz w:val="10"/>
                <w:szCs w:val="10"/>
                <w:color w:val="auto"/>
                <w:w w:val="77"/>
              </w:rPr>
              <w:t>$</w:t>
            </w:r>
          </w:p>
        </w:tc>
        <w:tc>
          <w:tcPr>
            <w:tcW w:w="480" w:type="dxa"/>
            <w:vAlign w:val="bottom"/>
            <w:tcBorders>
              <w:bottom w:val="single" w:sz="8" w:color="auto"/>
            </w:tcBorders>
            <w:shd w:val="clear" w:color="auto" w:fill="CFF0FC"/>
          </w:tcPr>
          <w:p>
            <w:pPr>
              <w:jc w:val="right"/>
              <w:spacing w:after="0" w:line="113" w:lineRule="exact"/>
              <w:rPr>
                <w:sz w:val="20"/>
                <w:szCs w:val="20"/>
                <w:color w:val="auto"/>
              </w:rPr>
            </w:pPr>
            <w:r>
              <w:rPr>
                <w:rFonts w:ascii="Calibri" w:cs="Calibri" w:eastAsia="Calibri" w:hAnsi="Calibri"/>
                <w:sz w:val="10"/>
                <w:szCs w:val="10"/>
                <w:color w:val="auto"/>
              </w:rPr>
              <w:t>149,185</w:t>
            </w:r>
          </w:p>
        </w:tc>
        <w:tc>
          <w:tcPr>
            <w:tcW w:w="28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jc w:val="right"/>
              <w:spacing w:after="0" w:line="113" w:lineRule="exact"/>
              <w:rPr>
                <w:sz w:val="20"/>
                <w:szCs w:val="20"/>
                <w:color w:val="auto"/>
              </w:rPr>
            </w:pPr>
            <w:r>
              <w:rPr>
                <w:rFonts w:ascii="Calibri" w:cs="Calibri" w:eastAsia="Calibri" w:hAnsi="Calibri"/>
                <w:sz w:val="10"/>
                <w:szCs w:val="10"/>
                <w:color w:val="auto"/>
                <w:w w:val="77"/>
              </w:rPr>
              <w:t>$</w:t>
            </w:r>
          </w:p>
        </w:tc>
        <w:tc>
          <w:tcPr>
            <w:tcW w:w="1260" w:type="dxa"/>
            <w:vAlign w:val="bottom"/>
            <w:tcBorders>
              <w:bottom w:val="single" w:sz="8" w:color="auto"/>
            </w:tcBorders>
            <w:shd w:val="clear" w:color="auto" w:fill="CFF0FC"/>
          </w:tcPr>
          <w:p>
            <w:pPr>
              <w:jc w:val="right"/>
              <w:spacing w:after="0" w:line="113" w:lineRule="exact"/>
              <w:rPr>
                <w:sz w:val="20"/>
                <w:szCs w:val="20"/>
                <w:color w:val="auto"/>
              </w:rPr>
            </w:pPr>
            <w:r>
              <w:rPr>
                <w:rFonts w:ascii="Calibri" w:cs="Calibri" w:eastAsia="Calibri" w:hAnsi="Calibri"/>
                <w:sz w:val="10"/>
                <w:szCs w:val="10"/>
                <w:color w:val="auto"/>
              </w:rPr>
              <w:t>9,845</w:t>
            </w:r>
          </w:p>
        </w:tc>
        <w:tc>
          <w:tcPr>
            <w:tcW w:w="240" w:type="dxa"/>
            <w:vAlign w:val="bottom"/>
            <w:tcBorders>
              <w:bottom w:val="single" w:sz="8" w:color="CFF0FC"/>
            </w:tcBorders>
            <w:shd w:val="clear" w:color="auto" w:fill="CFF0FC"/>
          </w:tcPr>
          <w:p>
            <w:pPr>
              <w:spacing w:after="0"/>
              <w:rPr>
                <w:sz w:val="13"/>
                <w:szCs w:val="13"/>
                <w:color w:val="auto"/>
              </w:rPr>
            </w:pPr>
          </w:p>
        </w:tc>
        <w:tc>
          <w:tcPr>
            <w:tcW w:w="320" w:type="dxa"/>
            <w:vAlign w:val="bottom"/>
            <w:tcBorders>
              <w:bottom w:val="single" w:sz="8" w:color="auto"/>
            </w:tcBorders>
            <w:shd w:val="clear" w:color="auto" w:fill="CFF0FC"/>
          </w:tcPr>
          <w:p>
            <w:pPr>
              <w:jc w:val="right"/>
              <w:ind w:right="190"/>
              <w:spacing w:after="0" w:line="113" w:lineRule="exact"/>
              <w:rPr>
                <w:sz w:val="20"/>
                <w:szCs w:val="20"/>
                <w:color w:val="auto"/>
              </w:rPr>
            </w:pPr>
            <w:r>
              <w:rPr>
                <w:rFonts w:ascii="Calibri" w:cs="Calibri" w:eastAsia="Calibri" w:hAnsi="Calibri"/>
                <w:sz w:val="10"/>
                <w:szCs w:val="10"/>
                <w:color w:val="auto"/>
              </w:rPr>
              <w:t>$</w:t>
            </w:r>
          </w:p>
        </w:tc>
        <w:tc>
          <w:tcPr>
            <w:tcW w:w="1020" w:type="dxa"/>
            <w:vAlign w:val="bottom"/>
            <w:tcBorders>
              <w:bottom w:val="single" w:sz="8" w:color="auto"/>
            </w:tcBorders>
            <w:shd w:val="clear" w:color="auto" w:fill="CFF0FC"/>
          </w:tcPr>
          <w:p>
            <w:pPr>
              <w:jc w:val="right"/>
              <w:spacing w:after="0" w:line="113" w:lineRule="exact"/>
              <w:rPr>
                <w:sz w:val="20"/>
                <w:szCs w:val="20"/>
                <w:color w:val="auto"/>
              </w:rPr>
            </w:pPr>
            <w:r>
              <w:rPr>
                <w:rFonts w:ascii="Calibri" w:cs="Calibri" w:eastAsia="Calibri" w:hAnsi="Calibri"/>
                <w:sz w:val="10"/>
                <w:szCs w:val="10"/>
                <w:color w:val="auto"/>
              </w:rPr>
              <w:t>12,336</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6600" w:type="dxa"/>
            <w:vAlign w:val="bottom"/>
          </w:tcPr>
          <w:p>
            <w:pPr>
              <w:spacing w:after="0" w:line="113" w:lineRule="exact"/>
              <w:rPr>
                <w:sz w:val="20"/>
                <w:szCs w:val="20"/>
                <w:color w:val="auto"/>
              </w:rPr>
            </w:pPr>
            <w:r>
              <w:rPr>
                <w:rFonts w:ascii="Calibri" w:cs="Calibri" w:eastAsia="Calibri" w:hAnsi="Calibri"/>
                <w:sz w:val="10"/>
                <w:szCs w:val="10"/>
                <w:color w:val="auto"/>
              </w:rPr>
              <w:t>Issuance of stock for acquisiton</w:t>
            </w:r>
          </w:p>
        </w:tc>
        <w:tc>
          <w:tcPr>
            <w:tcW w:w="880" w:type="dxa"/>
            <w:vAlign w:val="bottom"/>
          </w:tcPr>
          <w:p>
            <w:pPr>
              <w:jc w:val="right"/>
              <w:ind w:right="770"/>
              <w:spacing w:after="0" w:line="113" w:lineRule="exact"/>
              <w:rPr>
                <w:sz w:val="20"/>
                <w:szCs w:val="20"/>
                <w:color w:val="auto"/>
              </w:rPr>
            </w:pPr>
            <w:r>
              <w:rPr>
                <w:rFonts w:ascii="Calibri" w:cs="Calibri" w:eastAsia="Calibri" w:hAnsi="Calibri"/>
                <w:sz w:val="10"/>
                <w:szCs w:val="10"/>
                <w:color w:val="auto"/>
                <w:w w:val="77"/>
              </w:rPr>
              <w:t>$</w:t>
            </w:r>
          </w:p>
        </w:tc>
        <w:tc>
          <w:tcPr>
            <w:tcW w:w="760" w:type="dxa"/>
            <w:vAlign w:val="bottom"/>
            <w:gridSpan w:val="2"/>
          </w:tcPr>
          <w:p>
            <w:pPr>
              <w:jc w:val="right"/>
              <w:ind w:right="300"/>
              <w:spacing w:after="0" w:line="113" w:lineRule="exact"/>
              <w:rPr>
                <w:sz w:val="20"/>
                <w:szCs w:val="20"/>
                <w:color w:val="auto"/>
              </w:rPr>
            </w:pPr>
            <w:r>
              <w:rPr>
                <w:rFonts w:ascii="Calibri" w:cs="Calibri" w:eastAsia="Calibri" w:hAnsi="Calibri"/>
                <w:sz w:val="10"/>
                <w:szCs w:val="10"/>
                <w:color w:val="auto"/>
              </w:rPr>
              <w:t>—</w:t>
            </w:r>
          </w:p>
        </w:tc>
        <w:tc>
          <w:tcPr>
            <w:tcW w:w="80" w:type="dxa"/>
            <w:vAlign w:val="bottom"/>
          </w:tcPr>
          <w:p>
            <w:pPr>
              <w:jc w:val="right"/>
              <w:spacing w:after="0" w:line="113" w:lineRule="exact"/>
              <w:rPr>
                <w:sz w:val="20"/>
                <w:szCs w:val="20"/>
                <w:color w:val="auto"/>
              </w:rPr>
            </w:pPr>
            <w:r>
              <w:rPr>
                <w:rFonts w:ascii="Calibri" w:cs="Calibri" w:eastAsia="Calibri" w:hAnsi="Calibri"/>
                <w:sz w:val="10"/>
                <w:szCs w:val="10"/>
                <w:color w:val="auto"/>
                <w:w w:val="77"/>
              </w:rPr>
              <w:t>$</w:t>
            </w:r>
          </w:p>
        </w:tc>
        <w:tc>
          <w:tcPr>
            <w:tcW w:w="1500" w:type="dxa"/>
            <w:vAlign w:val="bottom"/>
            <w:gridSpan w:val="2"/>
          </w:tcPr>
          <w:p>
            <w:pPr>
              <w:jc w:val="right"/>
              <w:ind w:right="260"/>
              <w:spacing w:after="0" w:line="113" w:lineRule="exact"/>
              <w:rPr>
                <w:sz w:val="20"/>
                <w:szCs w:val="20"/>
                <w:color w:val="auto"/>
              </w:rPr>
            </w:pPr>
            <w:r>
              <w:rPr>
                <w:rFonts w:ascii="Calibri" w:cs="Calibri" w:eastAsia="Calibri" w:hAnsi="Calibri"/>
                <w:sz w:val="10"/>
                <w:szCs w:val="10"/>
                <w:color w:val="auto"/>
              </w:rPr>
              <w:t>—</w:t>
            </w:r>
          </w:p>
        </w:tc>
        <w:tc>
          <w:tcPr>
            <w:tcW w:w="320" w:type="dxa"/>
            <w:vAlign w:val="bottom"/>
          </w:tcPr>
          <w:p>
            <w:pPr>
              <w:jc w:val="right"/>
              <w:ind w:right="190"/>
              <w:spacing w:after="0" w:line="113" w:lineRule="exact"/>
              <w:rPr>
                <w:sz w:val="20"/>
                <w:szCs w:val="20"/>
                <w:color w:val="auto"/>
              </w:rPr>
            </w:pPr>
            <w:r>
              <w:rPr>
                <w:rFonts w:ascii="Calibri" w:cs="Calibri" w:eastAsia="Calibri" w:hAnsi="Calibri"/>
                <w:sz w:val="10"/>
                <w:szCs w:val="10"/>
                <w:color w:val="auto"/>
              </w:rPr>
              <w:t>$</w:t>
            </w:r>
          </w:p>
        </w:tc>
        <w:tc>
          <w:tcPr>
            <w:tcW w:w="1020" w:type="dxa"/>
            <w:vAlign w:val="bottom"/>
          </w:tcPr>
          <w:p>
            <w:pPr>
              <w:jc w:val="right"/>
              <w:spacing w:after="0" w:line="113" w:lineRule="exact"/>
              <w:rPr>
                <w:sz w:val="20"/>
                <w:szCs w:val="20"/>
                <w:color w:val="auto"/>
              </w:rPr>
            </w:pPr>
            <w:r>
              <w:rPr>
                <w:rFonts w:ascii="Calibri" w:cs="Calibri" w:eastAsia="Calibri" w:hAnsi="Calibri"/>
                <w:sz w:val="10"/>
                <w:szCs w:val="10"/>
                <w:color w:val="auto"/>
              </w:rPr>
              <w:t>103,645</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6600" w:type="dxa"/>
            <w:vAlign w:val="bottom"/>
            <w:shd w:val="clear" w:color="auto" w:fill="CFF0FC"/>
          </w:tcPr>
          <w:p>
            <w:pPr>
              <w:spacing w:after="0" w:line="113" w:lineRule="exact"/>
              <w:rPr>
                <w:sz w:val="20"/>
                <w:szCs w:val="20"/>
                <w:color w:val="auto"/>
              </w:rPr>
            </w:pPr>
            <w:r>
              <w:rPr>
                <w:rFonts w:ascii="Calibri" w:cs="Calibri" w:eastAsia="Calibri" w:hAnsi="Calibri"/>
                <w:sz w:val="10"/>
                <w:szCs w:val="10"/>
                <w:color w:val="auto"/>
              </w:rPr>
              <w:t>Accreton of redeemable noncontrolling interest to redempton value</w:t>
            </w:r>
          </w:p>
        </w:tc>
        <w:tc>
          <w:tcPr>
            <w:tcW w:w="880" w:type="dxa"/>
            <w:vAlign w:val="bottom"/>
            <w:shd w:val="clear" w:color="auto" w:fill="CFF0FC"/>
          </w:tcPr>
          <w:p>
            <w:pPr>
              <w:jc w:val="right"/>
              <w:ind w:right="770"/>
              <w:spacing w:after="0" w:line="113" w:lineRule="exact"/>
              <w:rPr>
                <w:sz w:val="20"/>
                <w:szCs w:val="20"/>
                <w:color w:val="auto"/>
              </w:rPr>
            </w:pPr>
            <w:r>
              <w:rPr>
                <w:rFonts w:ascii="Calibri" w:cs="Calibri" w:eastAsia="Calibri" w:hAnsi="Calibri"/>
                <w:sz w:val="10"/>
                <w:szCs w:val="10"/>
                <w:color w:val="auto"/>
                <w:w w:val="77"/>
              </w:rPr>
              <w:t>$</w:t>
            </w:r>
          </w:p>
        </w:tc>
        <w:tc>
          <w:tcPr>
            <w:tcW w:w="480" w:type="dxa"/>
            <w:vAlign w:val="bottom"/>
            <w:shd w:val="clear" w:color="auto" w:fill="CFF0FC"/>
          </w:tcPr>
          <w:p>
            <w:pPr>
              <w:jc w:val="right"/>
              <w:spacing w:after="0" w:line="113" w:lineRule="exact"/>
              <w:rPr>
                <w:sz w:val="20"/>
                <w:szCs w:val="20"/>
                <w:color w:val="auto"/>
              </w:rPr>
            </w:pPr>
            <w:r>
              <w:rPr>
                <w:rFonts w:ascii="Calibri" w:cs="Calibri" w:eastAsia="Calibri" w:hAnsi="Calibri"/>
                <w:sz w:val="10"/>
                <w:szCs w:val="10"/>
                <w:color w:val="auto"/>
              </w:rPr>
              <w:t>—</w:t>
            </w:r>
          </w:p>
        </w:tc>
        <w:tc>
          <w:tcPr>
            <w:tcW w:w="28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line="113" w:lineRule="exact"/>
              <w:rPr>
                <w:sz w:val="20"/>
                <w:szCs w:val="20"/>
                <w:color w:val="auto"/>
              </w:rPr>
            </w:pPr>
            <w:r>
              <w:rPr>
                <w:rFonts w:ascii="Calibri" w:cs="Calibri" w:eastAsia="Calibri" w:hAnsi="Calibri"/>
                <w:sz w:val="10"/>
                <w:szCs w:val="10"/>
                <w:color w:val="auto"/>
                <w:w w:val="77"/>
              </w:rPr>
              <w:t>$</w:t>
            </w:r>
          </w:p>
        </w:tc>
        <w:tc>
          <w:tcPr>
            <w:tcW w:w="1500" w:type="dxa"/>
            <w:vAlign w:val="bottom"/>
            <w:gridSpan w:val="2"/>
            <w:shd w:val="clear" w:color="auto" w:fill="CFF0FC"/>
          </w:tcPr>
          <w:p>
            <w:pPr>
              <w:jc w:val="right"/>
              <w:ind w:right="200"/>
              <w:spacing w:after="0" w:line="113" w:lineRule="exact"/>
              <w:rPr>
                <w:sz w:val="20"/>
                <w:szCs w:val="20"/>
                <w:color w:val="auto"/>
              </w:rPr>
            </w:pPr>
            <w:r>
              <w:rPr>
                <w:rFonts w:ascii="Calibri" w:cs="Calibri" w:eastAsia="Calibri" w:hAnsi="Calibri"/>
                <w:sz w:val="10"/>
                <w:szCs w:val="10"/>
                <w:color w:val="auto"/>
              </w:rPr>
              <w:t>(109,398 )</w:t>
            </w:r>
          </w:p>
        </w:tc>
        <w:tc>
          <w:tcPr>
            <w:tcW w:w="320" w:type="dxa"/>
            <w:vAlign w:val="bottom"/>
            <w:shd w:val="clear" w:color="auto" w:fill="CFF0FC"/>
          </w:tcPr>
          <w:p>
            <w:pPr>
              <w:jc w:val="right"/>
              <w:ind w:right="190"/>
              <w:spacing w:after="0" w:line="113" w:lineRule="exact"/>
              <w:rPr>
                <w:sz w:val="20"/>
                <w:szCs w:val="20"/>
                <w:color w:val="auto"/>
              </w:rPr>
            </w:pPr>
            <w:r>
              <w:rPr>
                <w:rFonts w:ascii="Calibri" w:cs="Calibri" w:eastAsia="Calibri" w:hAnsi="Calibri"/>
                <w:sz w:val="10"/>
                <w:szCs w:val="10"/>
                <w:color w:val="auto"/>
              </w:rPr>
              <w:t>$</w:t>
            </w:r>
          </w:p>
        </w:tc>
        <w:tc>
          <w:tcPr>
            <w:tcW w:w="1020" w:type="dxa"/>
            <w:vAlign w:val="bottom"/>
            <w:shd w:val="clear" w:color="auto" w:fill="CFF0FC"/>
          </w:tcPr>
          <w:p>
            <w:pPr>
              <w:jc w:val="right"/>
              <w:spacing w:after="0" w:line="113" w:lineRule="exact"/>
              <w:rPr>
                <w:sz w:val="20"/>
                <w:szCs w:val="20"/>
                <w:color w:val="auto"/>
              </w:rPr>
            </w:pPr>
            <w:r>
              <w:rPr>
                <w:rFonts w:ascii="Calibri" w:cs="Calibri" w:eastAsia="Calibri" w:hAnsi="Calibri"/>
                <w:sz w:val="10"/>
                <w:szCs w:val="10"/>
                <w:color w:val="auto"/>
              </w:rPr>
              <w:t>109,398</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6600" w:type="dxa"/>
            <w:vAlign w:val="bottom"/>
            <w:tcBorders>
              <w:top w:val="single" w:sz="8" w:color="CFF0FC"/>
            </w:tcBorders>
          </w:tcPr>
          <w:p>
            <w:pPr>
              <w:spacing w:after="0" w:line="113" w:lineRule="exact"/>
              <w:rPr>
                <w:sz w:val="20"/>
                <w:szCs w:val="20"/>
                <w:color w:val="auto"/>
              </w:rPr>
            </w:pPr>
            <w:r>
              <w:rPr>
                <w:rFonts w:ascii="Calibri" w:cs="Calibri" w:eastAsia="Calibri" w:hAnsi="Calibri"/>
                <w:sz w:val="10"/>
                <w:szCs w:val="10"/>
                <w:color w:val="auto"/>
              </w:rPr>
              <w:t>Accrued tax distributons to redeemable noncontrolling interest holders</w:t>
            </w:r>
          </w:p>
        </w:tc>
        <w:tc>
          <w:tcPr>
            <w:tcW w:w="880" w:type="dxa"/>
            <w:vAlign w:val="bottom"/>
            <w:tcBorders>
              <w:top w:val="single" w:sz="8" w:color="auto"/>
              <w:bottom w:val="single" w:sz="8" w:color="auto"/>
            </w:tcBorders>
          </w:tcPr>
          <w:p>
            <w:pPr>
              <w:jc w:val="right"/>
              <w:ind w:right="770"/>
              <w:spacing w:after="0" w:line="113" w:lineRule="exact"/>
              <w:rPr>
                <w:sz w:val="20"/>
                <w:szCs w:val="20"/>
                <w:color w:val="auto"/>
              </w:rPr>
            </w:pPr>
            <w:r>
              <w:rPr>
                <w:rFonts w:ascii="Calibri" w:cs="Calibri" w:eastAsia="Calibri" w:hAnsi="Calibri"/>
                <w:sz w:val="10"/>
                <w:szCs w:val="10"/>
                <w:color w:val="auto"/>
                <w:w w:val="77"/>
              </w:rPr>
              <w:t>$</w:t>
            </w:r>
          </w:p>
        </w:tc>
        <w:tc>
          <w:tcPr>
            <w:tcW w:w="480" w:type="dxa"/>
            <w:vAlign w:val="bottom"/>
            <w:tcBorders>
              <w:top w:val="single" w:sz="8" w:color="auto"/>
              <w:bottom w:val="single" w:sz="8" w:color="auto"/>
            </w:tcBorders>
          </w:tcPr>
          <w:p>
            <w:pPr>
              <w:jc w:val="right"/>
              <w:spacing w:after="0" w:line="113" w:lineRule="exact"/>
              <w:rPr>
                <w:sz w:val="20"/>
                <w:szCs w:val="20"/>
                <w:color w:val="auto"/>
              </w:rPr>
            </w:pPr>
            <w:r>
              <w:rPr>
                <w:rFonts w:ascii="Calibri" w:cs="Calibri" w:eastAsia="Calibri" w:hAnsi="Calibri"/>
                <w:sz w:val="10"/>
                <w:szCs w:val="10"/>
                <w:color w:val="auto"/>
              </w:rPr>
              <w:t>—</w:t>
            </w:r>
          </w:p>
        </w:tc>
        <w:tc>
          <w:tcPr>
            <w:tcW w:w="280" w:type="dxa"/>
            <w:vAlign w:val="bottom"/>
            <w:tcBorders>
              <w:top w:val="single" w:sz="8" w:color="CFF0FC"/>
            </w:tcBorders>
          </w:tcPr>
          <w:p>
            <w:pPr>
              <w:spacing w:after="0"/>
              <w:rPr>
                <w:sz w:val="9"/>
                <w:szCs w:val="9"/>
                <w:color w:val="auto"/>
              </w:rPr>
            </w:pPr>
          </w:p>
        </w:tc>
        <w:tc>
          <w:tcPr>
            <w:tcW w:w="80" w:type="dxa"/>
            <w:vAlign w:val="bottom"/>
            <w:tcBorders>
              <w:top w:val="single" w:sz="8" w:color="auto"/>
              <w:bottom w:val="single" w:sz="8" w:color="auto"/>
            </w:tcBorders>
          </w:tcPr>
          <w:p>
            <w:pPr>
              <w:jc w:val="right"/>
              <w:spacing w:after="0" w:line="113" w:lineRule="exact"/>
              <w:rPr>
                <w:sz w:val="20"/>
                <w:szCs w:val="20"/>
                <w:color w:val="auto"/>
              </w:rPr>
            </w:pPr>
            <w:r>
              <w:rPr>
                <w:rFonts w:ascii="Calibri" w:cs="Calibri" w:eastAsia="Calibri" w:hAnsi="Calibri"/>
                <w:sz w:val="10"/>
                <w:szCs w:val="10"/>
                <w:color w:val="auto"/>
                <w:w w:val="77"/>
              </w:rPr>
              <w:t>$</w:t>
            </w:r>
          </w:p>
        </w:tc>
        <w:tc>
          <w:tcPr>
            <w:tcW w:w="1260" w:type="dxa"/>
            <w:vAlign w:val="bottom"/>
            <w:tcBorders>
              <w:top w:val="single" w:sz="8" w:color="auto"/>
              <w:bottom w:val="single" w:sz="8" w:color="auto"/>
            </w:tcBorders>
          </w:tcPr>
          <w:p>
            <w:pPr>
              <w:jc w:val="right"/>
              <w:spacing w:after="0" w:line="113" w:lineRule="exact"/>
              <w:rPr>
                <w:sz w:val="20"/>
                <w:szCs w:val="20"/>
                <w:color w:val="auto"/>
              </w:rPr>
            </w:pPr>
            <w:r>
              <w:rPr>
                <w:rFonts w:ascii="Calibri" w:cs="Calibri" w:eastAsia="Calibri" w:hAnsi="Calibri"/>
                <w:sz w:val="10"/>
                <w:szCs w:val="10"/>
                <w:color w:val="auto"/>
              </w:rPr>
              <w:t>16</w:t>
            </w:r>
          </w:p>
        </w:tc>
        <w:tc>
          <w:tcPr>
            <w:tcW w:w="240" w:type="dxa"/>
            <w:vAlign w:val="bottom"/>
            <w:tcBorders>
              <w:top w:val="single" w:sz="8" w:color="CFF0FC"/>
            </w:tcBorders>
          </w:tcPr>
          <w:p>
            <w:pPr>
              <w:spacing w:after="0"/>
              <w:rPr>
                <w:sz w:val="9"/>
                <w:szCs w:val="9"/>
                <w:color w:val="auto"/>
              </w:rPr>
            </w:pPr>
          </w:p>
        </w:tc>
        <w:tc>
          <w:tcPr>
            <w:tcW w:w="320" w:type="dxa"/>
            <w:vAlign w:val="bottom"/>
            <w:tcBorders>
              <w:top w:val="single" w:sz="8" w:color="auto"/>
              <w:bottom w:val="single" w:sz="8" w:color="auto"/>
            </w:tcBorders>
          </w:tcPr>
          <w:p>
            <w:pPr>
              <w:jc w:val="right"/>
              <w:ind w:right="190"/>
              <w:spacing w:after="0" w:line="113" w:lineRule="exact"/>
              <w:rPr>
                <w:sz w:val="20"/>
                <w:szCs w:val="20"/>
                <w:color w:val="auto"/>
              </w:rPr>
            </w:pPr>
            <w:r>
              <w:rPr>
                <w:rFonts w:ascii="Calibri" w:cs="Calibri" w:eastAsia="Calibri" w:hAnsi="Calibri"/>
                <w:sz w:val="10"/>
                <w:szCs w:val="10"/>
                <w:color w:val="auto"/>
              </w:rPr>
              <w:t>$</w:t>
            </w:r>
          </w:p>
        </w:tc>
        <w:tc>
          <w:tcPr>
            <w:tcW w:w="1020" w:type="dxa"/>
            <w:vAlign w:val="bottom"/>
            <w:tcBorders>
              <w:top w:val="single" w:sz="8" w:color="auto"/>
              <w:bottom w:val="single" w:sz="8" w:color="auto"/>
            </w:tcBorders>
          </w:tcPr>
          <w:p>
            <w:pPr>
              <w:jc w:val="right"/>
              <w:spacing w:after="0" w:line="113" w:lineRule="exact"/>
              <w:rPr>
                <w:sz w:val="20"/>
                <w:szCs w:val="20"/>
                <w:color w:val="auto"/>
              </w:rPr>
            </w:pPr>
            <w:r>
              <w:rPr>
                <w:rFonts w:ascii="Calibri" w:cs="Calibri" w:eastAsia="Calibri" w:hAnsi="Calibri"/>
                <w:sz w:val="10"/>
                <w:szCs w:val="10"/>
                <w:color w:val="auto"/>
              </w:rPr>
              <w:t>8,701</w:t>
            </w:r>
          </w:p>
        </w:tc>
        <w:tc>
          <w:tcPr>
            <w:tcW w:w="10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5050790</wp:posOffset>
            </wp:positionH>
            <wp:positionV relativeFrom="paragraph">
              <wp:posOffset>-3922395</wp:posOffset>
            </wp:positionV>
            <wp:extent cx="73025" cy="76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3025" cy="7620"/>
                    </a:xfrm>
                    <a:prstGeom prst="rect">
                      <a:avLst/>
                    </a:prstGeom>
                    <a:noFill/>
                  </pic:spPr>
                </pic:pic>
              </a:graphicData>
            </a:graphic>
          </wp:anchor>
        </w:drawing>
        <w:drawing>
          <wp:anchor simplePos="0" relativeHeight="251657728" behindDoc="1" locked="0" layoutInCell="0" allowOverlap="1">
            <wp:simplePos x="0" y="0"/>
            <wp:positionH relativeFrom="column">
              <wp:posOffset>6080760</wp:posOffset>
            </wp:positionH>
            <wp:positionV relativeFrom="paragraph">
              <wp:posOffset>-3922395</wp:posOffset>
            </wp:positionV>
            <wp:extent cx="66040" cy="76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7081520</wp:posOffset>
            </wp:positionH>
            <wp:positionV relativeFrom="paragraph">
              <wp:posOffset>-3922395</wp:posOffset>
            </wp:positionV>
            <wp:extent cx="66040" cy="76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5050790</wp:posOffset>
            </wp:positionH>
            <wp:positionV relativeFrom="paragraph">
              <wp:posOffset>-3031490</wp:posOffset>
            </wp:positionV>
            <wp:extent cx="73025" cy="76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3025" cy="7620"/>
                    </a:xfrm>
                    <a:prstGeom prst="rect">
                      <a:avLst/>
                    </a:prstGeom>
                    <a:noFill/>
                  </pic:spPr>
                </pic:pic>
              </a:graphicData>
            </a:graphic>
          </wp:anchor>
        </w:drawing>
        <w:drawing>
          <wp:anchor simplePos="0" relativeHeight="251657728" behindDoc="1" locked="0" layoutInCell="0" allowOverlap="1">
            <wp:simplePos x="0" y="0"/>
            <wp:positionH relativeFrom="column">
              <wp:posOffset>6080760</wp:posOffset>
            </wp:positionH>
            <wp:positionV relativeFrom="paragraph">
              <wp:posOffset>-3031490</wp:posOffset>
            </wp:positionV>
            <wp:extent cx="66040" cy="76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7081520</wp:posOffset>
            </wp:positionH>
            <wp:positionV relativeFrom="paragraph">
              <wp:posOffset>-3031490</wp:posOffset>
            </wp:positionV>
            <wp:extent cx="66040" cy="76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5050790</wp:posOffset>
            </wp:positionH>
            <wp:positionV relativeFrom="paragraph">
              <wp:posOffset>-2147570</wp:posOffset>
            </wp:positionV>
            <wp:extent cx="73025" cy="76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3025" cy="7620"/>
                    </a:xfrm>
                    <a:prstGeom prst="rect">
                      <a:avLst/>
                    </a:prstGeom>
                    <a:noFill/>
                  </pic:spPr>
                </pic:pic>
              </a:graphicData>
            </a:graphic>
          </wp:anchor>
        </w:drawing>
        <w:drawing>
          <wp:anchor simplePos="0" relativeHeight="251657728" behindDoc="1" locked="0" layoutInCell="0" allowOverlap="1">
            <wp:simplePos x="0" y="0"/>
            <wp:positionH relativeFrom="column">
              <wp:posOffset>6080760</wp:posOffset>
            </wp:positionH>
            <wp:positionV relativeFrom="paragraph">
              <wp:posOffset>-2147570</wp:posOffset>
            </wp:positionV>
            <wp:extent cx="66040" cy="76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7081520</wp:posOffset>
            </wp:positionH>
            <wp:positionV relativeFrom="paragraph">
              <wp:posOffset>-2147570</wp:posOffset>
            </wp:positionV>
            <wp:extent cx="66040" cy="76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5050790</wp:posOffset>
            </wp:positionH>
            <wp:positionV relativeFrom="paragraph">
              <wp:posOffset>-1781810</wp:posOffset>
            </wp:positionV>
            <wp:extent cx="73025" cy="76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3025" cy="7620"/>
                    </a:xfrm>
                    <a:prstGeom prst="rect">
                      <a:avLst/>
                    </a:prstGeom>
                    <a:noFill/>
                  </pic:spPr>
                </pic:pic>
              </a:graphicData>
            </a:graphic>
          </wp:anchor>
        </w:drawing>
        <w:drawing>
          <wp:anchor simplePos="0" relativeHeight="251657728" behindDoc="1" locked="0" layoutInCell="0" allowOverlap="1">
            <wp:simplePos x="0" y="0"/>
            <wp:positionH relativeFrom="column">
              <wp:posOffset>6080760</wp:posOffset>
            </wp:positionH>
            <wp:positionV relativeFrom="paragraph">
              <wp:posOffset>-1781810</wp:posOffset>
            </wp:positionV>
            <wp:extent cx="66040" cy="76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7081520</wp:posOffset>
            </wp:positionH>
            <wp:positionV relativeFrom="paragraph">
              <wp:posOffset>-1781810</wp:posOffset>
            </wp:positionV>
            <wp:extent cx="66040" cy="76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5050790</wp:posOffset>
            </wp:positionH>
            <wp:positionV relativeFrom="paragraph">
              <wp:posOffset>-1380490</wp:posOffset>
            </wp:positionV>
            <wp:extent cx="73025" cy="76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3025" cy="7620"/>
                    </a:xfrm>
                    <a:prstGeom prst="rect">
                      <a:avLst/>
                    </a:prstGeom>
                    <a:noFill/>
                  </pic:spPr>
                </pic:pic>
              </a:graphicData>
            </a:graphic>
          </wp:anchor>
        </w:drawing>
        <w:drawing>
          <wp:anchor simplePos="0" relativeHeight="251657728" behindDoc="1" locked="0" layoutInCell="0" allowOverlap="1">
            <wp:simplePos x="0" y="0"/>
            <wp:positionH relativeFrom="column">
              <wp:posOffset>5050790</wp:posOffset>
            </wp:positionH>
            <wp:positionV relativeFrom="paragraph">
              <wp:posOffset>-1365885</wp:posOffset>
            </wp:positionV>
            <wp:extent cx="73025" cy="76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3025" cy="7620"/>
                    </a:xfrm>
                    <a:prstGeom prst="rect">
                      <a:avLst/>
                    </a:prstGeom>
                    <a:noFill/>
                  </pic:spPr>
                </pic:pic>
              </a:graphicData>
            </a:graphic>
          </wp:anchor>
        </w:drawing>
        <w:drawing>
          <wp:anchor simplePos="0" relativeHeight="251657728" behindDoc="1" locked="0" layoutInCell="0" allowOverlap="1">
            <wp:simplePos x="0" y="0"/>
            <wp:positionH relativeFrom="column">
              <wp:posOffset>6080760</wp:posOffset>
            </wp:positionH>
            <wp:positionV relativeFrom="paragraph">
              <wp:posOffset>-1380490</wp:posOffset>
            </wp:positionV>
            <wp:extent cx="66040" cy="76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6080760</wp:posOffset>
            </wp:positionH>
            <wp:positionV relativeFrom="paragraph">
              <wp:posOffset>-1365885</wp:posOffset>
            </wp:positionV>
            <wp:extent cx="66040" cy="76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7081520</wp:posOffset>
            </wp:positionH>
            <wp:positionV relativeFrom="paragraph">
              <wp:posOffset>-1380490</wp:posOffset>
            </wp:positionV>
            <wp:extent cx="66040" cy="76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7081520</wp:posOffset>
            </wp:positionH>
            <wp:positionV relativeFrom="paragraph">
              <wp:posOffset>-1365885</wp:posOffset>
            </wp:positionV>
            <wp:extent cx="66040" cy="76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5050790</wp:posOffset>
            </wp:positionH>
            <wp:positionV relativeFrom="paragraph">
              <wp:posOffset>-839470</wp:posOffset>
            </wp:positionV>
            <wp:extent cx="73025" cy="76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3025" cy="7620"/>
                    </a:xfrm>
                    <a:prstGeom prst="rect">
                      <a:avLst/>
                    </a:prstGeom>
                    <a:noFill/>
                  </pic:spPr>
                </pic:pic>
              </a:graphicData>
            </a:graphic>
          </wp:anchor>
        </w:drawing>
        <w:drawing>
          <wp:anchor simplePos="0" relativeHeight="251657728" behindDoc="1" locked="0" layoutInCell="0" allowOverlap="1">
            <wp:simplePos x="0" y="0"/>
            <wp:positionH relativeFrom="column">
              <wp:posOffset>5050790</wp:posOffset>
            </wp:positionH>
            <wp:positionV relativeFrom="paragraph">
              <wp:posOffset>-824865</wp:posOffset>
            </wp:positionV>
            <wp:extent cx="73025" cy="76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3025" cy="7620"/>
                    </a:xfrm>
                    <a:prstGeom prst="rect">
                      <a:avLst/>
                    </a:prstGeom>
                    <a:noFill/>
                  </pic:spPr>
                </pic:pic>
              </a:graphicData>
            </a:graphic>
          </wp:anchor>
        </w:drawing>
        <w:drawing>
          <wp:anchor simplePos="0" relativeHeight="251657728" behindDoc="1" locked="0" layoutInCell="0" allowOverlap="1">
            <wp:simplePos x="0" y="0"/>
            <wp:positionH relativeFrom="column">
              <wp:posOffset>6080760</wp:posOffset>
            </wp:positionH>
            <wp:positionV relativeFrom="paragraph">
              <wp:posOffset>-839470</wp:posOffset>
            </wp:positionV>
            <wp:extent cx="66040" cy="76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6080760</wp:posOffset>
            </wp:positionH>
            <wp:positionV relativeFrom="paragraph">
              <wp:posOffset>-824865</wp:posOffset>
            </wp:positionV>
            <wp:extent cx="66040" cy="76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7081520</wp:posOffset>
            </wp:positionH>
            <wp:positionV relativeFrom="paragraph">
              <wp:posOffset>-839470</wp:posOffset>
            </wp:positionV>
            <wp:extent cx="66040" cy="76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7081520</wp:posOffset>
            </wp:positionH>
            <wp:positionV relativeFrom="paragraph">
              <wp:posOffset>-824865</wp:posOffset>
            </wp:positionV>
            <wp:extent cx="66040" cy="76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5050790</wp:posOffset>
            </wp:positionH>
            <wp:positionV relativeFrom="paragraph">
              <wp:posOffset>-568960</wp:posOffset>
            </wp:positionV>
            <wp:extent cx="73025" cy="76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3025" cy="7620"/>
                    </a:xfrm>
                    <a:prstGeom prst="rect">
                      <a:avLst/>
                    </a:prstGeom>
                    <a:noFill/>
                  </pic:spPr>
                </pic:pic>
              </a:graphicData>
            </a:graphic>
          </wp:anchor>
        </w:drawing>
        <w:drawing>
          <wp:anchor simplePos="0" relativeHeight="251657728" behindDoc="1" locked="0" layoutInCell="0" allowOverlap="1">
            <wp:simplePos x="0" y="0"/>
            <wp:positionH relativeFrom="column">
              <wp:posOffset>5050790</wp:posOffset>
            </wp:positionH>
            <wp:positionV relativeFrom="paragraph">
              <wp:posOffset>-554355</wp:posOffset>
            </wp:positionV>
            <wp:extent cx="73025" cy="76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3025" cy="7620"/>
                    </a:xfrm>
                    <a:prstGeom prst="rect">
                      <a:avLst/>
                    </a:prstGeom>
                    <a:noFill/>
                  </pic:spPr>
                </pic:pic>
              </a:graphicData>
            </a:graphic>
          </wp:anchor>
        </w:drawing>
        <w:drawing>
          <wp:anchor simplePos="0" relativeHeight="251657728" behindDoc="1" locked="0" layoutInCell="0" allowOverlap="1">
            <wp:simplePos x="0" y="0"/>
            <wp:positionH relativeFrom="column">
              <wp:posOffset>6080760</wp:posOffset>
            </wp:positionH>
            <wp:positionV relativeFrom="paragraph">
              <wp:posOffset>-568960</wp:posOffset>
            </wp:positionV>
            <wp:extent cx="66040" cy="76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6080760</wp:posOffset>
            </wp:positionH>
            <wp:positionV relativeFrom="paragraph">
              <wp:posOffset>-554355</wp:posOffset>
            </wp:positionV>
            <wp:extent cx="66040" cy="76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7081520</wp:posOffset>
            </wp:positionH>
            <wp:positionV relativeFrom="paragraph">
              <wp:posOffset>-568960</wp:posOffset>
            </wp:positionV>
            <wp:extent cx="66040" cy="76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7081520</wp:posOffset>
            </wp:positionH>
            <wp:positionV relativeFrom="paragraph">
              <wp:posOffset>-554355</wp:posOffset>
            </wp:positionV>
            <wp:extent cx="66040" cy="762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5050790</wp:posOffset>
            </wp:positionH>
            <wp:positionV relativeFrom="paragraph">
              <wp:posOffset>-349885</wp:posOffset>
            </wp:positionV>
            <wp:extent cx="73025" cy="76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3025" cy="7620"/>
                    </a:xfrm>
                    <a:prstGeom prst="rect">
                      <a:avLst/>
                    </a:prstGeom>
                    <a:noFill/>
                  </pic:spPr>
                </pic:pic>
              </a:graphicData>
            </a:graphic>
          </wp:anchor>
        </w:drawing>
        <w:drawing>
          <wp:anchor simplePos="0" relativeHeight="251657728" behindDoc="1" locked="0" layoutInCell="0" allowOverlap="1">
            <wp:simplePos x="0" y="0"/>
            <wp:positionH relativeFrom="column">
              <wp:posOffset>5050790</wp:posOffset>
            </wp:positionH>
            <wp:positionV relativeFrom="paragraph">
              <wp:posOffset>-335280</wp:posOffset>
            </wp:positionV>
            <wp:extent cx="73025" cy="76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3025" cy="7620"/>
                    </a:xfrm>
                    <a:prstGeom prst="rect">
                      <a:avLst/>
                    </a:prstGeom>
                    <a:noFill/>
                  </pic:spPr>
                </pic:pic>
              </a:graphicData>
            </a:graphic>
          </wp:anchor>
        </w:drawing>
        <w:drawing>
          <wp:anchor simplePos="0" relativeHeight="251657728" behindDoc="1" locked="0" layoutInCell="0" allowOverlap="1">
            <wp:simplePos x="0" y="0"/>
            <wp:positionH relativeFrom="column">
              <wp:posOffset>6080760</wp:posOffset>
            </wp:positionH>
            <wp:positionV relativeFrom="paragraph">
              <wp:posOffset>-349885</wp:posOffset>
            </wp:positionV>
            <wp:extent cx="66040" cy="762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6080760</wp:posOffset>
            </wp:positionH>
            <wp:positionV relativeFrom="paragraph">
              <wp:posOffset>-335280</wp:posOffset>
            </wp:positionV>
            <wp:extent cx="66040" cy="762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7081520</wp:posOffset>
            </wp:positionH>
            <wp:positionV relativeFrom="paragraph">
              <wp:posOffset>-349885</wp:posOffset>
            </wp:positionV>
            <wp:extent cx="66040" cy="76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7081520</wp:posOffset>
            </wp:positionH>
            <wp:positionV relativeFrom="paragraph">
              <wp:posOffset>-335280</wp:posOffset>
            </wp:positionV>
            <wp:extent cx="66040" cy="76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5050790</wp:posOffset>
            </wp:positionH>
            <wp:positionV relativeFrom="paragraph">
              <wp:posOffset>-130810</wp:posOffset>
            </wp:positionV>
            <wp:extent cx="73025" cy="76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3025" cy="7620"/>
                    </a:xfrm>
                    <a:prstGeom prst="rect">
                      <a:avLst/>
                    </a:prstGeom>
                    <a:noFill/>
                  </pic:spPr>
                </pic:pic>
              </a:graphicData>
            </a:graphic>
          </wp:anchor>
        </w:drawing>
        <w:drawing>
          <wp:anchor simplePos="0" relativeHeight="251657728" behindDoc="1" locked="0" layoutInCell="0" allowOverlap="1">
            <wp:simplePos x="0" y="0"/>
            <wp:positionH relativeFrom="column">
              <wp:posOffset>5050790</wp:posOffset>
            </wp:positionH>
            <wp:positionV relativeFrom="paragraph">
              <wp:posOffset>-116205</wp:posOffset>
            </wp:positionV>
            <wp:extent cx="73025" cy="76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3025" cy="7620"/>
                    </a:xfrm>
                    <a:prstGeom prst="rect">
                      <a:avLst/>
                    </a:prstGeom>
                    <a:noFill/>
                  </pic:spPr>
                </pic:pic>
              </a:graphicData>
            </a:graphic>
          </wp:anchor>
        </w:drawing>
        <w:drawing>
          <wp:anchor simplePos="0" relativeHeight="251657728" behindDoc="1" locked="0" layoutInCell="0" allowOverlap="1">
            <wp:simplePos x="0" y="0"/>
            <wp:positionH relativeFrom="column">
              <wp:posOffset>6080760</wp:posOffset>
            </wp:positionH>
            <wp:positionV relativeFrom="paragraph">
              <wp:posOffset>-130810</wp:posOffset>
            </wp:positionV>
            <wp:extent cx="66040" cy="76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6080760</wp:posOffset>
            </wp:positionH>
            <wp:positionV relativeFrom="paragraph">
              <wp:posOffset>-116205</wp:posOffset>
            </wp:positionV>
            <wp:extent cx="66040" cy="762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7081520</wp:posOffset>
            </wp:positionH>
            <wp:positionV relativeFrom="paragraph">
              <wp:posOffset>-130810</wp:posOffset>
            </wp:positionV>
            <wp:extent cx="66040" cy="762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7081520</wp:posOffset>
            </wp:positionH>
            <wp:positionV relativeFrom="paragraph">
              <wp:posOffset>-116205</wp:posOffset>
            </wp:positionV>
            <wp:extent cx="66040" cy="76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6040" cy="7620"/>
                    </a:xfrm>
                    <a:prstGeom prst="rect">
                      <a:avLst/>
                    </a:prstGeom>
                    <a:noFill/>
                  </pic:spPr>
                </pic:pic>
              </a:graphicData>
            </a:graphic>
          </wp:anchor>
        </w:drawing>
      </w:r>
    </w:p>
    <w:p>
      <w:pPr>
        <w:spacing w:after="0" w:line="131" w:lineRule="exact"/>
        <w:rPr>
          <w:sz w:val="20"/>
          <w:szCs w:val="20"/>
          <w:color w:val="auto"/>
        </w:rPr>
      </w:pPr>
    </w:p>
    <w:p>
      <w:pPr>
        <w:jc w:val="center"/>
        <w:ind w:right="20"/>
        <w:spacing w:after="0"/>
        <w:rPr>
          <w:sz w:val="20"/>
          <w:szCs w:val="20"/>
          <w:color w:val="auto"/>
        </w:rPr>
      </w:pPr>
      <w:r>
        <w:rPr>
          <w:rFonts w:ascii="Calibri" w:cs="Calibri" w:eastAsia="Calibri" w:hAnsi="Calibri"/>
          <w:sz w:val="14"/>
          <w:szCs w:val="14"/>
          <w:color w:val="auto"/>
        </w:rPr>
        <w:t>The accompanying notes are an integral part of these consolidated fnancial statements.</w:t>
      </w:r>
    </w:p>
    <w:p>
      <w:pPr>
        <w:spacing w:after="0" w:line="189" w:lineRule="exact"/>
        <w:rPr>
          <w:sz w:val="20"/>
          <w:szCs w:val="20"/>
          <w:color w:val="auto"/>
        </w:rPr>
      </w:pPr>
    </w:p>
    <w:p>
      <w:pPr>
        <w:jc w:val="center"/>
        <w:spacing w:after="0"/>
        <w:rPr>
          <w:sz w:val="20"/>
          <w:szCs w:val="20"/>
          <w:color w:val="auto"/>
        </w:rPr>
      </w:pPr>
      <w:r>
        <w:rPr>
          <w:rFonts w:ascii="Calibri" w:cs="Calibri" w:eastAsia="Calibri" w:hAnsi="Calibri"/>
          <w:sz w:val="15"/>
          <w:szCs w:val="15"/>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408940</wp:posOffset>
            </wp:positionV>
            <wp:extent cx="7178040" cy="400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946" w:right="319" w:bottom="1440" w:gutter="0" w:footer="0" w:header="0"/>
        </w:sectPr>
      </w:pPr>
    </w:p>
    <w:bookmarkStart w:id="86" w:name="page87"/>
    <w:bookmarkEnd w:id="86"/>
    <w:p>
      <w:pPr>
        <w:jc w:val="center"/>
        <w:spacing w:after="0"/>
        <w:rPr>
          <w:sz w:val="20"/>
          <w:szCs w:val="20"/>
          <w:color w:val="auto"/>
        </w:rPr>
      </w:pPr>
      <w:r>
        <w:rPr>
          <w:rFonts w:ascii="Calibri" w:cs="Calibri" w:eastAsia="Calibri" w:hAnsi="Calibri"/>
          <w:sz w:val="15"/>
          <w:szCs w:val="15"/>
          <w:b w:val="1"/>
          <w:bCs w:val="1"/>
          <w:color w:val="auto"/>
        </w:rPr>
        <w:t>CarGurus, Inc.</w:t>
      </w:r>
    </w:p>
    <w:p>
      <w:pPr>
        <w:spacing w:after="0" w:line="185" w:lineRule="exact"/>
        <w:rPr>
          <w:sz w:val="20"/>
          <w:szCs w:val="20"/>
          <w:color w:val="auto"/>
        </w:rPr>
      </w:pPr>
    </w:p>
    <w:p>
      <w:pPr>
        <w:jc w:val="center"/>
        <w:spacing w:after="0"/>
        <w:rPr>
          <w:sz w:val="20"/>
          <w:szCs w:val="20"/>
          <w:color w:val="auto"/>
        </w:rPr>
      </w:pPr>
      <w:r>
        <w:rPr>
          <w:rFonts w:ascii="Calibri" w:cs="Calibri" w:eastAsia="Calibri" w:hAnsi="Calibri"/>
          <w:sz w:val="15"/>
          <w:szCs w:val="15"/>
          <w:b w:val="1"/>
          <w:bCs w:val="1"/>
          <w:color w:val="auto"/>
        </w:rPr>
        <w:t>Notes to Consolidated Financial Statements</w:t>
      </w:r>
    </w:p>
    <w:p>
      <w:pPr>
        <w:spacing w:after="0" w:line="185" w:lineRule="exact"/>
        <w:rPr>
          <w:sz w:val="20"/>
          <w:szCs w:val="20"/>
          <w:color w:val="auto"/>
        </w:rPr>
      </w:pPr>
    </w:p>
    <w:p>
      <w:pPr>
        <w:jc w:val="center"/>
        <w:spacing w:after="0"/>
        <w:rPr>
          <w:sz w:val="20"/>
          <w:szCs w:val="20"/>
          <w:color w:val="auto"/>
        </w:rPr>
      </w:pPr>
      <w:r>
        <w:rPr>
          <w:rFonts w:ascii="Calibri" w:cs="Calibri" w:eastAsia="Calibri" w:hAnsi="Calibri"/>
          <w:sz w:val="15"/>
          <w:szCs w:val="15"/>
          <w:b w:val="1"/>
          <w:bCs w:val="1"/>
          <w:color w:val="auto"/>
        </w:rPr>
        <w:t>(dollars in thousands, except share and per share data, unless otherwise noted)</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b w:val="1"/>
          <w:bCs w:val="1"/>
          <w:color w:val="auto"/>
        </w:rPr>
        <w:t>1. Organizaton and Business Descripton</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CarGurus, Inc. (the "Company") is a multnatonal, online automotve platorm for buying and selling vehicles that is building upon its industry-leading listngs marketplace with both digital retail solutons and the CarOfer, LLC ("CarOfer") online wholesale platorm. The CarGurus platorm gives consumers the confdence to purchase and/or sell a vehicle either online or in person, and it gives dealerships the power to accurately price, efectvely market, instantly acquire, and quickly sell vehicles, all with a natonwide reach. The Company uses proprietary technology, search algorithms, and data analytcs to bring trust, transparency, and compettve pricing to the automotve shopping experience.</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The Company operates principally in the United States (the “U.S.”). In the U.S., it also operates as independent brands the Autolist online marketplace and the CarOfer online wholesale platorm, both of which it wholly owns. In additon to the U.S., the Company operates online marketplaces under the CarGurus brand in Canada and the United Kingdom (the “U.K.”). In the U.K., it also operates as an independent brand the PistonHeads online marketplace, which it wholly owns.</w:t>
      </w:r>
    </w:p>
    <w:p>
      <w:pPr>
        <w:spacing w:after="0" w:line="185" w:lineRule="exact"/>
        <w:rPr>
          <w:sz w:val="20"/>
          <w:szCs w:val="20"/>
          <w:color w:val="auto"/>
        </w:rPr>
      </w:pPr>
    </w:p>
    <w:p>
      <w:pPr>
        <w:jc w:val="both"/>
        <w:ind w:right="20" w:firstLine="511"/>
        <w:spacing w:after="0" w:line="241" w:lineRule="auto"/>
        <w:rPr>
          <w:sz w:val="20"/>
          <w:szCs w:val="20"/>
          <w:color w:val="auto"/>
        </w:rPr>
      </w:pPr>
      <w:r>
        <w:rPr>
          <w:rFonts w:ascii="Calibri" w:cs="Calibri" w:eastAsia="Calibri" w:hAnsi="Calibri"/>
          <w:sz w:val="15"/>
          <w:szCs w:val="15"/>
          <w:color w:val="auto"/>
        </w:rPr>
        <w:t>The Company has subsidiaries in the U.S., Canada, Ireland, and the U.K. and additonally it has two reportable segments, U.S. Marketplace and Digital Wholesale. See Note 14 of these consolidated fnancial statements for further segment reportng and geographic informaton.</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The Company is subject to a number of risks and uncertaintes common to companies in its and similar industries and stages of development including, but not limited to, rapid technological changes, competton from substtute products and services from larger companies, management of internatonal actvites, protecton of proprietary rights, patent litgaton, and dependence on key individuals.</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b w:val="1"/>
          <w:bCs w:val="1"/>
          <w:color w:val="auto"/>
        </w:rPr>
        <w:t>2. Summary of Signifcant Accountng Policies</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b w:val="1"/>
          <w:bCs w:val="1"/>
          <w:i w:val="1"/>
          <w:iCs w:val="1"/>
          <w:color w:val="auto"/>
        </w:rPr>
        <w:t>Basis of Presentaton</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The consolidated fnancial statements have been prepared in conformity with accountng principles generally accepted in the United States of America (“GAAP”). Any reference in these notes to applicable guidance is meant to refer to GAAP as found in the Accountng Standards Codifcaton (“ASC”) and Accountng Standards Update (“ASU”) of the Financial Accountng Standards Board (“FASB”).</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b w:val="1"/>
          <w:bCs w:val="1"/>
          <w:i w:val="1"/>
          <w:iCs w:val="1"/>
          <w:color w:val="auto"/>
        </w:rPr>
        <w:t>Principles of Consolidaton</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The accompanying consolidated fnancial statements include the accounts of the Company and its subsidiaries. All intercompany balances and transactons have been eliminated in consolidaton.</w:t>
      </w:r>
    </w:p>
    <w:p>
      <w:pPr>
        <w:spacing w:after="0" w:line="184" w:lineRule="exact"/>
        <w:rPr>
          <w:sz w:val="20"/>
          <w:szCs w:val="20"/>
          <w:color w:val="auto"/>
        </w:rPr>
      </w:pPr>
    </w:p>
    <w:p>
      <w:pPr>
        <w:spacing w:after="0"/>
        <w:rPr>
          <w:sz w:val="20"/>
          <w:szCs w:val="20"/>
          <w:color w:val="auto"/>
        </w:rPr>
      </w:pPr>
      <w:r>
        <w:rPr>
          <w:rFonts w:ascii="Calibri" w:cs="Calibri" w:eastAsia="Calibri" w:hAnsi="Calibri"/>
          <w:sz w:val="15"/>
          <w:szCs w:val="15"/>
          <w:b w:val="1"/>
          <w:bCs w:val="1"/>
          <w:i w:val="1"/>
          <w:iCs w:val="1"/>
          <w:color w:val="auto"/>
        </w:rPr>
        <w:t>Subsequent Event Consideratons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The Company considers events or transactons that occur afer the balance sheet date but prior to the issuance of the consolidated fnancial statements to provide additonal evidence for certain estmates or to identfy maters that require additonal disclosure. The Company has evaluated all subsequent events and determined that there are no material recognized or unrecognized subsequent events requiring disclosure.</w:t>
      </w:r>
    </w:p>
    <w:p>
      <w:pPr>
        <w:spacing w:after="0" w:line="185" w:lineRule="exact"/>
        <w:rPr>
          <w:sz w:val="20"/>
          <w:szCs w:val="20"/>
          <w:color w:val="auto"/>
        </w:rPr>
      </w:pPr>
    </w:p>
    <w:p>
      <w:pPr>
        <w:jc w:val="center"/>
        <w:spacing w:after="0"/>
        <w:rPr>
          <w:sz w:val="20"/>
          <w:szCs w:val="20"/>
          <w:color w:val="auto"/>
        </w:rPr>
      </w:pPr>
      <w:r>
        <w:rPr>
          <w:rFonts w:ascii="Calibri" w:cs="Calibri" w:eastAsia="Calibri" w:hAnsi="Calibri"/>
          <w:sz w:val="15"/>
          <w:szCs w:val="15"/>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408940</wp:posOffset>
            </wp:positionV>
            <wp:extent cx="7178040" cy="400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3" w:right="319" w:bottom="1440" w:gutter="0" w:footer="0" w:header="0"/>
        </w:sectPr>
      </w:pPr>
    </w:p>
    <w:bookmarkStart w:id="87" w:name="page88"/>
    <w:bookmarkEnd w:id="87"/>
    <w:p>
      <w:pPr>
        <w:spacing w:after="0"/>
        <w:rPr>
          <w:sz w:val="20"/>
          <w:szCs w:val="20"/>
          <w:color w:val="auto"/>
        </w:rPr>
      </w:pPr>
      <w:r>
        <w:rPr>
          <w:rFonts w:ascii="Calibri" w:cs="Calibri" w:eastAsia="Calibri" w:hAnsi="Calibri"/>
          <w:sz w:val="15"/>
          <w:szCs w:val="15"/>
          <w:b w:val="1"/>
          <w:bCs w:val="1"/>
          <w:i w:val="1"/>
          <w:iCs w:val="1"/>
          <w:color w:val="auto"/>
        </w:rPr>
        <w:t>Use of Estmates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The preparaton of the consolidated fnancial statements in conformity with GAAP requires management to make estmates and assumptons that afect the reported amounts of assets and liabilites, and the disclosure of contngent assets and liabilites at the date of the fnancial statements, and the reported amounts of revenue and expenses during the reportng period.</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Although the Company regularly assesses these estmates, actual results could difer materially from these estmates. The Company bases its estmates on historical experience and various other assumptons that it believes to be reasonable under the circumstances. Actual results may difer from management’s estmates if these results difer from historical experience, or other assumptons do not turn out to be substantally accurate, even if such assumptons are reasonable when made. Changes in estmates are recognized in the period in which they become known.</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Critcal estmates relied upon in preparing the consolidated fnancial statements include the determinaton of sales allowance and variable consideraton in the Company’s revenue recogniton, allowance for doubtul accounts, the impairment of long-lived assets, the capitalizaton of product, technology, and development costs for website development, internal-use sofware, and hostng arrangements, the valuaton of acquired assets and liabilites, the valuaton and recoverability of intangible assets and goodwill, the valuaton of redeemable noncontrolling interest, the recoverability of the Company’s net deferred tax assets and related valuaton allowance, the valuaton of inventory, and the valuaton of equity and liability-classifed compensaton awards. Accordingly, the Company considers these to be its critcal accountng estmates and believes that of the Company’s signifcant accountng policies, these involve the greatest degree of judgment and complexity.</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b w:val="1"/>
          <w:bCs w:val="1"/>
          <w:i w:val="1"/>
          <w:iCs w:val="1"/>
          <w:color w:val="auto"/>
        </w:rPr>
        <w:t>Concentraton of Credit Risk</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The Company has no signifcant of-balance sheet risk, such as foreign exchange contracts, opton contracts, or other foreign hedging arrangements. Financial instruments that potentally expose the Company to concentratons of credit risk consist primarily of cash, cash equivalents, short-term investments, trade accounts receivable, and other receivables.</w:t>
      </w:r>
    </w:p>
    <w:p>
      <w:pPr>
        <w:spacing w:after="0" w:line="92"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The Company maintains its cash, cash equivalents, and short-term investments principally with accredited fnancial insttutons of high credit standing. Although the Company deposits its cash, cash equivalents, and short-term investments with multple fnancial insttutons, its deposits with each such fnancial insttuton exceed governmental insured limits.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The Company routnely assesses the creditworthiness of its customers and does not require collateral. The Company generally has not experienced any material losses related to receivables from individual customers, or groups of customers. The majority of the Company's accounts receivable results from wholesale and product revenue transactons. The Company has had no material losses related to wholesale and product receivables as the third-party transacton processor does not release the ttle to the vehicle untl successfully collectng funds from the buying dealer. Titling is handled by the Company's third-party transacton processor and ttles are held in escrow untl it collects funds from the buying dealer (i.e., ttle is legally transferred from the selling party to the buying party upon signing of bill of sale, but ttle is held in escrow by the third-party transacton processor untl payment is received). Due to these factors, no additonal credit risk beyond amounts provided for collecton losses is believed by management to be probable in the Company’s accounts receivable and other receivables.</w:t>
      </w:r>
    </w:p>
    <w:p>
      <w:pPr>
        <w:spacing w:after="0" w:line="186"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As of December 31, 2023, no customer accounted for more than 10% of net accounts receivable and other receivables. As of December 31, 2022, one customer accounted for 13% of net accounts receivable. The remainder of the accounts receivable was dispersed among more than 1,000 customers. The customer who accounted for greater than 10% of net accounts receivable is related to wholesale and product receivables. The collecton risk associated with this customer is mitgated because, as discussed above, the third-party transacton processor does not release the ttle on vehicles untl funds are successfully collected. Furthermore, there is no signifcant credit risk with respect to accounts receivable because, other than the receivables associated with this customer, credit risk with respect to accounts receivable is dispersed due to the large number of customers.</w:t>
      </w:r>
    </w:p>
    <w:p>
      <w:pPr>
        <w:spacing w:after="0" w:line="185" w:lineRule="exact"/>
        <w:rPr>
          <w:sz w:val="20"/>
          <w:szCs w:val="20"/>
          <w:color w:val="auto"/>
        </w:rPr>
      </w:pPr>
    </w:p>
    <w:p>
      <w:pPr>
        <w:ind w:left="500"/>
        <w:spacing w:after="0"/>
        <w:rPr>
          <w:sz w:val="20"/>
          <w:szCs w:val="20"/>
          <w:color w:val="auto"/>
        </w:rPr>
      </w:pPr>
      <w:r>
        <w:rPr>
          <w:rFonts w:ascii="Calibri" w:cs="Calibri" w:eastAsia="Calibri" w:hAnsi="Calibri"/>
          <w:sz w:val="15"/>
          <w:szCs w:val="15"/>
          <w:color w:val="auto"/>
        </w:rPr>
        <w:t>For the years ended December 31, 2023, 2022, and 2021, no individual customer accounted for more than 10% of total revenue.</w:t>
      </w:r>
    </w:p>
    <w:p>
      <w:pPr>
        <w:spacing w:after="0" w:line="185" w:lineRule="exact"/>
        <w:rPr>
          <w:sz w:val="20"/>
          <w:szCs w:val="20"/>
          <w:color w:val="auto"/>
        </w:rPr>
      </w:pPr>
    </w:p>
    <w:p>
      <w:pPr>
        <w:jc w:val="center"/>
        <w:spacing w:after="0"/>
        <w:rPr>
          <w:sz w:val="20"/>
          <w:szCs w:val="20"/>
          <w:color w:val="auto"/>
        </w:rPr>
      </w:pPr>
      <w:r>
        <w:rPr>
          <w:rFonts w:ascii="Calibri" w:cs="Calibri" w:eastAsia="Calibri" w:hAnsi="Calibri"/>
          <w:sz w:val="15"/>
          <w:szCs w:val="15"/>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408940</wp:posOffset>
            </wp:positionV>
            <wp:extent cx="7178040" cy="4000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3" w:right="319" w:bottom="1440" w:gutter="0" w:footer="0" w:header="0"/>
        </w:sectPr>
      </w:pPr>
    </w:p>
    <w:bookmarkStart w:id="88" w:name="page89"/>
    <w:bookmarkEnd w:id="88"/>
    <w:p>
      <w:pPr>
        <w:spacing w:after="0"/>
        <w:rPr>
          <w:sz w:val="20"/>
          <w:szCs w:val="20"/>
          <w:color w:val="auto"/>
        </w:rPr>
      </w:pPr>
      <w:r>
        <w:rPr>
          <w:rFonts w:ascii="Calibri" w:cs="Calibri" w:eastAsia="Calibri" w:hAnsi="Calibri"/>
          <w:sz w:val="15"/>
          <w:szCs w:val="15"/>
          <w:b w:val="1"/>
          <w:bCs w:val="1"/>
          <w:i w:val="1"/>
          <w:iCs w:val="1"/>
          <w:color w:val="auto"/>
        </w:rPr>
        <w:t>Signifcant Accountng Policies</w:t>
      </w:r>
    </w:p>
    <w:p>
      <w:pPr>
        <w:spacing w:after="0" w:line="185" w:lineRule="exact"/>
        <w:rPr>
          <w:sz w:val="20"/>
          <w:szCs w:val="20"/>
          <w:color w:val="auto"/>
        </w:rPr>
      </w:pPr>
    </w:p>
    <w:p>
      <w:pPr>
        <w:jc w:val="both"/>
        <w:ind w:firstLine="511"/>
        <w:spacing w:after="0" w:line="347" w:lineRule="auto"/>
        <w:rPr>
          <w:sz w:val="20"/>
          <w:szCs w:val="20"/>
          <w:color w:val="auto"/>
        </w:rPr>
      </w:pPr>
      <w:r>
        <w:rPr>
          <w:rFonts w:ascii="MS PGothic" w:cs="MS PGothic" w:eastAsia="MS PGothic" w:hAnsi="MS PGothic"/>
          <w:sz w:val="15"/>
          <w:szCs w:val="15"/>
          <w:color w:val="auto"/>
        </w:rPr>
        <w:t>The consolidated fnancial statements refect the applicaton of certain signifcant accountng policies as described below and elsewhere in the notes of these consolidated fnancial statements.</w:t>
      </w:r>
    </w:p>
    <w:p>
      <w:pPr>
        <w:spacing w:after="0" w:line="118" w:lineRule="exact"/>
        <w:rPr>
          <w:sz w:val="20"/>
          <w:szCs w:val="20"/>
          <w:color w:val="auto"/>
        </w:rPr>
      </w:pPr>
    </w:p>
    <w:p>
      <w:pPr>
        <w:spacing w:after="0"/>
        <w:rPr>
          <w:sz w:val="20"/>
          <w:szCs w:val="20"/>
          <w:color w:val="auto"/>
        </w:rPr>
      </w:pPr>
      <w:r>
        <w:rPr>
          <w:rFonts w:ascii="Calibri" w:cs="Calibri" w:eastAsia="Calibri" w:hAnsi="Calibri"/>
          <w:sz w:val="15"/>
          <w:szCs w:val="15"/>
          <w:b w:val="1"/>
          <w:bCs w:val="1"/>
          <w:i w:val="1"/>
          <w:iCs w:val="1"/>
          <w:color w:val="auto"/>
        </w:rPr>
        <w:t>Cash, Cash Equivalents, and Investments</w:t>
      </w:r>
    </w:p>
    <w:p>
      <w:pPr>
        <w:spacing w:after="0" w:line="185" w:lineRule="exact"/>
        <w:rPr>
          <w:sz w:val="20"/>
          <w:szCs w:val="20"/>
          <w:color w:val="auto"/>
        </w:rPr>
      </w:pPr>
    </w:p>
    <w:p>
      <w:pPr>
        <w:ind w:left="500"/>
        <w:spacing w:after="0"/>
        <w:rPr>
          <w:sz w:val="20"/>
          <w:szCs w:val="20"/>
          <w:color w:val="auto"/>
        </w:rPr>
      </w:pPr>
      <w:r>
        <w:rPr>
          <w:rFonts w:ascii="MS PGothic" w:cs="MS PGothic" w:eastAsia="MS PGothic" w:hAnsi="MS PGothic"/>
          <w:sz w:val="14"/>
          <w:szCs w:val="14"/>
          <w:color w:val="auto"/>
        </w:rPr>
        <w:t>As of December 31, 2023, cash and cash equivalents primarily consist of cash on deposit with banks, amounts held in interest‑bearing money market accounts, and mutual funds.</w:t>
      </w:r>
    </w:p>
    <w:p>
      <w:pPr>
        <w:spacing w:after="0" w:line="44" w:lineRule="exact"/>
        <w:rPr>
          <w:sz w:val="20"/>
          <w:szCs w:val="20"/>
          <w:color w:val="auto"/>
        </w:rPr>
      </w:pPr>
    </w:p>
    <w:p>
      <w:pPr>
        <w:spacing w:after="0"/>
        <w:rPr>
          <w:sz w:val="20"/>
          <w:szCs w:val="20"/>
          <w:color w:val="auto"/>
        </w:rPr>
      </w:pPr>
      <w:r>
        <w:rPr>
          <w:rFonts w:ascii="MS PGothic" w:cs="MS PGothic" w:eastAsia="MS PGothic" w:hAnsi="MS PGothic"/>
          <w:sz w:val="15"/>
          <w:szCs w:val="15"/>
          <w:color w:val="auto"/>
        </w:rPr>
        <w:t>As of December 31, 2022, cash and cash equivalents primarily consist of cash on deposit with banks, amounts held in interest-bearing money market accounts, and mutual funds.</w:t>
      </w:r>
    </w:p>
    <w:p>
      <w:pPr>
        <w:spacing w:after="0" w:line="218" w:lineRule="exact"/>
        <w:rPr>
          <w:sz w:val="20"/>
          <w:szCs w:val="20"/>
          <w:color w:val="auto"/>
        </w:rPr>
      </w:pPr>
    </w:p>
    <w:p>
      <w:pPr>
        <w:ind w:left="500"/>
        <w:spacing w:after="0"/>
        <w:rPr>
          <w:sz w:val="20"/>
          <w:szCs w:val="20"/>
          <w:color w:val="auto"/>
        </w:rPr>
      </w:pPr>
      <w:r>
        <w:rPr>
          <w:rFonts w:ascii="MS PGothic" w:cs="MS PGothic" w:eastAsia="MS PGothic" w:hAnsi="MS PGothic"/>
          <w:sz w:val="15"/>
          <w:szCs w:val="15"/>
          <w:color w:val="auto"/>
        </w:rPr>
        <w:t>Cash equivalents are carried at cost, which approximates their fair market value.</w:t>
      </w:r>
    </w:p>
    <w:p>
      <w:pPr>
        <w:spacing w:after="0" w:line="218" w:lineRule="exact"/>
        <w:rPr>
          <w:sz w:val="20"/>
          <w:szCs w:val="20"/>
          <w:color w:val="auto"/>
        </w:rPr>
      </w:pPr>
    </w:p>
    <w:p>
      <w:pPr>
        <w:jc w:val="both"/>
        <w:ind w:firstLine="511"/>
        <w:spacing w:after="0" w:line="320" w:lineRule="auto"/>
        <w:rPr>
          <w:sz w:val="20"/>
          <w:szCs w:val="20"/>
          <w:color w:val="auto"/>
        </w:rPr>
      </w:pPr>
      <w:r>
        <w:rPr>
          <w:rFonts w:ascii="MS PGothic" w:cs="MS PGothic" w:eastAsia="MS PGothic" w:hAnsi="MS PGothic"/>
          <w:sz w:val="15"/>
          <w:szCs w:val="15"/>
          <w:color w:val="auto"/>
        </w:rPr>
        <w:t>The Company’s investment policy, which was approved by the Audit Commitee of the Company’s Board of Directors (the “Board”), permits investments in fxed income securites, including U.S. government and agency securites, non‑U.S. government securites, money market instruments, commercial paper, certfcates of deposit, corporate bonds, and asset‑backed securites.</w:t>
      </w:r>
    </w:p>
    <w:p>
      <w:pPr>
        <w:spacing w:after="0" w:line="136" w:lineRule="exact"/>
        <w:rPr>
          <w:sz w:val="20"/>
          <w:szCs w:val="20"/>
          <w:color w:val="auto"/>
        </w:rPr>
      </w:pPr>
    </w:p>
    <w:p>
      <w:pPr>
        <w:jc w:val="both"/>
        <w:ind w:firstLine="511"/>
        <w:spacing w:after="0" w:line="312" w:lineRule="auto"/>
        <w:rPr>
          <w:sz w:val="20"/>
          <w:szCs w:val="20"/>
          <w:color w:val="auto"/>
        </w:rPr>
      </w:pPr>
      <w:r>
        <w:rPr>
          <w:rFonts w:ascii="MS PGothic" w:cs="MS PGothic" w:eastAsia="MS PGothic" w:hAnsi="MS PGothic"/>
          <w:sz w:val="15"/>
          <w:szCs w:val="15"/>
          <w:color w:val="auto"/>
        </w:rPr>
        <w:t>The Company considers all highly liquid investments with an original maturity of 90 days or less at the date of purchase to be cash equivalents. Investments not classifed as cash equivalents with maturites less than one year from the balance sheet date are classifed as short‑term investments, while investments with maturites in excess of one year from the balance sheet date are classifed as long‑term investments. Management determines the appropriate classifcaton of investments at the tme of purchase, and re‑evaluates such determinaton at each balance sheet date.</w:t>
      </w:r>
    </w:p>
    <w:p>
      <w:pPr>
        <w:spacing w:after="0" w:line="140" w:lineRule="exact"/>
        <w:rPr>
          <w:sz w:val="20"/>
          <w:szCs w:val="20"/>
          <w:color w:val="auto"/>
        </w:rPr>
      </w:pPr>
    </w:p>
    <w:p>
      <w:pPr>
        <w:jc w:val="both"/>
        <w:ind w:firstLine="511"/>
        <w:spacing w:after="0" w:line="312" w:lineRule="auto"/>
        <w:rPr>
          <w:sz w:val="20"/>
          <w:szCs w:val="20"/>
          <w:color w:val="auto"/>
        </w:rPr>
      </w:pPr>
      <w:r>
        <w:rPr>
          <w:rFonts w:ascii="MS PGothic" w:cs="MS PGothic" w:eastAsia="MS PGothic" w:hAnsi="MS PGothic"/>
          <w:sz w:val="15"/>
          <w:szCs w:val="15"/>
          <w:color w:val="auto"/>
        </w:rPr>
        <w:t>Investments in equity securites with readily determinable fair values are recognized at fair value based on quoted market prices within investments in the consolidated balance sheets. Investments in held‑to‑maturity debt securites are recognized at amortzed cost within short-term investments in the consolidated balance sheets. The Company adjusts the cost of investments in held-to-maturity debt securites for amortzaton of premiums and accreton of discounts to maturity, if any. Investments in trading and available-for-sale debt securites are recognized at fair value within investments in the consolidated balance sheets.</w:t>
      </w:r>
    </w:p>
    <w:p>
      <w:pPr>
        <w:spacing w:after="0" w:line="140" w:lineRule="exact"/>
        <w:rPr>
          <w:sz w:val="20"/>
          <w:szCs w:val="20"/>
          <w:color w:val="auto"/>
        </w:rPr>
      </w:pPr>
    </w:p>
    <w:p>
      <w:pPr>
        <w:ind w:left="500"/>
        <w:spacing w:after="0"/>
        <w:rPr>
          <w:sz w:val="20"/>
          <w:szCs w:val="20"/>
          <w:color w:val="auto"/>
        </w:rPr>
      </w:pPr>
      <w:r>
        <w:rPr>
          <w:rFonts w:ascii="MS PGothic" w:cs="MS PGothic" w:eastAsia="MS PGothic" w:hAnsi="MS PGothic"/>
          <w:sz w:val="15"/>
          <w:szCs w:val="15"/>
          <w:color w:val="auto"/>
        </w:rPr>
        <w:t>Purchases of equity securites and debt securites are recognized within investng actvites in the consolidated statements of cash fows.</w:t>
      </w:r>
    </w:p>
    <w:p>
      <w:pPr>
        <w:spacing w:after="0" w:line="218" w:lineRule="exact"/>
        <w:rPr>
          <w:sz w:val="20"/>
          <w:szCs w:val="20"/>
          <w:color w:val="auto"/>
        </w:rPr>
      </w:pPr>
    </w:p>
    <w:p>
      <w:pPr>
        <w:jc w:val="both"/>
        <w:ind w:firstLine="511"/>
        <w:spacing w:after="0" w:line="347" w:lineRule="auto"/>
        <w:rPr>
          <w:sz w:val="20"/>
          <w:szCs w:val="20"/>
          <w:color w:val="auto"/>
        </w:rPr>
      </w:pPr>
      <w:r>
        <w:rPr>
          <w:rFonts w:ascii="MS PGothic" w:cs="MS PGothic" w:eastAsia="MS PGothic" w:hAnsi="MS PGothic"/>
          <w:sz w:val="15"/>
          <w:szCs w:val="15"/>
          <w:color w:val="auto"/>
        </w:rPr>
        <w:t>Dividend income from equity securites is recognized within interest income in the consolidated income statements. Reinvested proceeds from dividend income are recognized within purchases of investments in investng actvites in the consolidated statements of cash fows.</w:t>
      </w:r>
    </w:p>
    <w:p>
      <w:pPr>
        <w:spacing w:after="0" w:line="119" w:lineRule="exact"/>
        <w:rPr>
          <w:sz w:val="20"/>
          <w:szCs w:val="20"/>
          <w:color w:val="auto"/>
        </w:rPr>
      </w:pPr>
    </w:p>
    <w:p>
      <w:pPr>
        <w:jc w:val="both"/>
        <w:ind w:firstLine="511"/>
        <w:spacing w:after="0" w:line="312" w:lineRule="auto"/>
        <w:rPr>
          <w:sz w:val="20"/>
          <w:szCs w:val="20"/>
          <w:color w:val="auto"/>
        </w:rPr>
      </w:pPr>
      <w:r>
        <w:rPr>
          <w:rFonts w:ascii="MS PGothic" w:cs="MS PGothic" w:eastAsia="MS PGothic" w:hAnsi="MS PGothic"/>
          <w:sz w:val="15"/>
          <w:szCs w:val="15"/>
          <w:color w:val="auto"/>
        </w:rPr>
        <w:t>The revaluaton of equity securites and debt securites results in an unrealized gain or loss. Unrealized gains or losses on equity securites and trading debt securites are recognized within other income (expense), net in the consolidated income statements and adjusted for in operatng actvites in the consolidated statements of cash fows. Unrealized gains or losses on available-for-sale debt securites are recognized within other comprehensive income in the consolidated statements of comprehensive income. Interest on held-to-maturity debt securites is recognized within interest income in the consolidated income statements.</w:t>
      </w:r>
    </w:p>
    <w:p>
      <w:pPr>
        <w:spacing w:after="0" w:line="140" w:lineRule="exact"/>
        <w:rPr>
          <w:sz w:val="20"/>
          <w:szCs w:val="20"/>
          <w:color w:val="auto"/>
        </w:rPr>
      </w:pPr>
    </w:p>
    <w:p>
      <w:pPr>
        <w:jc w:val="both"/>
        <w:ind w:firstLine="511"/>
        <w:spacing w:after="0" w:line="320" w:lineRule="auto"/>
        <w:rPr>
          <w:sz w:val="20"/>
          <w:szCs w:val="20"/>
          <w:color w:val="auto"/>
        </w:rPr>
      </w:pPr>
      <w:r>
        <w:rPr>
          <w:rFonts w:ascii="MS PGothic" w:cs="MS PGothic" w:eastAsia="MS PGothic" w:hAnsi="MS PGothic"/>
          <w:sz w:val="15"/>
          <w:szCs w:val="15"/>
          <w:color w:val="auto"/>
        </w:rPr>
        <w:t>Proceeds from sale of equity securites and debt securites are recognized within investng actvites in the consolidated statements of cash fows. Realized gains and losses on sale of equity securites and debt securites are recognized within other income (expense), net in the consolidated income statements, adjusted for in operatng actvites in the consolidated cash fows, and recognized within proceeds from sale of equity securites and debt securites in investng actvites in the consolidated statements of cash fows.</w:t>
      </w:r>
    </w:p>
    <w:p>
      <w:pPr>
        <w:spacing w:after="0" w:line="136" w:lineRule="exact"/>
        <w:rPr>
          <w:sz w:val="20"/>
          <w:szCs w:val="20"/>
          <w:color w:val="auto"/>
        </w:rPr>
      </w:pPr>
    </w:p>
    <w:p>
      <w:pPr>
        <w:jc w:val="center"/>
        <w:spacing w:after="0"/>
        <w:rPr>
          <w:sz w:val="20"/>
          <w:szCs w:val="20"/>
          <w:color w:val="auto"/>
        </w:rPr>
      </w:pPr>
      <w:r>
        <w:rPr>
          <w:rFonts w:ascii="MS PGothic" w:cs="MS PGothic" w:eastAsia="MS PGothic" w:hAnsi="MS PGothic"/>
          <w:sz w:val="15"/>
          <w:szCs w:val="15"/>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422275</wp:posOffset>
            </wp:positionV>
            <wp:extent cx="7178040" cy="4000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3" w:right="319" w:bottom="1440" w:gutter="0" w:footer="0" w:header="0"/>
        </w:sectPr>
      </w:pPr>
    </w:p>
    <w:bookmarkStart w:id="89" w:name="page90"/>
    <w:bookmarkEnd w:id="89"/>
    <w:p>
      <w:pPr>
        <w:jc w:val="both"/>
        <w:ind w:firstLine="511"/>
        <w:spacing w:after="0" w:line="305" w:lineRule="auto"/>
        <w:rPr>
          <w:sz w:val="20"/>
          <w:szCs w:val="20"/>
          <w:color w:val="auto"/>
        </w:rPr>
      </w:pPr>
      <w:r>
        <w:rPr>
          <w:rFonts w:ascii="MS PGothic" w:cs="MS PGothic" w:eastAsia="MS PGothic" w:hAnsi="MS PGothic"/>
          <w:sz w:val="15"/>
          <w:szCs w:val="15"/>
          <w:color w:val="auto"/>
        </w:rPr>
        <w:t>Debt securites are reviewed for other‑than‑temporary impairment whenever the fair value of an investment is less than the amortzed cost and evidence indicates that an investment’s carrying amount is not recoverable within a reasonable period of tme. Other‑than‑temporary impairments of debt securites are recognized within other income (expense), net in the consolidated income statements if the Company has experienced a credit loss or if it is more likely than not that the Company will be required to sell the investment before recovery of the amortzed cost basis. Evidence considered in this assessment includes reasons for the impairment, compliance with the Company’s investment policy, the severity and duraton of the impairment, and changes in value subsequent to the end of the period. For the years ended December 31, 2023, 2022, and 2021, the Company determined that no other‑than‑temporary impairments were required to be recognized in the consolidated income statements.</w:t>
      </w:r>
    </w:p>
    <w:p>
      <w:pPr>
        <w:spacing w:after="0" w:line="145" w:lineRule="exact"/>
        <w:rPr>
          <w:sz w:val="20"/>
          <w:szCs w:val="20"/>
          <w:color w:val="auto"/>
        </w:rPr>
      </w:pPr>
    </w:p>
    <w:p>
      <w:pPr>
        <w:ind w:left="500"/>
        <w:spacing w:after="0"/>
        <w:rPr>
          <w:sz w:val="20"/>
          <w:szCs w:val="20"/>
          <w:color w:val="auto"/>
        </w:rPr>
      </w:pPr>
      <w:r>
        <w:rPr>
          <w:rFonts w:ascii="MS PGothic" w:cs="MS PGothic" w:eastAsia="MS PGothic" w:hAnsi="MS PGothic"/>
          <w:sz w:val="15"/>
          <w:szCs w:val="15"/>
          <w:color w:val="auto"/>
        </w:rPr>
        <w:t>As of December 31, 2023, the Company held short-term investments in equity securites.</w:t>
      </w:r>
    </w:p>
    <w:p>
      <w:pPr>
        <w:spacing w:after="0" w:line="218" w:lineRule="exact"/>
        <w:rPr>
          <w:sz w:val="20"/>
          <w:szCs w:val="20"/>
          <w:color w:val="auto"/>
        </w:rPr>
      </w:pPr>
    </w:p>
    <w:p>
      <w:pPr>
        <w:ind w:left="500"/>
        <w:spacing w:after="0"/>
        <w:rPr>
          <w:sz w:val="20"/>
          <w:szCs w:val="20"/>
          <w:color w:val="auto"/>
        </w:rPr>
      </w:pPr>
      <w:r>
        <w:rPr>
          <w:rFonts w:ascii="MS PGothic" w:cs="MS PGothic" w:eastAsia="MS PGothic" w:hAnsi="MS PGothic"/>
          <w:sz w:val="15"/>
          <w:szCs w:val="15"/>
          <w:color w:val="auto"/>
        </w:rPr>
        <w:t>As of December 31, 2022, the Company held no investments.</w:t>
      </w:r>
    </w:p>
    <w:p>
      <w:pPr>
        <w:spacing w:after="0" w:line="218" w:lineRule="exact"/>
        <w:rPr>
          <w:sz w:val="20"/>
          <w:szCs w:val="20"/>
          <w:color w:val="auto"/>
        </w:rPr>
      </w:pPr>
    </w:p>
    <w:p>
      <w:pPr>
        <w:spacing w:after="0"/>
        <w:rPr>
          <w:sz w:val="20"/>
          <w:szCs w:val="20"/>
          <w:color w:val="auto"/>
        </w:rPr>
      </w:pPr>
      <w:r>
        <w:rPr>
          <w:rFonts w:ascii="Calibri" w:cs="Calibri" w:eastAsia="Calibri" w:hAnsi="Calibri"/>
          <w:sz w:val="15"/>
          <w:szCs w:val="15"/>
          <w:b w:val="1"/>
          <w:bCs w:val="1"/>
          <w:i w:val="1"/>
          <w:iCs w:val="1"/>
          <w:color w:val="auto"/>
        </w:rPr>
        <w:t>Restricted Cash</w:t>
      </w:r>
    </w:p>
    <w:p>
      <w:pPr>
        <w:spacing w:after="0" w:line="185" w:lineRule="exact"/>
        <w:rPr>
          <w:sz w:val="20"/>
          <w:szCs w:val="20"/>
          <w:color w:val="auto"/>
        </w:rPr>
      </w:pPr>
    </w:p>
    <w:p>
      <w:pPr>
        <w:jc w:val="both"/>
        <w:ind w:firstLine="511"/>
        <w:spacing w:after="0" w:line="307" w:lineRule="auto"/>
        <w:rPr>
          <w:sz w:val="20"/>
          <w:szCs w:val="20"/>
          <w:color w:val="auto"/>
        </w:rPr>
      </w:pPr>
      <w:r>
        <w:rPr>
          <w:rFonts w:ascii="MS PGothic" w:cs="MS PGothic" w:eastAsia="MS PGothic" w:hAnsi="MS PGothic"/>
          <w:sz w:val="15"/>
          <w:szCs w:val="15"/>
          <w:color w:val="auto"/>
        </w:rPr>
        <w:t>As of December 31, 2023, restricted cash was $2,563, and primarily related to pass-through payments from customers related to the Company's Digital Wholesale business. As of December 31, 2022, restricted cash was $14,615, and primarily related to cash held at a fnancial insttuton in an interest-bearing cash account as collateral for the leters of credit related to the contractual provisions for the Company’s building leases and pass-through payments from customers related to the Company’s Digital Wholesale business. As of December 31, 2023, all of restricted cash was classifed as a short-term asset, as disclosed in the consolidated balance sheets. As of December 31, 2022, portons of restricted cash were classifed as short-term assets and long-term assets, as disclosed in the consolidated balance sheets.</w:t>
      </w:r>
    </w:p>
    <w:p>
      <w:pPr>
        <w:spacing w:after="0" w:line="145" w:lineRule="exact"/>
        <w:rPr>
          <w:sz w:val="20"/>
          <w:szCs w:val="20"/>
          <w:color w:val="auto"/>
        </w:rPr>
      </w:pPr>
    </w:p>
    <w:p>
      <w:pPr>
        <w:spacing w:after="0"/>
        <w:rPr>
          <w:sz w:val="20"/>
          <w:szCs w:val="20"/>
          <w:color w:val="auto"/>
        </w:rPr>
      </w:pPr>
      <w:r>
        <w:rPr>
          <w:rFonts w:ascii="Calibri" w:cs="Calibri" w:eastAsia="Calibri" w:hAnsi="Calibri"/>
          <w:sz w:val="15"/>
          <w:szCs w:val="15"/>
          <w:b w:val="1"/>
          <w:bCs w:val="1"/>
          <w:i w:val="1"/>
          <w:iCs w:val="1"/>
          <w:color w:val="auto"/>
        </w:rPr>
        <w:t>Accounts Receivable and Allowance for Doubtul Accounts</w:t>
      </w:r>
    </w:p>
    <w:p>
      <w:pPr>
        <w:spacing w:after="0" w:line="185" w:lineRule="exact"/>
        <w:rPr>
          <w:sz w:val="20"/>
          <w:szCs w:val="20"/>
          <w:color w:val="auto"/>
        </w:rPr>
      </w:pPr>
    </w:p>
    <w:p>
      <w:pPr>
        <w:ind w:left="500"/>
        <w:spacing w:after="0"/>
        <w:rPr>
          <w:sz w:val="20"/>
          <w:szCs w:val="20"/>
          <w:color w:val="auto"/>
        </w:rPr>
      </w:pPr>
      <w:r>
        <w:rPr>
          <w:rFonts w:ascii="MS PGothic" w:cs="MS PGothic" w:eastAsia="MS PGothic" w:hAnsi="MS PGothic"/>
          <w:sz w:val="15"/>
          <w:szCs w:val="15"/>
          <w:color w:val="auto"/>
        </w:rPr>
        <w:t>Accounts receivable is recorded based on the amount due from the customer and a third-party transacton processor. Accounts receivable do not bear interest.</w:t>
      </w:r>
    </w:p>
    <w:p>
      <w:pPr>
        <w:spacing w:after="0" w:line="218" w:lineRule="exact"/>
        <w:rPr>
          <w:sz w:val="20"/>
          <w:szCs w:val="20"/>
          <w:color w:val="auto"/>
        </w:rPr>
      </w:pPr>
    </w:p>
    <w:p>
      <w:pPr>
        <w:jc w:val="both"/>
        <w:ind w:firstLine="511"/>
        <w:spacing w:after="0" w:line="305" w:lineRule="auto"/>
        <w:rPr>
          <w:sz w:val="20"/>
          <w:szCs w:val="20"/>
          <w:color w:val="auto"/>
        </w:rPr>
      </w:pPr>
      <w:r>
        <w:rPr>
          <w:rFonts w:ascii="MS PGothic" w:cs="MS PGothic" w:eastAsia="MS PGothic" w:hAnsi="MS PGothic"/>
          <w:sz w:val="15"/>
          <w:szCs w:val="15"/>
          <w:color w:val="auto"/>
        </w:rPr>
        <w:t>The Company is exposed to credit losses primarily through its trade accounts receivable, which includes receivables in transit, net of payables due, from a third-party transacton processor. The third-party transacton processor collects customer payments on the Company's behalf and remits them to the Company. Customer payments received by the third-party transacton processor, but not remited to the Company as of period end, are deemed to be receivables in transit, net of payables due. Additonally, the third-party transacton processor provides payments in advance for certain selling dealers. If the third-party transacton processor does not receive buying dealer payments associated with the transacton paid in advance, the Company would guarantee losses incurred by the third-party transacton processor and the balance would be deducted from future remitances to the Company. To date, losses associated with these guarantees have not been material.</w:t>
      </w:r>
    </w:p>
    <w:p>
      <w:pPr>
        <w:spacing w:after="0" w:line="145" w:lineRule="exact"/>
        <w:rPr>
          <w:sz w:val="20"/>
          <w:szCs w:val="20"/>
          <w:color w:val="auto"/>
        </w:rPr>
      </w:pPr>
    </w:p>
    <w:p>
      <w:pPr>
        <w:jc w:val="both"/>
        <w:ind w:firstLine="511"/>
        <w:spacing w:after="0" w:line="302" w:lineRule="auto"/>
        <w:rPr>
          <w:sz w:val="20"/>
          <w:szCs w:val="20"/>
          <w:color w:val="auto"/>
        </w:rPr>
      </w:pPr>
      <w:r>
        <w:rPr>
          <w:rFonts w:ascii="MS PGothic" w:cs="MS PGothic" w:eastAsia="MS PGothic" w:hAnsi="MS PGothic"/>
          <w:sz w:val="15"/>
          <w:szCs w:val="15"/>
          <w:color w:val="auto"/>
        </w:rPr>
        <w:t>The Company ofsets trade accounts receivables in transit, net of payables due, from the third-party transacton processor with payments received in advance from the third-party transacton processor as it has the right of ofset. At any point in tme, the Company could have amounts due from the third-party transacton processor for funds the third-party transacton processor has collected from buying dealers and has not yet remited to the Company (i.e., receivables in transit, net of payables due), as well as amounts paid by the third-party transacton processor to the Company in advance of collectng payments from buying dealers (i.e., payments received in advance). Therefore, as the Company has the right to ofset, the Company can either have a net receivable balance due from the third-party transacton processor which is recognized within accounts receivable, net in the consolidated balance sheets, or the Company can have a net liability which is recognized within accrued expenses, accrued income taxes, and other current liabilites in the consolidated balance sheets if the advance payments exceed the receivable positon from the third-party transacton processor as of the balance sheet date. Payments received in advance from the third-party transacton processor are presented as cash fows from fnancing actvites in the consolidated statements of cash fows.</w:t>
      </w:r>
    </w:p>
    <w:p>
      <w:pPr>
        <w:spacing w:after="0" w:line="147" w:lineRule="exact"/>
        <w:rPr>
          <w:sz w:val="20"/>
          <w:szCs w:val="20"/>
          <w:color w:val="auto"/>
        </w:rPr>
      </w:pPr>
    </w:p>
    <w:p>
      <w:pPr>
        <w:jc w:val="center"/>
        <w:spacing w:after="0"/>
        <w:rPr>
          <w:sz w:val="20"/>
          <w:szCs w:val="20"/>
          <w:color w:val="auto"/>
        </w:rPr>
      </w:pPr>
      <w:r>
        <w:rPr>
          <w:rFonts w:ascii="MS PGothic" w:cs="MS PGothic" w:eastAsia="MS PGothic" w:hAnsi="MS PGothic"/>
          <w:sz w:val="15"/>
          <w:szCs w:val="15"/>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422275</wp:posOffset>
            </wp:positionV>
            <wp:extent cx="7178040" cy="4000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3" w:right="319" w:bottom="1440" w:gutter="0" w:footer="0" w:header="0"/>
        </w:sectPr>
      </w:pPr>
    </w:p>
    <w:bookmarkStart w:id="90" w:name="page91"/>
    <w:bookmarkEnd w:id="90"/>
    <w:p>
      <w:pPr>
        <w:jc w:val="both"/>
        <w:ind w:firstLine="511"/>
        <w:spacing w:after="0" w:line="312" w:lineRule="auto"/>
        <w:rPr>
          <w:sz w:val="20"/>
          <w:szCs w:val="20"/>
          <w:color w:val="auto"/>
        </w:rPr>
      </w:pPr>
      <w:r>
        <w:rPr>
          <w:rFonts w:ascii="MS PGothic" w:cs="MS PGothic" w:eastAsia="MS PGothic" w:hAnsi="MS PGothic"/>
          <w:sz w:val="15"/>
          <w:szCs w:val="15"/>
          <w:color w:val="auto"/>
        </w:rPr>
        <w:t>As of December 31, 2023, trade accounts receivable from receivables in transit, net of payables due, from the third-party transacton processor was $2,868, ofset by payments received in advance of $2,015, which resulted in a net receivable of $853 recognized within accounts receivable, net in the consolidated balance sheets. As of December 31, 2022, trade accounts receivable from receivables in transit, net of payables due, from the third-party transacton processor was $7,122, ofset by payments received in advance of $6,490, which resulted in a net receivable of $632 recognized within accounts receivable, net in the consolidated balance sheets.</w:t>
      </w:r>
    </w:p>
    <w:p>
      <w:pPr>
        <w:spacing w:after="0" w:line="140" w:lineRule="exact"/>
        <w:rPr>
          <w:sz w:val="20"/>
          <w:szCs w:val="20"/>
          <w:color w:val="auto"/>
        </w:rPr>
      </w:pPr>
    </w:p>
    <w:p>
      <w:pPr>
        <w:jc w:val="both"/>
        <w:ind w:firstLine="511"/>
        <w:spacing w:after="0" w:line="289" w:lineRule="auto"/>
        <w:rPr>
          <w:sz w:val="20"/>
          <w:szCs w:val="20"/>
          <w:color w:val="auto"/>
        </w:rPr>
      </w:pPr>
      <w:r>
        <w:rPr>
          <w:rFonts w:ascii="MS PGothic" w:cs="MS PGothic" w:eastAsia="MS PGothic" w:hAnsi="MS PGothic"/>
          <w:sz w:val="15"/>
          <w:szCs w:val="15"/>
          <w:color w:val="auto"/>
        </w:rPr>
        <w:t xml:space="preserve">As of December 31, 2023 and 2022, $9,581 and $7,150, respectvely, was included in net accounts receivable, representng unbilled accounts receivable relatng primarily to both advertsing customers invoiced in the period subsequent to services rendered and revenue recogniton adjustments for Company ofered discounts given to dealers in accordance with ASC Topic 606, </w:t>
      </w:r>
      <w:r>
        <w:rPr>
          <w:rFonts w:ascii="Calibri" w:cs="Calibri" w:eastAsia="Calibri" w:hAnsi="Calibri"/>
          <w:sz w:val="15"/>
          <w:szCs w:val="15"/>
          <w:i w:val="1"/>
          <w:iCs w:val="1"/>
          <w:color w:val="auto"/>
        </w:rPr>
        <w:t>Revenue from Contracts with Customers</w:t>
      </w:r>
      <w:r>
        <w:rPr>
          <w:rFonts w:ascii="MS PGothic" w:cs="MS PGothic" w:eastAsia="MS PGothic" w:hAnsi="MS PGothic"/>
          <w:sz w:val="15"/>
          <w:szCs w:val="15"/>
          <w:color w:val="auto"/>
        </w:rPr>
        <w:t xml:space="preserve"> ("ASC 606").</w:t>
      </w:r>
    </w:p>
    <w:p>
      <w:pPr>
        <w:spacing w:after="0" w:line="155" w:lineRule="exact"/>
        <w:rPr>
          <w:sz w:val="20"/>
          <w:szCs w:val="20"/>
          <w:color w:val="auto"/>
        </w:rPr>
      </w:pPr>
    </w:p>
    <w:p>
      <w:pPr>
        <w:jc w:val="both"/>
        <w:ind w:firstLine="511"/>
        <w:spacing w:after="0" w:line="312" w:lineRule="auto"/>
        <w:rPr>
          <w:sz w:val="20"/>
          <w:szCs w:val="20"/>
          <w:color w:val="auto"/>
        </w:rPr>
      </w:pPr>
      <w:r>
        <w:rPr>
          <w:rFonts w:ascii="MS PGothic" w:cs="MS PGothic" w:eastAsia="MS PGothic" w:hAnsi="MS PGothic"/>
          <w:sz w:val="15"/>
          <w:szCs w:val="15"/>
          <w:color w:val="auto"/>
        </w:rPr>
        <w:t>Provisions for allowances for doubtul accounts are recognized within general and administratve expense in the consolidated income statements. Amounts are charged against the allowance afer all means of collecton have been exhausted, the potental for recovery is considered remote, and when it is determined that expected credit losses may occur. The Company does not have any of‑balance sheet credit exposure related to its customers. Unbilled accounts receivable generally relate to services rendered in the current period, but not invoiced untl the subsequent period.</w:t>
      </w:r>
    </w:p>
    <w:p>
      <w:pPr>
        <w:spacing w:after="0" w:line="140" w:lineRule="exact"/>
        <w:rPr>
          <w:sz w:val="20"/>
          <w:szCs w:val="20"/>
          <w:color w:val="auto"/>
        </w:rPr>
      </w:pPr>
    </w:p>
    <w:p>
      <w:pPr>
        <w:ind w:left="500"/>
        <w:spacing w:after="0"/>
        <w:rPr>
          <w:sz w:val="20"/>
          <w:szCs w:val="20"/>
          <w:color w:val="auto"/>
        </w:rPr>
      </w:pPr>
      <w:r>
        <w:rPr>
          <w:rFonts w:ascii="MS PGothic" w:cs="MS PGothic" w:eastAsia="MS PGothic" w:hAnsi="MS PGothic"/>
          <w:sz w:val="15"/>
          <w:szCs w:val="15"/>
          <w:color w:val="auto"/>
        </w:rPr>
        <w:t>As of December 31, 2023 and 2022, changes in the Company’s allowance for doubtul accounts are as follows:</w:t>
      </w:r>
    </w:p>
    <w:p>
      <w:pPr>
        <w:spacing w:after="0" w:line="327" w:lineRule="exact"/>
        <w:rPr>
          <w:sz w:val="20"/>
          <w:szCs w:val="20"/>
          <w:color w:val="auto"/>
        </w:rPr>
      </w:pPr>
    </w:p>
    <w:tbl>
      <w:tblPr>
        <w:tblLayout w:type="fixed"/>
        <w:tblInd w:w="560" w:type="dxa"/>
        <w:tblCellMar>
          <w:top w:w="0" w:type="dxa"/>
          <w:left w:w="0" w:type="dxa"/>
          <w:bottom w:w="0" w:type="dxa"/>
          <w:right w:w="0" w:type="dxa"/>
        </w:tblCellMar>
      </w:tblPr>
      <w:tr>
        <w:trPr>
          <w:trHeight w:val="146"/>
        </w:trPr>
        <w:tc>
          <w:tcPr>
            <w:tcW w:w="4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93"/>
              <w:spacing w:after="0"/>
              <w:rPr>
                <w:sz w:val="20"/>
                <w:szCs w:val="20"/>
                <w:color w:val="auto"/>
              </w:rPr>
            </w:pPr>
            <w:r>
              <w:rPr>
                <w:rFonts w:ascii="Calibri" w:cs="Calibri" w:eastAsia="Calibri" w:hAnsi="Calibri"/>
                <w:sz w:val="12"/>
                <w:szCs w:val="12"/>
                <w:b w:val="1"/>
                <w:bCs w:val="1"/>
                <w:color w:val="auto"/>
              </w:rPr>
              <w:t>Balance at</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3"/>
          </w:tcPr>
          <w:p>
            <w:pPr>
              <w:jc w:val="center"/>
              <w:ind w:right="580"/>
              <w:spacing w:after="0"/>
              <w:rPr>
                <w:sz w:val="20"/>
                <w:szCs w:val="20"/>
                <w:color w:val="auto"/>
              </w:rPr>
            </w:pPr>
            <w:r>
              <w:rPr>
                <w:rFonts w:ascii="Calibri" w:cs="Calibri" w:eastAsia="Calibri" w:hAnsi="Calibri"/>
                <w:sz w:val="12"/>
                <w:szCs w:val="12"/>
                <w:b w:val="1"/>
                <w:bCs w:val="1"/>
                <w:color w:val="auto"/>
              </w:rPr>
              <w:t>Write–ofs,</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0"/>
        </w:trPr>
        <w:tc>
          <w:tcPr>
            <w:tcW w:w="4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center"/>
              <w:ind w:right="93"/>
              <w:spacing w:after="0"/>
              <w:rPr>
                <w:sz w:val="20"/>
                <w:szCs w:val="20"/>
                <w:color w:val="auto"/>
              </w:rPr>
            </w:pPr>
            <w:r>
              <w:rPr>
                <w:rFonts w:ascii="Calibri" w:cs="Calibri" w:eastAsia="Calibri" w:hAnsi="Calibri"/>
                <w:sz w:val="12"/>
                <w:szCs w:val="12"/>
                <w:b w:val="1"/>
                <w:bCs w:val="1"/>
                <w:color w:val="auto"/>
                <w:w w:val="99"/>
              </w:rPr>
              <w:t>Beginning of</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gridSpan w:val="3"/>
          </w:tcPr>
          <w:p>
            <w:pPr>
              <w:jc w:val="center"/>
              <w:ind w:right="560"/>
              <w:spacing w:after="0"/>
              <w:rPr>
                <w:sz w:val="20"/>
                <w:szCs w:val="20"/>
                <w:color w:val="auto"/>
              </w:rPr>
            </w:pPr>
            <w:r>
              <w:rPr>
                <w:rFonts w:ascii="Calibri" w:cs="Calibri" w:eastAsia="Calibri" w:hAnsi="Calibri"/>
                <w:sz w:val="12"/>
                <w:szCs w:val="12"/>
                <w:b w:val="1"/>
                <w:bCs w:val="1"/>
                <w:color w:val="auto"/>
              </w:rPr>
              <w:t>net of</w:t>
            </w:r>
          </w:p>
        </w:tc>
        <w:tc>
          <w:tcPr>
            <w:tcW w:w="1080" w:type="dxa"/>
            <w:vAlign w:val="bottom"/>
            <w:gridSpan w:val="2"/>
          </w:tcPr>
          <w:p>
            <w:pPr>
              <w:jc w:val="center"/>
              <w:ind w:right="240"/>
              <w:spacing w:after="0"/>
              <w:rPr>
                <w:sz w:val="20"/>
                <w:szCs w:val="20"/>
                <w:color w:val="auto"/>
              </w:rPr>
            </w:pPr>
            <w:r>
              <w:rPr>
                <w:rFonts w:ascii="Calibri" w:cs="Calibri" w:eastAsia="Calibri" w:hAnsi="Calibri"/>
                <w:sz w:val="12"/>
                <w:szCs w:val="12"/>
                <w:b w:val="1"/>
                <w:bCs w:val="1"/>
                <w:color w:val="auto"/>
              </w:rPr>
              <w:t>Balance at</w:t>
            </w:r>
          </w:p>
        </w:tc>
      </w:tr>
      <w:tr>
        <w:trPr>
          <w:trHeight w:val="150"/>
        </w:trPr>
        <w:tc>
          <w:tcPr>
            <w:tcW w:w="4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center"/>
              <w:ind w:right="93"/>
              <w:spacing w:after="0"/>
              <w:rPr>
                <w:sz w:val="20"/>
                <w:szCs w:val="20"/>
                <w:color w:val="auto"/>
              </w:rPr>
            </w:pPr>
            <w:r>
              <w:rPr>
                <w:rFonts w:ascii="Calibri" w:cs="Calibri" w:eastAsia="Calibri" w:hAnsi="Calibri"/>
                <w:sz w:val="12"/>
                <w:szCs w:val="12"/>
                <w:b w:val="1"/>
                <w:bCs w:val="1"/>
                <w:color w:val="auto"/>
              </w:rPr>
              <w:t>Period</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right"/>
              <w:ind w:right="268"/>
              <w:spacing w:after="0"/>
              <w:rPr>
                <w:sz w:val="20"/>
                <w:szCs w:val="20"/>
                <w:color w:val="auto"/>
              </w:rPr>
            </w:pPr>
            <w:r>
              <w:rPr>
                <w:rFonts w:ascii="Calibri" w:cs="Calibri" w:eastAsia="Calibri" w:hAnsi="Calibri"/>
                <w:sz w:val="12"/>
                <w:szCs w:val="12"/>
                <w:b w:val="1"/>
                <w:bCs w:val="1"/>
                <w:color w:val="auto"/>
              </w:rPr>
              <w:t>Provision</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gridSpan w:val="3"/>
          </w:tcPr>
          <w:p>
            <w:pPr>
              <w:jc w:val="center"/>
              <w:ind w:right="580"/>
              <w:spacing w:after="0"/>
              <w:rPr>
                <w:sz w:val="20"/>
                <w:szCs w:val="20"/>
                <w:color w:val="auto"/>
              </w:rPr>
            </w:pPr>
            <w:r>
              <w:rPr>
                <w:rFonts w:ascii="Calibri" w:cs="Calibri" w:eastAsia="Calibri" w:hAnsi="Calibri"/>
                <w:sz w:val="12"/>
                <w:szCs w:val="12"/>
                <w:b w:val="1"/>
                <w:bCs w:val="1"/>
                <w:color w:val="auto"/>
              </w:rPr>
              <w:t>recoveries</w:t>
            </w:r>
          </w:p>
        </w:tc>
        <w:tc>
          <w:tcPr>
            <w:tcW w:w="1080" w:type="dxa"/>
            <w:vAlign w:val="bottom"/>
            <w:gridSpan w:val="2"/>
          </w:tcPr>
          <w:p>
            <w:pPr>
              <w:jc w:val="center"/>
              <w:ind w:right="240"/>
              <w:spacing w:after="0"/>
              <w:rPr>
                <w:sz w:val="20"/>
                <w:szCs w:val="20"/>
                <w:color w:val="auto"/>
              </w:rPr>
            </w:pPr>
            <w:r>
              <w:rPr>
                <w:rFonts w:ascii="Calibri" w:cs="Calibri" w:eastAsia="Calibri" w:hAnsi="Calibri"/>
                <w:sz w:val="12"/>
                <w:szCs w:val="12"/>
                <w:b w:val="1"/>
                <w:bCs w:val="1"/>
                <w:color w:val="auto"/>
              </w:rPr>
              <w:t>End of Period</w:t>
            </w:r>
          </w:p>
        </w:tc>
      </w:tr>
      <w:tr>
        <w:trPr>
          <w:trHeight w:val="28"/>
        </w:trPr>
        <w:tc>
          <w:tcPr>
            <w:tcW w:w="47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79"/>
        </w:trPr>
        <w:tc>
          <w:tcPr>
            <w:tcW w:w="4720" w:type="dxa"/>
            <w:vAlign w:val="bottom"/>
            <w:tcBorders>
              <w:bottom w:val="single" w:sz="8" w:color="CFF0FC"/>
            </w:tcBorders>
            <w:shd w:val="clear" w:color="auto" w:fill="CFF0FC"/>
          </w:tcPr>
          <w:p>
            <w:pPr>
              <w:spacing w:after="0"/>
              <w:rPr>
                <w:sz w:val="20"/>
                <w:szCs w:val="20"/>
                <w:color w:val="auto"/>
              </w:rPr>
            </w:pPr>
            <w:r>
              <w:rPr>
                <w:rFonts w:ascii="MS PGothic" w:cs="MS PGothic" w:eastAsia="MS PGothic" w:hAnsi="MS PGothic"/>
                <w:sz w:val="15"/>
                <w:szCs w:val="15"/>
                <w:color w:val="auto"/>
              </w:rPr>
              <w:t>Year ended December 31, 2023</w:t>
            </w:r>
          </w:p>
        </w:tc>
        <w:tc>
          <w:tcPr>
            <w:tcW w:w="160" w:type="dxa"/>
            <w:vAlign w:val="bottom"/>
            <w:tcBorders>
              <w:bottom w:val="single" w:sz="8" w:color="CFF0FC"/>
            </w:tcBorders>
            <w:shd w:val="clear" w:color="auto" w:fill="CFF0FC"/>
          </w:tcPr>
          <w:p>
            <w:pPr>
              <w:jc w:val="right"/>
              <w:ind w:right="3"/>
              <w:spacing w:after="0"/>
              <w:rPr>
                <w:sz w:val="20"/>
                <w:szCs w:val="20"/>
                <w:color w:val="auto"/>
              </w:rPr>
            </w:pPr>
            <w:r>
              <w:rPr>
                <w:rFonts w:ascii="MS PGothic" w:cs="MS PGothic" w:eastAsia="MS PGothic" w:hAnsi="MS PGothic"/>
                <w:sz w:val="15"/>
                <w:szCs w:val="15"/>
                <w:color w:val="auto"/>
                <w:w w:val="79"/>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MS PGothic" w:cs="MS PGothic" w:eastAsia="MS PGothic" w:hAnsi="MS PGothic"/>
                <w:sz w:val="15"/>
                <w:szCs w:val="15"/>
                <w:color w:val="auto"/>
              </w:rPr>
              <w:t>1,809</w:t>
            </w:r>
          </w:p>
        </w:tc>
        <w:tc>
          <w:tcPr>
            <w:tcW w:w="48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MS PGothic" w:cs="MS PGothic" w:eastAsia="MS PGothic" w:hAnsi="MS PGothic"/>
                <w:sz w:val="15"/>
                <w:szCs w:val="15"/>
                <w:color w:val="auto"/>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MS PGothic" w:cs="MS PGothic" w:eastAsia="MS PGothic" w:hAnsi="MS PGothic"/>
                <w:sz w:val="15"/>
                <w:szCs w:val="15"/>
                <w:color w:val="auto"/>
              </w:rPr>
              <w:t>378</w:t>
            </w:r>
          </w:p>
        </w:tc>
        <w:tc>
          <w:tcPr>
            <w:tcW w:w="440" w:type="dxa"/>
            <w:vAlign w:val="bottom"/>
            <w:tcBorders>
              <w:bottom w:val="single" w:sz="8" w:color="CFF0FC"/>
            </w:tcBorders>
            <w:gridSpan w:val="2"/>
            <w:shd w:val="clear" w:color="auto" w:fill="CFF0FC"/>
          </w:tcPr>
          <w:p>
            <w:pPr>
              <w:jc w:val="right"/>
              <w:ind w:right="80"/>
              <w:spacing w:after="0"/>
              <w:rPr>
                <w:sz w:val="20"/>
                <w:szCs w:val="20"/>
                <w:color w:val="auto"/>
              </w:rPr>
            </w:pPr>
            <w:r>
              <w:rPr>
                <w:rFonts w:ascii="MS PGothic" w:cs="MS PGothic" w:eastAsia="MS PGothic" w:hAnsi="MS PGothic"/>
                <w:sz w:val="15"/>
                <w:szCs w:val="15"/>
                <w:color w:val="auto"/>
              </w:rPr>
              <w:t>$</w:t>
            </w:r>
          </w:p>
        </w:tc>
        <w:tc>
          <w:tcPr>
            <w:tcW w:w="1340" w:type="dxa"/>
            <w:vAlign w:val="bottom"/>
            <w:tcBorders>
              <w:bottom w:val="single" w:sz="8" w:color="CFF0FC"/>
            </w:tcBorders>
            <w:gridSpan w:val="3"/>
            <w:shd w:val="clear" w:color="auto" w:fill="CFF0FC"/>
          </w:tcPr>
          <w:p>
            <w:pPr>
              <w:jc w:val="right"/>
              <w:ind w:right="60"/>
              <w:spacing w:after="0"/>
              <w:rPr>
                <w:sz w:val="20"/>
                <w:szCs w:val="20"/>
                <w:color w:val="auto"/>
              </w:rPr>
            </w:pPr>
            <w:r>
              <w:rPr>
                <w:rFonts w:ascii="MS PGothic" w:cs="MS PGothic" w:eastAsia="MS PGothic" w:hAnsi="MS PGothic"/>
                <w:sz w:val="15"/>
                <w:szCs w:val="15"/>
                <w:color w:val="auto"/>
              </w:rPr>
              <w:t>(1,577 )   $</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MS PGothic" w:cs="MS PGothic" w:eastAsia="MS PGothic" w:hAnsi="MS PGothic"/>
                <w:sz w:val="15"/>
                <w:szCs w:val="15"/>
                <w:color w:val="auto"/>
              </w:rPr>
              <w:t>610</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83"/>
        </w:trPr>
        <w:tc>
          <w:tcPr>
            <w:tcW w:w="4720" w:type="dxa"/>
            <w:vAlign w:val="bottom"/>
          </w:tcPr>
          <w:p>
            <w:pPr>
              <w:spacing w:after="0"/>
              <w:rPr>
                <w:sz w:val="20"/>
                <w:szCs w:val="20"/>
                <w:color w:val="auto"/>
              </w:rPr>
            </w:pPr>
            <w:r>
              <w:rPr>
                <w:rFonts w:ascii="MS PGothic" w:cs="MS PGothic" w:eastAsia="MS PGothic" w:hAnsi="MS PGothic"/>
                <w:sz w:val="15"/>
                <w:szCs w:val="15"/>
                <w:color w:val="auto"/>
              </w:rPr>
              <w:t>Year ended December 31, 2022</w:t>
            </w: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MS PGothic" w:cs="MS PGothic" w:eastAsia="MS PGothic" w:hAnsi="MS PGothic"/>
                <w:sz w:val="15"/>
                <w:szCs w:val="15"/>
                <w:color w:val="auto"/>
              </w:rPr>
              <w:t>420</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MS PGothic" w:cs="MS PGothic" w:eastAsia="MS PGothic" w:hAnsi="MS PGothic"/>
                <w:sz w:val="15"/>
                <w:szCs w:val="15"/>
                <w:color w:val="auto"/>
              </w:rPr>
              <w:t>1,769</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right"/>
              <w:ind w:right="200"/>
              <w:spacing w:after="0"/>
              <w:rPr>
                <w:sz w:val="20"/>
                <w:szCs w:val="20"/>
                <w:color w:val="auto"/>
              </w:rPr>
            </w:pPr>
            <w:r>
              <w:rPr>
                <w:rFonts w:ascii="MS PGothic" w:cs="MS PGothic" w:eastAsia="MS PGothic" w:hAnsi="MS PGothic"/>
                <w:sz w:val="15"/>
                <w:szCs w:val="15"/>
                <w:color w:val="auto"/>
              </w:rPr>
              <w:t>(380 )</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MS PGothic" w:cs="MS PGothic" w:eastAsia="MS PGothic" w:hAnsi="MS PGothic"/>
                <w:sz w:val="15"/>
                <w:szCs w:val="15"/>
                <w:color w:val="auto"/>
              </w:rPr>
              <w:t>1,809</w:t>
            </w:r>
          </w:p>
        </w:tc>
        <w:tc>
          <w:tcPr>
            <w:tcW w:w="100" w:type="dxa"/>
            <w:vAlign w:val="bottom"/>
          </w:tcPr>
          <w:p>
            <w:pPr>
              <w:spacing w:after="0"/>
              <w:rPr>
                <w:sz w:val="15"/>
                <w:szCs w:val="15"/>
                <w:color w:val="auto"/>
              </w:rPr>
            </w:pPr>
          </w:p>
        </w:tc>
      </w:tr>
    </w:tbl>
    <w:p>
      <w:pPr>
        <w:spacing w:after="0" w:line="190" w:lineRule="exact"/>
        <w:rPr>
          <w:sz w:val="20"/>
          <w:szCs w:val="20"/>
          <w:color w:val="auto"/>
        </w:rPr>
      </w:pPr>
    </w:p>
    <w:p>
      <w:pPr>
        <w:spacing w:after="0"/>
        <w:rPr>
          <w:sz w:val="20"/>
          <w:szCs w:val="20"/>
          <w:color w:val="auto"/>
        </w:rPr>
      </w:pPr>
      <w:r>
        <w:rPr>
          <w:rFonts w:ascii="Calibri" w:cs="Calibri" w:eastAsia="Calibri" w:hAnsi="Calibri"/>
          <w:sz w:val="15"/>
          <w:szCs w:val="15"/>
          <w:b w:val="1"/>
          <w:bCs w:val="1"/>
          <w:i w:val="1"/>
          <w:iCs w:val="1"/>
          <w:color w:val="auto"/>
        </w:rPr>
        <w:t>Inventory</w:t>
      </w:r>
    </w:p>
    <w:p>
      <w:pPr>
        <w:spacing w:after="0" w:line="185" w:lineRule="exact"/>
        <w:rPr>
          <w:sz w:val="20"/>
          <w:szCs w:val="20"/>
          <w:color w:val="auto"/>
        </w:rPr>
      </w:pPr>
    </w:p>
    <w:p>
      <w:pPr>
        <w:jc w:val="both"/>
        <w:ind w:firstLine="511"/>
        <w:spacing w:after="0" w:line="340" w:lineRule="auto"/>
        <w:rPr>
          <w:sz w:val="20"/>
          <w:szCs w:val="20"/>
          <w:color w:val="auto"/>
        </w:rPr>
      </w:pPr>
      <w:r>
        <w:rPr>
          <w:rFonts w:ascii="MS PGothic" w:cs="MS PGothic" w:eastAsia="MS PGothic" w:hAnsi="MS PGothic"/>
          <w:sz w:val="14"/>
          <w:szCs w:val="14"/>
          <w:color w:val="auto"/>
        </w:rPr>
        <w:t>The Company’s inventory consists of inventory acquired through Instant Max Cash Ofer ("IMCO") transactons, at other marketplaces, or in certain situatons across all transactons, during arbitratons. The inventory is recognized in the consolidated balance sheets and is valued at the lower of cost or net realizable value. Cost is determined based on specifc identfcaton. In recording inventory at the lower of cost or net realizable value, the Company estmates potental future losses on inventory on hand based on historical losses and market trends. Estmated potental future losses on inventory may vary from actual results which could lead to material adjustments to the consolidated fnancial statements.</w:t>
      </w:r>
    </w:p>
    <w:p>
      <w:pPr>
        <w:spacing w:after="0" w:line="127" w:lineRule="exact"/>
        <w:rPr>
          <w:sz w:val="20"/>
          <w:szCs w:val="20"/>
          <w:color w:val="auto"/>
        </w:rPr>
      </w:pPr>
    </w:p>
    <w:p>
      <w:pPr>
        <w:spacing w:after="0"/>
        <w:rPr>
          <w:sz w:val="20"/>
          <w:szCs w:val="20"/>
          <w:color w:val="auto"/>
        </w:rPr>
      </w:pPr>
      <w:r>
        <w:rPr>
          <w:rFonts w:ascii="Calibri" w:cs="Calibri" w:eastAsia="Calibri" w:hAnsi="Calibri"/>
          <w:sz w:val="15"/>
          <w:szCs w:val="15"/>
          <w:b w:val="1"/>
          <w:bCs w:val="1"/>
          <w:i w:val="1"/>
          <w:iCs w:val="1"/>
          <w:color w:val="auto"/>
        </w:rPr>
        <w:t>Property and Equipment</w:t>
      </w:r>
    </w:p>
    <w:p>
      <w:pPr>
        <w:spacing w:after="0" w:line="185" w:lineRule="exact"/>
        <w:rPr>
          <w:sz w:val="20"/>
          <w:szCs w:val="20"/>
          <w:color w:val="auto"/>
        </w:rPr>
      </w:pPr>
    </w:p>
    <w:p>
      <w:pPr>
        <w:jc w:val="both"/>
        <w:ind w:firstLine="511"/>
        <w:spacing w:after="0" w:line="320" w:lineRule="auto"/>
        <w:rPr>
          <w:sz w:val="20"/>
          <w:szCs w:val="20"/>
          <w:color w:val="auto"/>
        </w:rPr>
      </w:pPr>
      <w:r>
        <w:rPr>
          <w:rFonts w:ascii="MS PGothic" w:cs="MS PGothic" w:eastAsia="MS PGothic" w:hAnsi="MS PGothic"/>
          <w:sz w:val="15"/>
          <w:szCs w:val="15"/>
          <w:color w:val="auto"/>
        </w:rPr>
        <w:t>Property and equipment are stated at cost less accumulated depreciaton and amortzaton using the straight‑line method over the estmated useful lives of the assets. Leasehold improvements and right-of-use assets are amortzed over the lease term, or the estmated useful life of the related asset, if shorter. The estmated useful lives of the Company’s property and equipment are as follows:</w:t>
      </w:r>
    </w:p>
    <w:p>
      <w:pPr>
        <w:spacing w:after="0" w:line="245" w:lineRule="exact"/>
        <w:rPr>
          <w:sz w:val="20"/>
          <w:szCs w:val="20"/>
          <w:color w:val="auto"/>
        </w:rPr>
      </w:pPr>
    </w:p>
    <w:tbl>
      <w:tblPr>
        <w:tblLayout w:type="fixed"/>
        <w:tblInd w:w="560" w:type="dxa"/>
        <w:tblCellMar>
          <w:top w:w="0" w:type="dxa"/>
          <w:left w:w="0" w:type="dxa"/>
          <w:bottom w:w="0" w:type="dxa"/>
          <w:right w:w="0" w:type="dxa"/>
        </w:tblCellMar>
      </w:tblPr>
      <w:tr>
        <w:trPr>
          <w:trHeight w:val="146"/>
        </w:trPr>
        <w:tc>
          <w:tcPr>
            <w:tcW w:w="7120" w:type="dxa"/>
            <w:vAlign w:val="bottom"/>
          </w:tcPr>
          <w:p>
            <w:pPr>
              <w:spacing w:after="0"/>
              <w:rPr>
                <w:sz w:val="12"/>
                <w:szCs w:val="12"/>
                <w:color w:val="auto"/>
              </w:rPr>
            </w:pPr>
          </w:p>
        </w:tc>
        <w:tc>
          <w:tcPr>
            <w:tcW w:w="3020" w:type="dxa"/>
            <w:vAlign w:val="bottom"/>
          </w:tcPr>
          <w:p>
            <w:pPr>
              <w:jc w:val="center"/>
              <w:spacing w:after="0"/>
              <w:rPr>
                <w:sz w:val="20"/>
                <w:szCs w:val="20"/>
                <w:color w:val="auto"/>
              </w:rPr>
            </w:pPr>
            <w:r>
              <w:rPr>
                <w:rFonts w:ascii="Calibri" w:cs="Calibri" w:eastAsia="Calibri" w:hAnsi="Calibri"/>
                <w:sz w:val="12"/>
                <w:szCs w:val="12"/>
                <w:b w:val="1"/>
                <w:bCs w:val="1"/>
                <w:color w:val="auto"/>
              </w:rPr>
              <w:t>Estmated Useful Life</w:t>
            </w:r>
          </w:p>
        </w:tc>
      </w:tr>
      <w:tr>
        <w:trPr>
          <w:trHeight w:val="150"/>
        </w:trPr>
        <w:tc>
          <w:tcPr>
            <w:tcW w:w="7120" w:type="dxa"/>
            <w:vAlign w:val="bottom"/>
          </w:tcPr>
          <w:p>
            <w:pPr>
              <w:spacing w:after="0"/>
              <w:rPr>
                <w:sz w:val="13"/>
                <w:szCs w:val="13"/>
                <w:color w:val="auto"/>
              </w:rPr>
            </w:pPr>
          </w:p>
        </w:tc>
        <w:tc>
          <w:tcPr>
            <w:tcW w:w="3020" w:type="dxa"/>
            <w:vAlign w:val="bottom"/>
          </w:tcPr>
          <w:p>
            <w:pPr>
              <w:jc w:val="center"/>
              <w:spacing w:after="0"/>
              <w:rPr>
                <w:sz w:val="20"/>
                <w:szCs w:val="20"/>
                <w:color w:val="auto"/>
              </w:rPr>
            </w:pPr>
            <w:r>
              <w:rPr>
                <w:rFonts w:ascii="Calibri" w:cs="Calibri" w:eastAsia="Calibri" w:hAnsi="Calibri"/>
                <w:sz w:val="12"/>
                <w:szCs w:val="12"/>
                <w:b w:val="1"/>
                <w:bCs w:val="1"/>
                <w:color w:val="auto"/>
                <w:w w:val="97"/>
              </w:rPr>
              <w:t>(In Years)</w:t>
            </w:r>
          </w:p>
        </w:tc>
      </w:tr>
      <w:tr>
        <w:trPr>
          <w:trHeight w:val="28"/>
        </w:trPr>
        <w:tc>
          <w:tcPr>
            <w:tcW w:w="7120" w:type="dxa"/>
            <w:vAlign w:val="bottom"/>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r>
      <w:tr>
        <w:trPr>
          <w:trHeight w:val="179"/>
        </w:trPr>
        <w:tc>
          <w:tcPr>
            <w:tcW w:w="7120" w:type="dxa"/>
            <w:vAlign w:val="bottom"/>
            <w:tcBorders>
              <w:bottom w:val="single" w:sz="8" w:color="CFF0FC"/>
            </w:tcBorders>
            <w:shd w:val="clear" w:color="auto" w:fill="CFF0FC"/>
          </w:tcPr>
          <w:p>
            <w:pPr>
              <w:spacing w:after="0"/>
              <w:rPr>
                <w:sz w:val="20"/>
                <w:szCs w:val="20"/>
                <w:color w:val="auto"/>
              </w:rPr>
            </w:pPr>
            <w:r>
              <w:rPr>
                <w:rFonts w:ascii="MS PGothic" w:cs="MS PGothic" w:eastAsia="MS PGothic" w:hAnsi="MS PGothic"/>
                <w:sz w:val="15"/>
                <w:szCs w:val="15"/>
                <w:color w:val="auto"/>
              </w:rPr>
              <w:t>Server and computer equipment</w:t>
            </w:r>
          </w:p>
        </w:tc>
        <w:tc>
          <w:tcPr>
            <w:tcW w:w="3020" w:type="dxa"/>
            <w:vAlign w:val="bottom"/>
            <w:tcBorders>
              <w:bottom w:val="single" w:sz="8" w:color="CFF0FC"/>
            </w:tcBorders>
            <w:shd w:val="clear" w:color="auto" w:fill="CFF0FC"/>
          </w:tcPr>
          <w:p>
            <w:pPr>
              <w:jc w:val="center"/>
              <w:spacing w:after="0"/>
              <w:rPr>
                <w:sz w:val="20"/>
                <w:szCs w:val="20"/>
                <w:color w:val="auto"/>
              </w:rPr>
            </w:pPr>
            <w:r>
              <w:rPr>
                <w:rFonts w:ascii="MS PGothic" w:cs="MS PGothic" w:eastAsia="MS PGothic" w:hAnsi="MS PGothic"/>
                <w:sz w:val="15"/>
                <w:szCs w:val="15"/>
                <w:color w:val="auto"/>
              </w:rPr>
              <w:t>3</w:t>
            </w:r>
          </w:p>
        </w:tc>
      </w:tr>
      <w:tr>
        <w:trPr>
          <w:trHeight w:val="183"/>
        </w:trPr>
        <w:tc>
          <w:tcPr>
            <w:tcW w:w="7120" w:type="dxa"/>
            <w:vAlign w:val="bottom"/>
          </w:tcPr>
          <w:p>
            <w:pPr>
              <w:spacing w:after="0"/>
              <w:rPr>
                <w:sz w:val="20"/>
                <w:szCs w:val="20"/>
                <w:color w:val="auto"/>
              </w:rPr>
            </w:pPr>
            <w:r>
              <w:rPr>
                <w:rFonts w:ascii="MS PGothic" w:cs="MS PGothic" w:eastAsia="MS PGothic" w:hAnsi="MS PGothic"/>
                <w:sz w:val="15"/>
                <w:szCs w:val="15"/>
                <w:color w:val="auto"/>
              </w:rPr>
              <w:t>Capitalized internal-use sofware</w:t>
            </w:r>
          </w:p>
        </w:tc>
        <w:tc>
          <w:tcPr>
            <w:tcW w:w="3020" w:type="dxa"/>
            <w:vAlign w:val="bottom"/>
          </w:tcPr>
          <w:p>
            <w:pPr>
              <w:jc w:val="center"/>
              <w:spacing w:after="0"/>
              <w:rPr>
                <w:sz w:val="20"/>
                <w:szCs w:val="20"/>
                <w:color w:val="auto"/>
              </w:rPr>
            </w:pPr>
            <w:r>
              <w:rPr>
                <w:rFonts w:ascii="MS PGothic" w:cs="MS PGothic" w:eastAsia="MS PGothic" w:hAnsi="MS PGothic"/>
                <w:sz w:val="15"/>
                <w:szCs w:val="15"/>
                <w:color w:val="auto"/>
              </w:rPr>
              <w:t>3</w:t>
            </w:r>
          </w:p>
        </w:tc>
      </w:tr>
      <w:tr>
        <w:trPr>
          <w:trHeight w:val="24"/>
        </w:trPr>
        <w:tc>
          <w:tcPr>
            <w:tcW w:w="7120" w:type="dxa"/>
            <w:vAlign w:val="bottom"/>
          </w:tcPr>
          <w:p>
            <w:pPr>
              <w:spacing w:after="0"/>
              <w:rPr>
                <w:sz w:val="2"/>
                <w:szCs w:val="2"/>
                <w:color w:val="auto"/>
              </w:rPr>
            </w:pPr>
          </w:p>
        </w:tc>
        <w:tc>
          <w:tcPr>
            <w:tcW w:w="3020" w:type="dxa"/>
            <w:vAlign w:val="bottom"/>
          </w:tcPr>
          <w:p>
            <w:pPr>
              <w:spacing w:after="0"/>
              <w:rPr>
                <w:sz w:val="2"/>
                <w:szCs w:val="2"/>
                <w:color w:val="auto"/>
              </w:rPr>
            </w:pPr>
          </w:p>
        </w:tc>
      </w:tr>
      <w:tr>
        <w:trPr>
          <w:trHeight w:val="187"/>
        </w:trPr>
        <w:tc>
          <w:tcPr>
            <w:tcW w:w="7120" w:type="dxa"/>
            <w:vAlign w:val="bottom"/>
            <w:tcBorders>
              <w:bottom w:val="single" w:sz="8" w:color="CFF0FC"/>
            </w:tcBorders>
            <w:shd w:val="clear" w:color="auto" w:fill="CFF0FC"/>
          </w:tcPr>
          <w:p>
            <w:pPr>
              <w:spacing w:after="0"/>
              <w:rPr>
                <w:sz w:val="20"/>
                <w:szCs w:val="20"/>
                <w:color w:val="auto"/>
              </w:rPr>
            </w:pPr>
            <w:r>
              <w:rPr>
                <w:rFonts w:ascii="MS PGothic" w:cs="MS PGothic" w:eastAsia="MS PGothic" w:hAnsi="MS PGothic"/>
                <w:sz w:val="15"/>
                <w:szCs w:val="15"/>
                <w:color w:val="auto"/>
              </w:rPr>
              <w:t>Capitalized website development</w:t>
            </w:r>
          </w:p>
        </w:tc>
        <w:tc>
          <w:tcPr>
            <w:tcW w:w="3020" w:type="dxa"/>
            <w:vAlign w:val="bottom"/>
            <w:tcBorders>
              <w:bottom w:val="single" w:sz="8" w:color="CFF0FC"/>
            </w:tcBorders>
            <w:shd w:val="clear" w:color="auto" w:fill="CFF0FC"/>
          </w:tcPr>
          <w:p>
            <w:pPr>
              <w:jc w:val="center"/>
              <w:spacing w:after="0"/>
              <w:rPr>
                <w:sz w:val="20"/>
                <w:szCs w:val="20"/>
                <w:color w:val="auto"/>
              </w:rPr>
            </w:pPr>
            <w:r>
              <w:rPr>
                <w:rFonts w:ascii="MS PGothic" w:cs="MS PGothic" w:eastAsia="MS PGothic" w:hAnsi="MS PGothic"/>
                <w:sz w:val="15"/>
                <w:szCs w:val="15"/>
                <w:color w:val="auto"/>
              </w:rPr>
              <w:t>3</w:t>
            </w:r>
          </w:p>
        </w:tc>
      </w:tr>
      <w:tr>
        <w:trPr>
          <w:trHeight w:val="183"/>
        </w:trPr>
        <w:tc>
          <w:tcPr>
            <w:tcW w:w="7120" w:type="dxa"/>
            <w:vAlign w:val="bottom"/>
          </w:tcPr>
          <w:p>
            <w:pPr>
              <w:spacing w:after="0"/>
              <w:rPr>
                <w:sz w:val="20"/>
                <w:szCs w:val="20"/>
                <w:color w:val="auto"/>
              </w:rPr>
            </w:pPr>
            <w:r>
              <w:rPr>
                <w:rFonts w:ascii="MS PGothic" w:cs="MS PGothic" w:eastAsia="MS PGothic" w:hAnsi="MS PGothic"/>
                <w:sz w:val="15"/>
                <w:szCs w:val="15"/>
                <w:color w:val="auto"/>
              </w:rPr>
              <w:t>Furniture and fxtures</w:t>
            </w:r>
          </w:p>
        </w:tc>
        <w:tc>
          <w:tcPr>
            <w:tcW w:w="3020" w:type="dxa"/>
            <w:vAlign w:val="bottom"/>
          </w:tcPr>
          <w:p>
            <w:pPr>
              <w:jc w:val="center"/>
              <w:spacing w:after="0"/>
              <w:rPr>
                <w:sz w:val="20"/>
                <w:szCs w:val="20"/>
                <w:color w:val="auto"/>
              </w:rPr>
            </w:pPr>
            <w:r>
              <w:rPr>
                <w:rFonts w:ascii="MS PGothic" w:cs="MS PGothic" w:eastAsia="MS PGothic" w:hAnsi="MS PGothic"/>
                <w:sz w:val="15"/>
                <w:szCs w:val="15"/>
                <w:color w:val="auto"/>
                <w:w w:val="91"/>
              </w:rPr>
              <w:t>3 to 5</w:t>
            </w:r>
          </w:p>
        </w:tc>
      </w:tr>
      <w:tr>
        <w:trPr>
          <w:trHeight w:val="24"/>
        </w:trPr>
        <w:tc>
          <w:tcPr>
            <w:tcW w:w="7120" w:type="dxa"/>
            <w:vAlign w:val="bottom"/>
          </w:tcPr>
          <w:p>
            <w:pPr>
              <w:spacing w:after="0"/>
              <w:rPr>
                <w:sz w:val="2"/>
                <w:szCs w:val="2"/>
                <w:color w:val="auto"/>
              </w:rPr>
            </w:pPr>
          </w:p>
        </w:tc>
        <w:tc>
          <w:tcPr>
            <w:tcW w:w="3020" w:type="dxa"/>
            <w:vAlign w:val="bottom"/>
          </w:tcPr>
          <w:p>
            <w:pPr>
              <w:spacing w:after="0"/>
              <w:rPr>
                <w:sz w:val="2"/>
                <w:szCs w:val="2"/>
                <w:color w:val="auto"/>
              </w:rPr>
            </w:pPr>
          </w:p>
        </w:tc>
      </w:tr>
      <w:tr>
        <w:trPr>
          <w:trHeight w:val="187"/>
        </w:trPr>
        <w:tc>
          <w:tcPr>
            <w:tcW w:w="7120" w:type="dxa"/>
            <w:vAlign w:val="bottom"/>
            <w:tcBorders>
              <w:bottom w:val="single" w:sz="8" w:color="CFF0FC"/>
            </w:tcBorders>
            <w:shd w:val="clear" w:color="auto" w:fill="CFF0FC"/>
          </w:tcPr>
          <w:p>
            <w:pPr>
              <w:spacing w:after="0"/>
              <w:rPr>
                <w:sz w:val="20"/>
                <w:szCs w:val="20"/>
                <w:color w:val="auto"/>
              </w:rPr>
            </w:pPr>
            <w:r>
              <w:rPr>
                <w:rFonts w:ascii="MS PGothic" w:cs="MS PGothic" w:eastAsia="MS PGothic" w:hAnsi="MS PGothic"/>
                <w:sz w:val="15"/>
                <w:szCs w:val="15"/>
                <w:color w:val="auto"/>
              </w:rPr>
              <w:t>Right-of-use assets</w:t>
            </w:r>
          </w:p>
        </w:tc>
        <w:tc>
          <w:tcPr>
            <w:tcW w:w="3020" w:type="dxa"/>
            <w:vAlign w:val="bottom"/>
            <w:tcBorders>
              <w:bottom w:val="single" w:sz="8" w:color="CFF0FC"/>
            </w:tcBorders>
            <w:shd w:val="clear" w:color="auto" w:fill="CFF0FC"/>
          </w:tcPr>
          <w:p>
            <w:pPr>
              <w:jc w:val="center"/>
              <w:spacing w:after="0"/>
              <w:rPr>
                <w:sz w:val="20"/>
                <w:szCs w:val="20"/>
                <w:color w:val="auto"/>
              </w:rPr>
            </w:pPr>
            <w:r>
              <w:rPr>
                <w:rFonts w:ascii="MS PGothic" w:cs="MS PGothic" w:eastAsia="MS PGothic" w:hAnsi="MS PGothic"/>
                <w:sz w:val="15"/>
                <w:szCs w:val="15"/>
                <w:color w:val="auto"/>
                <w:w w:val="94"/>
              </w:rPr>
              <w:t>Lease term, or asset life if shorter</w:t>
            </w:r>
          </w:p>
        </w:tc>
      </w:tr>
      <w:tr>
        <w:trPr>
          <w:trHeight w:val="183"/>
        </w:trPr>
        <w:tc>
          <w:tcPr>
            <w:tcW w:w="7120" w:type="dxa"/>
            <w:vAlign w:val="bottom"/>
          </w:tcPr>
          <w:p>
            <w:pPr>
              <w:spacing w:after="0"/>
              <w:rPr>
                <w:sz w:val="20"/>
                <w:szCs w:val="20"/>
                <w:color w:val="auto"/>
              </w:rPr>
            </w:pPr>
            <w:r>
              <w:rPr>
                <w:rFonts w:ascii="MS PGothic" w:cs="MS PGothic" w:eastAsia="MS PGothic" w:hAnsi="MS PGothic"/>
                <w:sz w:val="15"/>
                <w:szCs w:val="15"/>
                <w:color w:val="auto"/>
              </w:rPr>
              <w:t>Leasehold improvements</w:t>
            </w:r>
          </w:p>
        </w:tc>
        <w:tc>
          <w:tcPr>
            <w:tcW w:w="3020" w:type="dxa"/>
            <w:vAlign w:val="bottom"/>
          </w:tcPr>
          <w:p>
            <w:pPr>
              <w:jc w:val="center"/>
              <w:spacing w:after="0"/>
              <w:rPr>
                <w:sz w:val="20"/>
                <w:szCs w:val="20"/>
                <w:color w:val="auto"/>
              </w:rPr>
            </w:pPr>
            <w:r>
              <w:rPr>
                <w:rFonts w:ascii="MS PGothic" w:cs="MS PGothic" w:eastAsia="MS PGothic" w:hAnsi="MS PGothic"/>
                <w:sz w:val="15"/>
                <w:szCs w:val="15"/>
                <w:color w:val="auto"/>
                <w:w w:val="94"/>
              </w:rPr>
              <w:t>Lease term, or asset life if shorter</w:t>
            </w:r>
          </w:p>
        </w:tc>
      </w:tr>
    </w:tbl>
    <w:p>
      <w:pPr>
        <w:spacing w:after="0" w:line="190" w:lineRule="exact"/>
        <w:rPr>
          <w:sz w:val="20"/>
          <w:szCs w:val="20"/>
          <w:color w:val="auto"/>
        </w:rPr>
      </w:pPr>
    </w:p>
    <w:p>
      <w:pPr>
        <w:ind w:left="500"/>
        <w:spacing w:after="0"/>
        <w:rPr>
          <w:sz w:val="20"/>
          <w:szCs w:val="20"/>
          <w:color w:val="auto"/>
        </w:rPr>
      </w:pPr>
      <w:r>
        <w:rPr>
          <w:rFonts w:ascii="MS PGothic" w:cs="MS PGothic" w:eastAsia="MS PGothic" w:hAnsi="MS PGothic"/>
          <w:sz w:val="15"/>
          <w:szCs w:val="15"/>
          <w:color w:val="auto"/>
        </w:rPr>
        <w:t>Expenditures for repairs and maintenance are charged to expense as incurred, whereas major beterments are capitalized as additons to property and equipment.</w:t>
      </w:r>
    </w:p>
    <w:p>
      <w:pPr>
        <w:spacing w:after="0" w:line="218" w:lineRule="exact"/>
        <w:rPr>
          <w:sz w:val="20"/>
          <w:szCs w:val="20"/>
          <w:color w:val="auto"/>
        </w:rPr>
      </w:pPr>
    </w:p>
    <w:p>
      <w:pPr>
        <w:jc w:val="center"/>
        <w:spacing w:after="0"/>
        <w:rPr>
          <w:sz w:val="20"/>
          <w:szCs w:val="20"/>
          <w:color w:val="auto"/>
        </w:rPr>
      </w:pPr>
      <w:r>
        <w:rPr>
          <w:rFonts w:ascii="MS PGothic" w:cs="MS PGothic" w:eastAsia="MS PGothic" w:hAnsi="MS PGothic"/>
          <w:sz w:val="15"/>
          <w:szCs w:val="15"/>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429895</wp:posOffset>
            </wp:positionV>
            <wp:extent cx="7178040" cy="4000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4" w:right="319" w:bottom="1440" w:gutter="0" w:footer="0" w:header="0"/>
        </w:sectPr>
      </w:pPr>
    </w:p>
    <w:bookmarkStart w:id="91" w:name="page92"/>
    <w:bookmarkEnd w:id="91"/>
    <w:p>
      <w:pPr>
        <w:spacing w:after="0"/>
        <w:rPr>
          <w:sz w:val="20"/>
          <w:szCs w:val="20"/>
          <w:color w:val="auto"/>
        </w:rPr>
      </w:pPr>
      <w:r>
        <w:rPr>
          <w:rFonts w:ascii="MS PGothic" w:cs="MS PGothic" w:eastAsia="MS PGothic" w:hAnsi="MS PGothic"/>
          <w:sz w:val="15"/>
          <w:szCs w:val="15"/>
          <w:b w:val="1"/>
          <w:bCs w:val="1"/>
          <w:i w:val="1"/>
          <w:iCs w:val="1"/>
          <w:color w:val="auto"/>
        </w:rPr>
        <w:t>Impairment of Long‑Lived Assets</w:t>
      </w:r>
    </w:p>
    <w:p>
      <w:pPr>
        <w:spacing w:after="0" w:line="218" w:lineRule="exact"/>
        <w:rPr>
          <w:sz w:val="20"/>
          <w:szCs w:val="20"/>
          <w:color w:val="auto"/>
        </w:rPr>
      </w:pPr>
    </w:p>
    <w:p>
      <w:pPr>
        <w:jc w:val="both"/>
        <w:ind w:firstLine="511"/>
        <w:spacing w:after="0" w:line="303" w:lineRule="auto"/>
        <w:rPr>
          <w:sz w:val="20"/>
          <w:szCs w:val="20"/>
          <w:color w:val="auto"/>
        </w:rPr>
      </w:pPr>
      <w:r>
        <w:rPr>
          <w:rFonts w:ascii="MS PGothic" w:cs="MS PGothic" w:eastAsia="MS PGothic" w:hAnsi="MS PGothic"/>
          <w:sz w:val="15"/>
          <w:szCs w:val="15"/>
          <w:color w:val="auto"/>
        </w:rPr>
        <w:t>The Company evaluates the recoverability of long‑lived assets, such as property and equipment and intangible assets, for impairment at least annually and whenever events or changes in circumstances indicate that the carrying value of an asset may not be recoverable. During this review, the Company re-evaluates the signifcant assumptons used in determining the original cost and estmated lives of long-lived assets. Although the assumptons may vary from asset to asset, they generally include operatng results, changes in the use of the asset, cash fows, and other indicators of value. Management then determines whether the remaining useful life contnues to be appropriate, or whether there has been an impairment of long‑lived assets based primarily upon whether expected future undiscounted cash fows are sufcient to support the assets’ recovery. Recoverability of these assets is measured by comparison of the carrying amount of the asset to the future undiscounted cash fows the asset is expected to generate. If the asset is considered to be impaired, the amount of any impairment is measured as the diference between the carrying value and the fair value of the impaired asset.</w:t>
      </w:r>
    </w:p>
    <w:p>
      <w:pPr>
        <w:spacing w:after="0" w:line="147" w:lineRule="exact"/>
        <w:rPr>
          <w:sz w:val="20"/>
          <w:szCs w:val="20"/>
          <w:color w:val="auto"/>
        </w:rPr>
      </w:pPr>
    </w:p>
    <w:p>
      <w:pPr>
        <w:jc w:val="both"/>
        <w:ind w:firstLine="511"/>
        <w:spacing w:after="0" w:line="303" w:lineRule="auto"/>
        <w:rPr>
          <w:sz w:val="20"/>
          <w:szCs w:val="20"/>
          <w:color w:val="auto"/>
        </w:rPr>
      </w:pPr>
      <w:r>
        <w:rPr>
          <w:rFonts w:ascii="MS PGothic" w:cs="MS PGothic" w:eastAsia="MS PGothic" w:hAnsi="MS PGothic"/>
          <w:sz w:val="15"/>
          <w:szCs w:val="15"/>
          <w:color w:val="auto"/>
        </w:rPr>
        <w:t>For the year ended December 31, 2023, the Company wrote of a total of $184 of capitalized website development costs, consistng of $175 in Digital Wholesale and $8 in U.S. Marketplace, within wholesale and marketplace cost of revenue, respectvely, in the consolidated income statements related to certain developed technology in which the Company decided to cease investment. For the year ended December 31, 2022, the Company wrote of $165 of Digital Wholesale segment capitalized website development costs within wholesale cost of revenue in the consolidated income statements related to certain developed technology in which the Company decided to cease investment. For the year ended December 31, 2021, the Company wrote of $2,481 of U.S. Marketplace segment capitalized website development costs within operatng expense in the consolidated income statements and $647 of U.S. Marketplace segment intangible assets within marketplace cost of revenue in the consolidated income statements related to certain developed technology in which the Company decided to cease investment.</w:t>
      </w:r>
    </w:p>
    <w:p>
      <w:pPr>
        <w:spacing w:after="0" w:line="147" w:lineRule="exact"/>
        <w:rPr>
          <w:sz w:val="20"/>
          <w:szCs w:val="20"/>
          <w:color w:val="auto"/>
        </w:rPr>
      </w:pPr>
    </w:p>
    <w:p>
      <w:pPr>
        <w:spacing w:after="0"/>
        <w:rPr>
          <w:sz w:val="20"/>
          <w:szCs w:val="20"/>
          <w:color w:val="auto"/>
        </w:rPr>
      </w:pPr>
      <w:r>
        <w:rPr>
          <w:rFonts w:ascii="MS PGothic" w:cs="MS PGothic" w:eastAsia="MS PGothic" w:hAnsi="MS PGothic"/>
          <w:sz w:val="15"/>
          <w:szCs w:val="15"/>
          <w:b w:val="1"/>
          <w:bCs w:val="1"/>
          <w:i w:val="1"/>
          <w:iCs w:val="1"/>
          <w:color w:val="auto"/>
        </w:rPr>
        <w:t>Capitalized Website Development and Capitalized Internal-Use Sofware Costs</w:t>
      </w:r>
    </w:p>
    <w:p>
      <w:pPr>
        <w:spacing w:after="0" w:line="218" w:lineRule="exact"/>
        <w:rPr>
          <w:sz w:val="20"/>
          <w:szCs w:val="20"/>
          <w:color w:val="auto"/>
        </w:rPr>
      </w:pPr>
    </w:p>
    <w:p>
      <w:pPr>
        <w:jc w:val="both"/>
        <w:ind w:firstLine="511"/>
        <w:spacing w:after="0" w:line="302" w:lineRule="auto"/>
        <w:rPr>
          <w:sz w:val="20"/>
          <w:szCs w:val="20"/>
          <w:color w:val="auto"/>
        </w:rPr>
      </w:pPr>
      <w:r>
        <w:rPr>
          <w:rFonts w:ascii="MS PGothic" w:cs="MS PGothic" w:eastAsia="MS PGothic" w:hAnsi="MS PGothic"/>
          <w:sz w:val="15"/>
          <w:szCs w:val="15"/>
          <w:color w:val="auto"/>
        </w:rPr>
        <w:t>The Company capitalizes certain costs associated with the development of its websites and internal‑use sofware afer the preliminary project stage is complete and untl the website development or sofware is ready for its intended use. Research and development costs incurred during the preliminary project stage or costs incurred for data conversion actvites, training, maintenance, and general and administratve, or overhead costs are expensed as incurred. Capitalizaton begins when the preliminary project stage is complete, management authorizes and commits to the funding of the project with the required authority, it is probable the project will be completed, the website development or sofware will be used to perform the functons intended, and certain functonal and quality standards have been met. Qualifed costs incurred during the operatng stage of its website development or sofware relatng to upgrades and enhancements are capitalized to the extent it is probable that they will result in added functonality, while costs that cannot be separated between maintenance of, and minor upgrades and enhancements to, websites and internal‑use sofware are expensed as incurred. Capitalized website development and capitalized internal-use sofware costs are recognized within property and equipment, net in the consolidated balance sheets.</w:t>
      </w:r>
    </w:p>
    <w:p>
      <w:pPr>
        <w:spacing w:after="0" w:line="147" w:lineRule="exact"/>
        <w:rPr>
          <w:sz w:val="20"/>
          <w:szCs w:val="20"/>
          <w:color w:val="auto"/>
        </w:rPr>
      </w:pPr>
    </w:p>
    <w:p>
      <w:pPr>
        <w:jc w:val="both"/>
        <w:ind w:firstLine="511"/>
        <w:spacing w:after="0" w:line="305" w:lineRule="auto"/>
        <w:rPr>
          <w:sz w:val="20"/>
          <w:szCs w:val="20"/>
          <w:color w:val="auto"/>
        </w:rPr>
      </w:pPr>
      <w:r>
        <w:rPr>
          <w:rFonts w:ascii="MS PGothic" w:cs="MS PGothic" w:eastAsia="MS PGothic" w:hAnsi="MS PGothic"/>
          <w:sz w:val="15"/>
          <w:szCs w:val="15"/>
          <w:color w:val="auto"/>
        </w:rPr>
        <w:t>Capitalized website development and capitalized internal-use sofware costs are amortzed on a straight‑line basis over their estmated useful life of three years beginning with the tme when the product is ready for intended use. Amortzaton expenses related to capitalized website development costs are recognized within cost of revenue in the consolidated income statements. Amortzaton expenses related to capitalized internal-use sofware costs are recognized within the operatng expense capton for depreciaton and amortzaton in the consolidated income statements. The Company evaluates the useful lives of these assets when each asset is ready for its intended use, and at least annually thereafer to ensure three years remains appropriate. The Company also tests for impairment at least annually and whenever events or changes in circumstances occur that could impact the recoverability of these assets. Impairment is evaluated as discussed in the “Impairment of Long-lived Assets” secton above.</w:t>
      </w:r>
    </w:p>
    <w:p>
      <w:pPr>
        <w:spacing w:after="0" w:line="145" w:lineRule="exact"/>
        <w:rPr>
          <w:sz w:val="20"/>
          <w:szCs w:val="20"/>
          <w:color w:val="auto"/>
        </w:rPr>
      </w:pPr>
    </w:p>
    <w:p>
      <w:pPr>
        <w:jc w:val="both"/>
        <w:ind w:firstLine="511"/>
        <w:spacing w:after="0" w:line="347" w:lineRule="auto"/>
        <w:rPr>
          <w:sz w:val="20"/>
          <w:szCs w:val="20"/>
          <w:color w:val="auto"/>
        </w:rPr>
      </w:pPr>
      <w:r>
        <w:rPr>
          <w:rFonts w:ascii="MS PGothic" w:cs="MS PGothic" w:eastAsia="MS PGothic" w:hAnsi="MS PGothic"/>
          <w:sz w:val="15"/>
          <w:szCs w:val="15"/>
          <w:color w:val="auto"/>
        </w:rPr>
        <w:t>During the years ended December 31, 2023 and 2022, capitalized website development costs were $20,789 and $14,496, respectvely. During the years ended December 31, 2023 and 2022, capitalized internal-use sofware costs were $4,850 and $4,388, respectvely.</w:t>
      </w:r>
    </w:p>
    <w:p>
      <w:pPr>
        <w:spacing w:after="0" w:line="153" w:lineRule="exact"/>
        <w:rPr>
          <w:sz w:val="20"/>
          <w:szCs w:val="20"/>
          <w:color w:val="auto"/>
        </w:rPr>
      </w:pPr>
    </w:p>
    <w:p>
      <w:pPr>
        <w:jc w:val="center"/>
        <w:spacing w:after="0"/>
        <w:rPr>
          <w:sz w:val="20"/>
          <w:szCs w:val="20"/>
          <w:color w:val="auto"/>
        </w:rPr>
      </w:pPr>
      <w:r>
        <w:rPr>
          <w:rFonts w:ascii="MS PGothic" w:cs="MS PGothic" w:eastAsia="MS PGothic" w:hAnsi="MS PGothic"/>
          <w:sz w:val="15"/>
          <w:szCs w:val="15"/>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415290</wp:posOffset>
            </wp:positionV>
            <wp:extent cx="7178040" cy="4000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4" w:right="319" w:bottom="1440" w:gutter="0" w:footer="0" w:header="0"/>
        </w:sectPr>
      </w:pPr>
    </w:p>
    <w:bookmarkStart w:id="92" w:name="page93"/>
    <w:bookmarkEnd w:id="92"/>
    <w:p>
      <w:pPr>
        <w:jc w:val="both"/>
        <w:ind w:right="20" w:firstLine="511"/>
        <w:spacing w:after="0" w:line="320" w:lineRule="auto"/>
        <w:rPr>
          <w:sz w:val="20"/>
          <w:szCs w:val="20"/>
          <w:color w:val="auto"/>
        </w:rPr>
      </w:pPr>
      <w:r>
        <w:rPr>
          <w:rFonts w:ascii="MS PGothic" w:cs="MS PGothic" w:eastAsia="MS PGothic" w:hAnsi="MS PGothic"/>
          <w:sz w:val="15"/>
          <w:szCs w:val="15"/>
          <w:color w:val="auto"/>
        </w:rPr>
        <w:t>For the years ended December 31, 2023, 2022, and 2021, amortzaton expense associated with capitalized website development costs were $11,537, $7,637, and $3,705, respectvely. For the years ended December 31, 2023, 2022, and 2021, amortzaton expense associated with capitalized internal-use sofware costs was $3,384, $1,286, and $272, respectvely.</w:t>
      </w:r>
    </w:p>
    <w:p>
      <w:pPr>
        <w:spacing w:after="0" w:line="136" w:lineRule="exact"/>
        <w:rPr>
          <w:sz w:val="20"/>
          <w:szCs w:val="20"/>
          <w:color w:val="auto"/>
        </w:rPr>
      </w:pPr>
    </w:p>
    <w:p>
      <w:pPr>
        <w:spacing w:after="0"/>
        <w:rPr>
          <w:sz w:val="20"/>
          <w:szCs w:val="20"/>
          <w:color w:val="auto"/>
        </w:rPr>
      </w:pPr>
      <w:r>
        <w:rPr>
          <w:rFonts w:ascii="Calibri" w:cs="Calibri" w:eastAsia="Calibri" w:hAnsi="Calibri"/>
          <w:sz w:val="15"/>
          <w:szCs w:val="15"/>
          <w:b w:val="1"/>
          <w:bCs w:val="1"/>
          <w:i w:val="1"/>
          <w:iCs w:val="1"/>
          <w:color w:val="auto"/>
        </w:rPr>
        <w:t>Capitalized Hostng Arrangements</w:t>
      </w:r>
    </w:p>
    <w:p>
      <w:pPr>
        <w:spacing w:after="0" w:line="185" w:lineRule="exact"/>
        <w:rPr>
          <w:sz w:val="20"/>
          <w:szCs w:val="20"/>
          <w:color w:val="auto"/>
        </w:rPr>
      </w:pPr>
    </w:p>
    <w:p>
      <w:pPr>
        <w:jc w:val="both"/>
        <w:ind w:firstLine="511"/>
        <w:spacing w:after="0" w:line="347" w:lineRule="auto"/>
        <w:rPr>
          <w:sz w:val="20"/>
          <w:szCs w:val="20"/>
          <w:color w:val="auto"/>
        </w:rPr>
      </w:pPr>
      <w:r>
        <w:rPr>
          <w:rFonts w:ascii="MS PGothic" w:cs="MS PGothic" w:eastAsia="MS PGothic" w:hAnsi="MS PGothic"/>
          <w:sz w:val="15"/>
          <w:szCs w:val="15"/>
          <w:color w:val="auto"/>
        </w:rPr>
        <w:t>The Company's hostng arrangements consist of cloud-based hostng platorms. Capitalized implementaton costs for hostng arrangements costs are recognized within prepaid expenses, prepaid income taxes and other current assets and within other non-current assets, as applicable, in the consolidated balance sheets.</w:t>
      </w:r>
    </w:p>
    <w:p>
      <w:pPr>
        <w:spacing w:after="0" w:line="119" w:lineRule="exact"/>
        <w:rPr>
          <w:sz w:val="20"/>
          <w:szCs w:val="20"/>
          <w:color w:val="auto"/>
        </w:rPr>
      </w:pPr>
    </w:p>
    <w:p>
      <w:pPr>
        <w:jc w:val="both"/>
        <w:ind w:firstLine="511"/>
        <w:spacing w:after="0" w:line="305" w:lineRule="auto"/>
        <w:rPr>
          <w:sz w:val="20"/>
          <w:szCs w:val="20"/>
          <w:color w:val="auto"/>
        </w:rPr>
      </w:pPr>
      <w:r>
        <w:rPr>
          <w:rFonts w:ascii="MS PGothic" w:cs="MS PGothic" w:eastAsia="MS PGothic" w:hAnsi="MS PGothic"/>
          <w:sz w:val="15"/>
          <w:szCs w:val="15"/>
          <w:color w:val="auto"/>
        </w:rPr>
        <w:t>Capitalized implementaton costs for hostng arrangements are amortzed on a straight‑line basis over an estmated useful life of the term of the hostng arrangement, taking into consideraton several other factors such as, but not limited to, optons to extend the hostng arrangement or optons to terminate the hostng arrangement, beginning with the tme when the sofware is ready for intended use. Amortzaton expenses related to hostng arrangements costs are recognized within the same line item in the consolidated income statements as the expense for fees for the associated hostng arrangement. The Company evaluates the useful lives of these assets when each asset is ready for its intended use, and at least annually thereafer to ensure the selected useful life remains appropriate. The Company also tests for impairment at least annually and whenever events or changes in circumstances occur that could impact the recoverability of these assets. Impairment is evaluated as discussed in the “Impairment of Long-lived Assets” secton above.</w:t>
      </w:r>
    </w:p>
    <w:p>
      <w:pPr>
        <w:spacing w:after="0" w:line="145" w:lineRule="exact"/>
        <w:rPr>
          <w:sz w:val="20"/>
          <w:szCs w:val="20"/>
          <w:color w:val="auto"/>
        </w:rPr>
      </w:pPr>
    </w:p>
    <w:p>
      <w:pPr>
        <w:jc w:val="both"/>
        <w:ind w:right="20" w:firstLine="511"/>
        <w:spacing w:after="0" w:line="320" w:lineRule="auto"/>
        <w:rPr>
          <w:sz w:val="20"/>
          <w:szCs w:val="20"/>
          <w:color w:val="auto"/>
        </w:rPr>
      </w:pPr>
      <w:r>
        <w:rPr>
          <w:rFonts w:ascii="MS PGothic" w:cs="MS PGothic" w:eastAsia="MS PGothic" w:hAnsi="MS PGothic"/>
          <w:sz w:val="15"/>
          <w:szCs w:val="15"/>
          <w:color w:val="auto"/>
        </w:rPr>
        <w:t>During the years ended December 31, 2023, 2022, 2021, the Company launched separate initatves designed to enhance its hostng arrangements related to its enterprise applicatons. During the years ended December 31, 2023 and 2022, capitalized implementaton costs were $1,739 and $3,196, respectvely, and recognized within other non-current assets and within prepaid expenses, prepaid income taxes and other current assets, respectvely, in the consolidated balance sheets.</w:t>
      </w:r>
    </w:p>
    <w:p>
      <w:pPr>
        <w:spacing w:after="0" w:line="136" w:lineRule="exact"/>
        <w:rPr>
          <w:sz w:val="20"/>
          <w:szCs w:val="20"/>
          <w:color w:val="auto"/>
        </w:rPr>
      </w:pPr>
    </w:p>
    <w:p>
      <w:pPr>
        <w:jc w:val="both"/>
        <w:ind w:firstLine="511"/>
        <w:spacing w:after="0" w:line="347" w:lineRule="auto"/>
        <w:rPr>
          <w:sz w:val="20"/>
          <w:szCs w:val="20"/>
          <w:color w:val="auto"/>
        </w:rPr>
      </w:pPr>
      <w:r>
        <w:rPr>
          <w:rFonts w:ascii="MS PGothic" w:cs="MS PGothic" w:eastAsia="MS PGothic" w:hAnsi="MS PGothic"/>
          <w:sz w:val="15"/>
          <w:szCs w:val="15"/>
          <w:color w:val="auto"/>
        </w:rPr>
        <w:t>For the years ended December 31, 2023, 2022, and 2021, amortzaton expense associated with hostng arrangements was $1,962, $2,117, and $1,761, respectvely, and recognized within operatng expense and cost of revenue in the consolidated income statements.</w:t>
      </w:r>
    </w:p>
    <w:p>
      <w:pPr>
        <w:spacing w:after="0" w:line="118" w:lineRule="exact"/>
        <w:rPr>
          <w:sz w:val="20"/>
          <w:szCs w:val="20"/>
          <w:color w:val="auto"/>
        </w:rPr>
      </w:pPr>
    </w:p>
    <w:p>
      <w:pPr>
        <w:spacing w:after="0"/>
        <w:rPr>
          <w:sz w:val="20"/>
          <w:szCs w:val="20"/>
          <w:color w:val="auto"/>
        </w:rPr>
      </w:pPr>
      <w:r>
        <w:rPr>
          <w:rFonts w:ascii="Calibri" w:cs="Calibri" w:eastAsia="Calibri" w:hAnsi="Calibri"/>
          <w:sz w:val="15"/>
          <w:szCs w:val="15"/>
          <w:b w:val="1"/>
          <w:bCs w:val="1"/>
          <w:i w:val="1"/>
          <w:iCs w:val="1"/>
          <w:color w:val="auto"/>
        </w:rPr>
        <w:t>Business Combinatons</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i w:val="1"/>
          <w:iCs w:val="1"/>
          <w:color w:val="auto"/>
        </w:rPr>
        <w:t>Valuaton of Acquired Assets and Liabilites</w:t>
      </w:r>
    </w:p>
    <w:p>
      <w:pPr>
        <w:spacing w:after="0" w:line="185" w:lineRule="exact"/>
        <w:rPr>
          <w:sz w:val="20"/>
          <w:szCs w:val="20"/>
          <w:color w:val="auto"/>
        </w:rPr>
      </w:pPr>
    </w:p>
    <w:p>
      <w:pPr>
        <w:jc w:val="both"/>
        <w:ind w:firstLine="511"/>
        <w:spacing w:after="0" w:line="320" w:lineRule="auto"/>
        <w:rPr>
          <w:sz w:val="20"/>
          <w:szCs w:val="20"/>
          <w:color w:val="auto"/>
        </w:rPr>
      </w:pPr>
      <w:r>
        <w:rPr>
          <w:rFonts w:ascii="MS PGothic" w:cs="MS PGothic" w:eastAsia="MS PGothic" w:hAnsi="MS PGothic"/>
          <w:sz w:val="15"/>
          <w:szCs w:val="15"/>
          <w:color w:val="auto"/>
        </w:rPr>
        <w:t>The Company measures all consideraton transferred in a business combinaton at its acquisiton-date fair value. Consideraton transferred is determined by the acquisiton-date fair value of assets transferred, liabilites assumed, including contngent consideraton obligatons, as applicable. The Company measures goodwill as the excess of the consideraton transferred over the net of the acquisiton-date amounts of assets acquired less liabilites assumed.</w:t>
      </w:r>
    </w:p>
    <w:p>
      <w:pPr>
        <w:spacing w:after="0" w:line="136" w:lineRule="exact"/>
        <w:rPr>
          <w:sz w:val="20"/>
          <w:szCs w:val="20"/>
          <w:color w:val="auto"/>
        </w:rPr>
      </w:pPr>
    </w:p>
    <w:p>
      <w:pPr>
        <w:jc w:val="both"/>
        <w:ind w:firstLine="511"/>
        <w:spacing w:after="0" w:line="320" w:lineRule="auto"/>
        <w:rPr>
          <w:sz w:val="20"/>
          <w:szCs w:val="20"/>
          <w:color w:val="auto"/>
        </w:rPr>
      </w:pPr>
      <w:r>
        <w:rPr>
          <w:rFonts w:ascii="MS PGothic" w:cs="MS PGothic" w:eastAsia="MS PGothic" w:hAnsi="MS PGothic"/>
          <w:sz w:val="15"/>
          <w:szCs w:val="15"/>
          <w:color w:val="auto"/>
        </w:rPr>
        <w:t>The Company makes signifcant assumptons and estmates in determining the fair value of the acquired assets and liabilites as of the acquisiton date, especially the valuaton of intangible assets and certain tax positons. The Company records estmates as of the acquisiton date and reassess the estmates at each reportng period up to one year afer the acquisiton date. Changes in estmates made prior to fnalizaton of purchase accountng are recognized within goodwill.</w:t>
      </w:r>
    </w:p>
    <w:p>
      <w:pPr>
        <w:spacing w:after="0" w:line="136" w:lineRule="exact"/>
        <w:rPr>
          <w:sz w:val="20"/>
          <w:szCs w:val="20"/>
          <w:color w:val="auto"/>
        </w:rPr>
      </w:pPr>
    </w:p>
    <w:p>
      <w:pPr>
        <w:spacing w:after="0"/>
        <w:rPr>
          <w:sz w:val="20"/>
          <w:szCs w:val="20"/>
          <w:color w:val="auto"/>
        </w:rPr>
      </w:pPr>
      <w:r>
        <w:rPr>
          <w:rFonts w:ascii="Calibri" w:cs="Calibri" w:eastAsia="Calibri" w:hAnsi="Calibri"/>
          <w:sz w:val="15"/>
          <w:szCs w:val="15"/>
          <w:i w:val="1"/>
          <w:iCs w:val="1"/>
          <w:color w:val="auto"/>
        </w:rPr>
        <w:t>Intangible Assets</w:t>
      </w:r>
    </w:p>
    <w:p>
      <w:pPr>
        <w:spacing w:after="0" w:line="185" w:lineRule="exact"/>
        <w:rPr>
          <w:sz w:val="20"/>
          <w:szCs w:val="20"/>
          <w:color w:val="auto"/>
        </w:rPr>
      </w:pPr>
    </w:p>
    <w:p>
      <w:pPr>
        <w:jc w:val="both"/>
        <w:ind w:firstLine="511"/>
        <w:spacing w:after="0" w:line="347" w:lineRule="auto"/>
        <w:rPr>
          <w:sz w:val="20"/>
          <w:szCs w:val="20"/>
          <w:color w:val="auto"/>
        </w:rPr>
      </w:pPr>
      <w:r>
        <w:rPr>
          <w:rFonts w:ascii="MS PGothic" w:cs="MS PGothic" w:eastAsia="MS PGothic" w:hAnsi="MS PGothic"/>
          <w:sz w:val="15"/>
          <w:szCs w:val="15"/>
          <w:color w:val="auto"/>
        </w:rPr>
        <w:t>Intangible assets are recognized at their estmated fair value at the date of acquisiton. Fair value is determined based on inputs and assumptons such as discount rates, rates of return on assets, and long-term sales growth rates.</w:t>
      </w:r>
    </w:p>
    <w:p>
      <w:pPr>
        <w:spacing w:after="0" w:line="119" w:lineRule="exact"/>
        <w:rPr>
          <w:sz w:val="20"/>
          <w:szCs w:val="20"/>
          <w:color w:val="auto"/>
        </w:rPr>
      </w:pPr>
    </w:p>
    <w:p>
      <w:pPr>
        <w:jc w:val="both"/>
        <w:ind w:firstLine="511"/>
        <w:spacing w:after="0" w:line="312" w:lineRule="auto"/>
        <w:rPr>
          <w:sz w:val="20"/>
          <w:szCs w:val="20"/>
          <w:color w:val="auto"/>
        </w:rPr>
      </w:pPr>
      <w:r>
        <w:rPr>
          <w:rFonts w:ascii="MS PGothic" w:cs="MS PGothic" w:eastAsia="MS PGothic" w:hAnsi="MS PGothic"/>
          <w:sz w:val="15"/>
          <w:szCs w:val="15"/>
          <w:color w:val="auto"/>
        </w:rPr>
        <w:t>The Company amortzes intangible assets over their estmated useful lives on a straight-line basis. Useful lives are established based on analysis of all pertnent factors such as: the expected use of the asset; expected useful lives of related assets; provisions that may limit the useful life; historical experience with similar arrangements; efects of economic factors; demand; competton; obsolescence; and maintenance required to maintain the future cash fows. Amortzaton is recognized over the relevant estmated useful lives ranging from three to eleven years.</w:t>
      </w:r>
    </w:p>
    <w:p>
      <w:pPr>
        <w:spacing w:after="0" w:line="140" w:lineRule="exact"/>
        <w:rPr>
          <w:sz w:val="20"/>
          <w:szCs w:val="20"/>
          <w:color w:val="auto"/>
        </w:rPr>
      </w:pPr>
    </w:p>
    <w:p>
      <w:pPr>
        <w:jc w:val="center"/>
        <w:spacing w:after="0"/>
        <w:rPr>
          <w:sz w:val="20"/>
          <w:szCs w:val="20"/>
          <w:color w:val="auto"/>
        </w:rPr>
      </w:pPr>
      <w:r>
        <w:rPr>
          <w:rFonts w:ascii="MS PGothic" w:cs="MS PGothic" w:eastAsia="MS PGothic" w:hAnsi="MS PGothic"/>
          <w:sz w:val="15"/>
          <w:szCs w:val="15"/>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422275</wp:posOffset>
            </wp:positionV>
            <wp:extent cx="7178040" cy="4000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4" w:right="319" w:bottom="1440" w:gutter="0" w:footer="0" w:header="0"/>
        </w:sectPr>
      </w:pPr>
    </w:p>
    <w:bookmarkStart w:id="93" w:name="page94"/>
    <w:bookmarkEnd w:id="93"/>
    <w:p>
      <w:pPr>
        <w:jc w:val="both"/>
        <w:ind w:firstLine="511"/>
        <w:spacing w:after="0" w:line="241" w:lineRule="auto"/>
        <w:rPr>
          <w:sz w:val="20"/>
          <w:szCs w:val="20"/>
          <w:color w:val="auto"/>
        </w:rPr>
      </w:pPr>
      <w:r>
        <w:rPr>
          <w:rFonts w:ascii="Calibri" w:cs="Calibri" w:eastAsia="Calibri" w:hAnsi="Calibri"/>
          <w:sz w:val="15"/>
          <w:szCs w:val="15"/>
          <w:color w:val="auto"/>
        </w:rPr>
        <w:t>The Company evaluates the useful lives of these assets as of the acquisiton date and at least annually thereafer to ensure the selected useful life remains appropriate. If the estmate of an intangible asset’s remaining useful life is changed, the Company amortzes the remaining carrying value of the intangible asset prospectvely over the revised remaining useful life.</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The Company monitors its long-lived assets for impairment indicators on an ongoing basis in accordance with GAAP, and tests for impairment at least annually and whenever events or changes in circumstances occur that could impact the recoverability of these assets. If impairment indicators exist, the Company performs the required impairment analysis by comparing the undiscounted cash fows expected to be generated from the long-lived assets to the related net book values. Impairment is evaluated as discussed in the “Impairment of Long-Lived Assets” secton above.</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i w:val="1"/>
          <w:iCs w:val="1"/>
          <w:color w:val="auto"/>
        </w:rPr>
        <w:t>Goodwill</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Goodwill is recognized when consideraton paid in a purchase acquisiton exceeds the fair value of the net assets acquired. Goodwill is not amortzed, but rather is tested for impairment annually or more frequently if facts and circumstances warrant a review. Conditons that could trigger a more frequent impairment assessment include, but are not limited to, a signifcant adverse change in certain agreements, signifcant underperformance relatve to historical or projected future operatng results, an economic downturn afectng automotve marketplaces, increased competton, a signifcant reducton in the Company's stock price for a sustained period, or a reducton of its market capitalizaton relatve to net book value.</w:t>
      </w:r>
    </w:p>
    <w:p>
      <w:pPr>
        <w:spacing w:after="0" w:line="369"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The Company evaluates impairment annually on October 1 by comparing the estmated fair value of each reportng unit to its carrying value. For fscal year 2023 the Company determined that it had three reportng units with goodwill: U.S. Marketplace, CarOfer, and U.K. Marketplace. The Company elected to bypass the optonal qualitatve test for impairment and proceed to Step 1, which is a quanttatve impairment test. For the U.S. Marketplace and U.K. Marketplace reportng units, the Company estmates fair value using a market approach, based on market multples derived from public companies that are identfed as peers. As of October 1, 2023, the Company estmated forecasted revenue for fscal year 2023, and estmated revenue market multples using publicly available informaton for each of its reportng units. Developing these assumptons required the use of judgment and estmates. Actual results may difer from these forecasts. For the CarOfer reportng unit, the Company estmates fair value using an income approach, based on a discounted cash fow method. The assumptons used to estmate the fair value using a discounted cash fow method include revenue and EBITDA forecasts, the weighted average cost of capital and discount rate, debt-free net working capital forecasts, and long-term growth rate.</w:t>
      </w:r>
    </w:p>
    <w:p>
      <w:pPr>
        <w:spacing w:after="0" w:line="186"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For the years ended December 31, 2023, 2022, and 2021 the Company did not identfy any impairment of its goodwill. Although no impairment was identfed during the annual impairment test as of October 1, 2023, the excess of the fair value over the carrying value declined for the CarOfer reportng unit in the Digital Wholesale segment. If projected future operatng results further decline, including as a result of economic conditons or operatonal challenges, the Company may need to record an impairment charge to reduce its goodwill at CarOfer which could be material and negatvely afect the Company's operatons.</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i w:val="1"/>
          <w:iCs w:val="1"/>
          <w:color w:val="auto"/>
        </w:rPr>
        <w:t>Redeemable Noncontrolling Interest</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In connecton with the Company’s acquisiton of a 51% interest in CarOfer on January 14, 2021, the Company became a party with the noncontrolling equity holders of CarOfer to the 2021 CarOfer Operatng Agreement (as defned in "Stock-Based Compensaton" below), which, among other maters, sets forth certain put and call rights described in "Stock-Based Compensaton" below. The 2021 CarOfer Operatng Agreement provided the Company with the right to purchase, and the noncontrolling equity holders with the right to sell to the Company, the noncontrolling CarOfer equity holders’ equity interests in CarOfer at a contractually defned formulaic purchase price, which was based on a multple of earnings.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Subsequent to the Company’s acquisiton of the 51% interest on January 14, 2021, the redeemable noncontrolling interest was measured at the greater of the amount that would be paid if setlement occurred as of the balance sheet date based on the contractually defned redempton value and its carrying amount adjusted for net (loss) income atributable to the noncontrolling interest and tax distributons to redeemable noncontrolling interest holders. Adjustments to the carrying value of the redeemable noncontrolling interest resultng from changes in the redempton value are recognized within retained earnings in the consolidated balance sheets.</w:t>
      </w:r>
    </w:p>
    <w:p>
      <w:pPr>
        <w:spacing w:after="0" w:line="185" w:lineRule="exact"/>
        <w:rPr>
          <w:sz w:val="20"/>
          <w:szCs w:val="20"/>
          <w:color w:val="auto"/>
        </w:rPr>
      </w:pPr>
    </w:p>
    <w:p>
      <w:pPr>
        <w:jc w:val="center"/>
        <w:spacing w:after="0"/>
        <w:rPr>
          <w:sz w:val="20"/>
          <w:szCs w:val="20"/>
          <w:color w:val="auto"/>
        </w:rPr>
      </w:pPr>
      <w:r>
        <w:rPr>
          <w:rFonts w:ascii="Calibri" w:cs="Calibri" w:eastAsia="Calibri" w:hAnsi="Calibri"/>
          <w:sz w:val="15"/>
          <w:szCs w:val="15"/>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401320</wp:posOffset>
            </wp:positionV>
            <wp:extent cx="7178040" cy="4000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4" w:right="319" w:bottom="1440" w:gutter="0" w:footer="0" w:header="0"/>
        </w:sectPr>
      </w:pPr>
    </w:p>
    <w:bookmarkStart w:id="94" w:name="page95"/>
    <w:bookmarkEnd w:id="94"/>
    <w:p>
      <w:pPr>
        <w:jc w:val="both"/>
        <w:ind w:firstLine="511"/>
        <w:spacing w:after="0" w:line="241" w:lineRule="auto"/>
        <w:rPr>
          <w:sz w:val="20"/>
          <w:szCs w:val="20"/>
          <w:color w:val="auto"/>
        </w:rPr>
      </w:pPr>
      <w:r>
        <w:rPr>
          <w:rFonts w:ascii="Calibri" w:cs="Calibri" w:eastAsia="Calibri" w:hAnsi="Calibri"/>
          <w:sz w:val="15"/>
          <w:szCs w:val="15"/>
          <w:color w:val="auto"/>
        </w:rPr>
        <w:t>On November 6, 2023, the Company entered into a Membership Interest Purchase Agreement (the “2023 Purchase Agreement”) with CarOfer, CarOfer Investors Holding, LLC, CarOfer Midco, LLC (“CarOfer MidCo”), each of the persons set forth on Schedule 1.1(a) to the 2023 Purchase Agreement (the “Indirect Members”), Bruce T. Thompson, an individual residing in Texas, as the sellers’ representatve, and the responsible party signatory thereto.</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Pursuant to the 2023 Purchase Agreement the Company acquired the remaining minority equity interests in CarOfer (the “2023 CarOfer Transacton”) for an aggregate consideraton of $75.0 million in cash (the “2023 Consideraton”), subject to certain adjustments set forth in the 2023 Purchase Agreement. A porton of the 2023 Consideraton is held in escrow to secure certain payment and indemnifcaton obligatons of the Indirect Members in accordance with the terms of the 2023 Purchase Agreement. The 2023 CarOfer Transacton was completed on December 1, 2023.</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Following the 2023 CarOfer Transacton, CarOfer is a wholly-owned subsidiary and the Company entered into the Fourth Amended and Restated Limited Liability Company Agreement, dated December 1, 2023 (the "2023 CarOfer Operatng Agreement"), pursuant to which, among other maters, the existng put and call rights were terminated. As a result of the Company purchasing the remaining minority equity interests of CarOfer, there is no redeemable noncontrolling interest as of December 31, 2023.</w:t>
      </w:r>
    </w:p>
    <w:p>
      <w:pPr>
        <w:spacing w:after="0" w:line="185" w:lineRule="exact"/>
        <w:rPr>
          <w:sz w:val="20"/>
          <w:szCs w:val="20"/>
          <w:color w:val="auto"/>
        </w:rPr>
      </w:pPr>
    </w:p>
    <w:p>
      <w:pPr>
        <w:ind w:left="500"/>
        <w:spacing w:after="0"/>
        <w:rPr>
          <w:sz w:val="20"/>
          <w:szCs w:val="20"/>
          <w:color w:val="auto"/>
        </w:rPr>
      </w:pPr>
      <w:r>
        <w:rPr>
          <w:rFonts w:ascii="Calibri" w:cs="Calibri" w:eastAsia="Calibri" w:hAnsi="Calibri"/>
          <w:sz w:val="15"/>
          <w:szCs w:val="15"/>
          <w:color w:val="auto"/>
        </w:rPr>
        <w:t>See Note 4 of these consolidated fnancial statements for further informaton regarding the 2023 CarOfer Transacton.</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b w:val="1"/>
          <w:bCs w:val="1"/>
          <w:i w:val="1"/>
          <w:iCs w:val="1"/>
          <w:color w:val="auto"/>
        </w:rPr>
        <w:t>Leases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 xml:space="preserve">The Company recognizes a lease liability for the obligaton to make lease payments and a right-of-use asset for the right to use the underlying assets for the lease term. The Company reviews all material contracts for embedded leases to determine if they have a right-of-use asset. The Company made an accountng policy electon to apply the practcal expedient under ASC Topic 842, </w:t>
      </w:r>
      <w:r>
        <w:rPr>
          <w:rFonts w:ascii="Calibri" w:cs="Calibri" w:eastAsia="Calibri" w:hAnsi="Calibri"/>
          <w:sz w:val="15"/>
          <w:szCs w:val="15"/>
          <w:i w:val="1"/>
          <w:iCs w:val="1"/>
          <w:color w:val="auto"/>
        </w:rPr>
        <w:t>Leases</w:t>
      </w:r>
      <w:r>
        <w:rPr>
          <w:rFonts w:ascii="Calibri" w:cs="Calibri" w:eastAsia="Calibri" w:hAnsi="Calibri"/>
          <w:sz w:val="15"/>
          <w:szCs w:val="15"/>
          <w:color w:val="auto"/>
        </w:rPr>
        <w:t>, to not separate lease components from non-lease components for all leases.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The Company recognizes rent expense on a straight-line basis over the lease period. The depreciable life of assets and leasehold improvements are limited by the expected lease term, unless there is a transfer of ttle or purchase opton reasonably certain of exercise. The Company allocates lease costs across all departments based on headcount in the respectve locaton.</w:t>
      </w:r>
    </w:p>
    <w:p>
      <w:pPr>
        <w:spacing w:after="0" w:line="185" w:lineRule="exact"/>
        <w:rPr>
          <w:sz w:val="20"/>
          <w:szCs w:val="20"/>
          <w:color w:val="auto"/>
        </w:rPr>
      </w:pPr>
    </w:p>
    <w:p>
      <w:pPr>
        <w:ind w:left="500"/>
        <w:spacing w:after="0"/>
        <w:rPr>
          <w:sz w:val="20"/>
          <w:szCs w:val="20"/>
          <w:color w:val="auto"/>
        </w:rPr>
      </w:pPr>
      <w:r>
        <w:rPr>
          <w:rFonts w:ascii="Calibri" w:cs="Calibri" w:eastAsia="Calibri" w:hAnsi="Calibri"/>
          <w:sz w:val="15"/>
          <w:szCs w:val="15"/>
          <w:color w:val="auto"/>
        </w:rPr>
        <w:t>Variable lease payments that depend on an index or a rate are included in the lease payments and are measured using the prevailing index or rate at the measurement date.</w:t>
      </w:r>
    </w:p>
    <w:p>
      <w:pPr>
        <w:spacing w:after="0" w:line="1" w:lineRule="exact"/>
        <w:rPr>
          <w:sz w:val="20"/>
          <w:szCs w:val="20"/>
          <w:color w:val="auto"/>
        </w:rPr>
      </w:pPr>
    </w:p>
    <w:p>
      <w:pPr>
        <w:spacing w:after="0"/>
        <w:rPr>
          <w:sz w:val="20"/>
          <w:szCs w:val="20"/>
          <w:color w:val="auto"/>
        </w:rPr>
      </w:pPr>
      <w:r>
        <w:rPr>
          <w:rFonts w:ascii="Calibri" w:cs="Calibri" w:eastAsia="Calibri" w:hAnsi="Calibri"/>
          <w:sz w:val="15"/>
          <w:szCs w:val="15"/>
          <w:color w:val="auto"/>
        </w:rPr>
        <w:t>Variable lease payments not based on an index or a rate are excluded from lease payments and are expensed as incurred.</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The Company made an accountng policy electon to not recognize a lease liability or right-of-use asset on its consolidated balance sheets for leases with an inital term of twelve months or less, and instead to recognize lease payments in the consolidated income statements on a straight-line basis over the lease term and variable lease payments that do not depend on an index or rate as expense in the period in which the achievement of the specifed target that triggers the variable lease payments becomes probable.</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The Company recognizes sublease income on a straight-line basis over the sublease period. The Company recognizes sublease income as an ofset to rent expense within operatng expenses in the consolidated income statements as subleasing is not a primary business actvity of the Company and is meant to ofset occupancy costs. For the years ended December 31, 2023 and 2022, the Company recognized sublease income of $1,897 and $1,809, respectvely. For the year ended December 31, 2021, there was no sublease income.</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b w:val="1"/>
          <w:bCs w:val="1"/>
          <w:i w:val="1"/>
          <w:iCs w:val="1"/>
          <w:color w:val="auto"/>
        </w:rPr>
        <w:t>Contngent Liabilites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The Company has certain contngent liabilites that arise in the ordinary course of business actvites. The Company accrues for loss contngencies when losses become probable and can be reasonably estmated. If the reasonable estmate of the loss is a range and no amount within the range is a beter estmate, the minimum amount of the range is recognized as a liability. The Company does not accrue for contngent losses that, in its judgment, are considered to be reasonably possible, but not probable; however, it discloses the range of such reasonably possible losses, if material.</w:t>
      </w:r>
    </w:p>
    <w:p>
      <w:pPr>
        <w:spacing w:after="0" w:line="185" w:lineRule="exact"/>
        <w:rPr>
          <w:sz w:val="20"/>
          <w:szCs w:val="20"/>
          <w:color w:val="auto"/>
        </w:rPr>
      </w:pPr>
    </w:p>
    <w:p>
      <w:pPr>
        <w:jc w:val="center"/>
        <w:spacing w:after="0"/>
        <w:rPr>
          <w:sz w:val="20"/>
          <w:szCs w:val="20"/>
          <w:color w:val="auto"/>
        </w:rPr>
      </w:pPr>
      <w:r>
        <w:rPr>
          <w:rFonts w:ascii="Calibri" w:cs="Calibri" w:eastAsia="Calibri" w:hAnsi="Calibri"/>
          <w:sz w:val="15"/>
          <w:szCs w:val="15"/>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408940</wp:posOffset>
            </wp:positionV>
            <wp:extent cx="7178040" cy="4000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3" w:right="319" w:bottom="1440" w:gutter="0" w:footer="0" w:header="0"/>
        </w:sectPr>
      </w:pPr>
    </w:p>
    <w:bookmarkStart w:id="95" w:name="page96"/>
    <w:bookmarkEnd w:id="95"/>
    <w:p>
      <w:pPr>
        <w:spacing w:after="0"/>
        <w:rPr>
          <w:sz w:val="20"/>
          <w:szCs w:val="20"/>
          <w:color w:val="auto"/>
        </w:rPr>
      </w:pPr>
      <w:r>
        <w:rPr>
          <w:rFonts w:ascii="Calibri" w:cs="Calibri" w:eastAsia="Calibri" w:hAnsi="Calibri"/>
          <w:sz w:val="15"/>
          <w:szCs w:val="15"/>
          <w:b w:val="1"/>
          <w:bCs w:val="1"/>
          <w:i w:val="1"/>
          <w:iCs w:val="1"/>
          <w:color w:val="auto"/>
        </w:rPr>
        <w:t>Income Taxes</w:t>
      </w:r>
    </w:p>
    <w:p>
      <w:pPr>
        <w:spacing w:after="0" w:line="185" w:lineRule="exact"/>
        <w:rPr>
          <w:sz w:val="20"/>
          <w:szCs w:val="20"/>
          <w:color w:val="auto"/>
        </w:rPr>
      </w:pPr>
    </w:p>
    <w:p>
      <w:pPr>
        <w:jc w:val="both"/>
        <w:ind w:right="20" w:firstLine="511"/>
        <w:spacing w:after="0" w:line="347" w:lineRule="auto"/>
        <w:rPr>
          <w:sz w:val="20"/>
          <w:szCs w:val="20"/>
          <w:color w:val="auto"/>
        </w:rPr>
      </w:pPr>
      <w:r>
        <w:rPr>
          <w:rFonts w:ascii="MS PGothic" w:cs="MS PGothic" w:eastAsia="MS PGothic" w:hAnsi="MS PGothic"/>
          <w:sz w:val="15"/>
          <w:szCs w:val="15"/>
          <w:color w:val="auto"/>
        </w:rPr>
        <w:t>The Company is subject to federal and state income taxes in the U.S. and taxes in foreign jurisdictons in which it operates. For the years ended December 31, 2023 and 2022, a provision for income taxes was recognized as a result of the consolidated taxable income positon.</w:t>
      </w:r>
    </w:p>
    <w:p>
      <w:pPr>
        <w:spacing w:after="0" w:line="119" w:lineRule="exact"/>
        <w:rPr>
          <w:sz w:val="20"/>
          <w:szCs w:val="20"/>
          <w:color w:val="auto"/>
        </w:rPr>
      </w:pPr>
    </w:p>
    <w:p>
      <w:pPr>
        <w:jc w:val="both"/>
        <w:ind w:firstLine="511"/>
        <w:spacing w:after="0" w:line="320" w:lineRule="auto"/>
        <w:rPr>
          <w:sz w:val="20"/>
          <w:szCs w:val="20"/>
          <w:color w:val="auto"/>
        </w:rPr>
      </w:pPr>
      <w:r>
        <w:rPr>
          <w:rFonts w:ascii="MS PGothic" w:cs="MS PGothic" w:eastAsia="MS PGothic" w:hAnsi="MS PGothic"/>
          <w:sz w:val="15"/>
          <w:szCs w:val="15"/>
          <w:color w:val="auto"/>
        </w:rPr>
        <w:t>The Company accounts for income taxes in accordance with the asset and liability method. Under this method, deferred tax assets and liabilites are recognized based on temporary diferences between the fnancial reportng and income tax bases of assets and liabilites using enacted tax rates in efect for the year in which the temporary diferences are expected to be recovered or setled.</w:t>
      </w:r>
    </w:p>
    <w:p>
      <w:pPr>
        <w:spacing w:after="0" w:line="136" w:lineRule="exact"/>
        <w:rPr>
          <w:sz w:val="20"/>
          <w:szCs w:val="20"/>
          <w:color w:val="auto"/>
        </w:rPr>
      </w:pPr>
    </w:p>
    <w:p>
      <w:pPr>
        <w:jc w:val="both"/>
        <w:ind w:firstLine="511"/>
        <w:spacing w:after="0" w:line="312" w:lineRule="auto"/>
        <w:rPr>
          <w:sz w:val="20"/>
          <w:szCs w:val="20"/>
          <w:color w:val="auto"/>
        </w:rPr>
      </w:pPr>
      <w:r>
        <w:rPr>
          <w:rFonts w:ascii="MS PGothic" w:cs="MS PGothic" w:eastAsia="MS PGothic" w:hAnsi="MS PGothic"/>
          <w:sz w:val="15"/>
          <w:szCs w:val="15"/>
          <w:color w:val="auto"/>
        </w:rPr>
        <w:t>This method requires a valuaton allowance against net deferred tax assets if, based upon the available evidence, it is more likely than not that some or all of the deferred tax assets will not be realized. In performing this analysis, the Company considers future taxable income and ongoing prudent and feasible tax planning strategies to assess realizability. Actual results may difer from these forecasts. Valuaton allowances are reassessed periodically to determine whether it is more likely than not that the tax benefts will be realized in the future and if any existng valuaton allowance should be released. As of December 31, 2023 and 2022, valuaton allowances were immaterial.</w:t>
      </w:r>
    </w:p>
    <w:p>
      <w:pPr>
        <w:spacing w:after="0" w:line="140" w:lineRule="exact"/>
        <w:rPr>
          <w:sz w:val="20"/>
          <w:szCs w:val="20"/>
          <w:color w:val="auto"/>
        </w:rPr>
      </w:pPr>
    </w:p>
    <w:p>
      <w:pPr>
        <w:jc w:val="both"/>
        <w:ind w:firstLine="511"/>
        <w:spacing w:after="0" w:line="302" w:lineRule="auto"/>
        <w:rPr>
          <w:sz w:val="20"/>
          <w:szCs w:val="20"/>
          <w:color w:val="auto"/>
        </w:rPr>
      </w:pPr>
      <w:r>
        <w:rPr>
          <w:rFonts w:ascii="MS PGothic" w:cs="MS PGothic" w:eastAsia="MS PGothic" w:hAnsi="MS PGothic"/>
          <w:sz w:val="15"/>
          <w:szCs w:val="15"/>
          <w:color w:val="auto"/>
        </w:rPr>
        <w:t>The Company accounts for uncertain tax positons by prescribing a more‑likely‑than‑not threshold for fnancial statement recogniton and measurement of a tax positon taken or expected to be taken in a tax return. The Company assesses its income tax positons and recognizes an income tax beneft or expense within the provision for income taxes in the consolidated income statements based upon management’s evaluaton of the facts, circumstances, and informaton available at the reportng date. The tax positon is measured as the largest amount of beneft or expense that is greater than 50% likely of being realized upon ultmate setlement with the taxing authority during examinaton. The Company recognizes interest and penaltes, if applicable, related to uncertain tax positons as income tax expense within other income (expense), net in the consolidated income statements. The Company recognizes liabilites related to uncertain tax positons within accrued expenses, accrued income taxes and other current liabilites, and other non-current liabilites in the consolidated balance sheets, as applicable, depending on if the uncertainty is expected to be resolved within one year or more. The ultmate resoluton of these tax positons may be greater or less than the liabilites recognized.</w:t>
      </w:r>
    </w:p>
    <w:p>
      <w:pPr>
        <w:spacing w:after="0" w:line="147" w:lineRule="exact"/>
        <w:rPr>
          <w:sz w:val="20"/>
          <w:szCs w:val="20"/>
          <w:color w:val="auto"/>
        </w:rPr>
      </w:pPr>
    </w:p>
    <w:p>
      <w:pPr>
        <w:jc w:val="both"/>
        <w:ind w:right="20" w:firstLine="511"/>
        <w:spacing w:after="0" w:line="320" w:lineRule="auto"/>
        <w:rPr>
          <w:sz w:val="20"/>
          <w:szCs w:val="20"/>
          <w:color w:val="auto"/>
        </w:rPr>
      </w:pPr>
      <w:r>
        <w:rPr>
          <w:rFonts w:ascii="MS PGothic" w:cs="MS PGothic" w:eastAsia="MS PGothic" w:hAnsi="MS PGothic"/>
          <w:sz w:val="15"/>
          <w:szCs w:val="15"/>
          <w:color w:val="auto"/>
        </w:rPr>
        <w:t>For the year ended December 31, 2023, income tax expense and liability related to uncertain tax positons, exclusive of immaterial interest or penaltes related to uncertain tax provisions was $812, which would favorably afect the Company's efectve tax rate, if recognized. For the year ended December 31, 2022, income tax expense and liability related to uncertain tax positons, exclusive of immaterial interest or penaltes related to uncertain tax provisions was $598.</w:t>
      </w:r>
    </w:p>
    <w:p>
      <w:pPr>
        <w:spacing w:after="0" w:line="136" w:lineRule="exact"/>
        <w:rPr>
          <w:sz w:val="20"/>
          <w:szCs w:val="20"/>
          <w:color w:val="auto"/>
        </w:rPr>
      </w:pPr>
    </w:p>
    <w:p>
      <w:pPr>
        <w:jc w:val="both"/>
        <w:ind w:right="20" w:firstLine="511"/>
        <w:spacing w:after="0" w:line="347" w:lineRule="auto"/>
        <w:rPr>
          <w:sz w:val="20"/>
          <w:szCs w:val="20"/>
          <w:color w:val="auto"/>
        </w:rPr>
      </w:pPr>
      <w:r>
        <w:rPr>
          <w:rFonts w:ascii="MS PGothic" w:cs="MS PGothic" w:eastAsia="MS PGothic" w:hAnsi="MS PGothic"/>
          <w:sz w:val="15"/>
          <w:szCs w:val="15"/>
          <w:color w:val="auto"/>
        </w:rPr>
        <w:t>On October 3, 2023, the State of Massachusets passed a tax relief bill changing its apportonment formula from three-factors to a single factor efectve January 1, 2025. The Company evaluated the impact from the enacted bill and recognized $6,941 deferred tax expense on its U.S. deferred tax assets and liabilites in 2023.</w:t>
      </w:r>
    </w:p>
    <w:p>
      <w:pPr>
        <w:spacing w:after="0" w:line="119" w:lineRule="exact"/>
        <w:rPr>
          <w:sz w:val="20"/>
          <w:szCs w:val="20"/>
          <w:color w:val="auto"/>
        </w:rPr>
      </w:pPr>
    </w:p>
    <w:p>
      <w:pPr>
        <w:jc w:val="both"/>
        <w:ind w:firstLine="511"/>
        <w:spacing w:after="0" w:line="305" w:lineRule="auto"/>
        <w:rPr>
          <w:sz w:val="20"/>
          <w:szCs w:val="20"/>
          <w:color w:val="auto"/>
        </w:rPr>
      </w:pPr>
      <w:r>
        <w:rPr>
          <w:rFonts w:ascii="MS PGothic" w:cs="MS PGothic" w:eastAsia="MS PGothic" w:hAnsi="MS PGothic"/>
          <w:sz w:val="15"/>
          <w:szCs w:val="15"/>
          <w:color w:val="auto"/>
        </w:rPr>
        <w:t>The Organisaton for Economic Co-operaton and Development introduced an internatonal tax framework under Pillar Two which includes a global minimum tax of 15%. Pillar Two legislaton has been enacted or substantvely enacted in certain jurisdictons where the Company operates. The Pillar Two legislaton will be efectve for the Company's fscal year beginning January 1, 2024. The Company has performed an assessment of its potental exposure to Pillar Two income taxes based on the Company's most recent tax flings, country-by-country reportng, and fnancial statements for the consttuent enttes within the Company. Based on the assessment performed, the Pillar Two efectve tax rates in all jurisdictons in which the Company operates are above 15%. However, there are a limited number of jurisdictons where the transitonal safe harbor relief does not apply, and the Pillar Two efectve tax rate is close to 15%. The Company does not expect a material exposure to Pillar Two income taxes in those jurisdictons.</w:t>
      </w:r>
    </w:p>
    <w:p>
      <w:pPr>
        <w:spacing w:after="0" w:line="145" w:lineRule="exact"/>
        <w:rPr>
          <w:sz w:val="20"/>
          <w:szCs w:val="20"/>
          <w:color w:val="auto"/>
        </w:rPr>
      </w:pPr>
    </w:p>
    <w:p>
      <w:pPr>
        <w:jc w:val="both"/>
        <w:ind w:firstLine="511"/>
        <w:spacing w:after="0" w:line="290" w:lineRule="auto"/>
        <w:rPr>
          <w:sz w:val="20"/>
          <w:szCs w:val="20"/>
          <w:color w:val="auto"/>
        </w:rPr>
      </w:pPr>
      <w:r>
        <w:rPr>
          <w:rFonts w:ascii="MS PGothic" w:cs="MS PGothic" w:eastAsia="MS PGothic" w:hAnsi="MS PGothic"/>
          <w:sz w:val="15"/>
          <w:szCs w:val="15"/>
          <w:color w:val="auto"/>
        </w:rPr>
        <w:t xml:space="preserve">The Tax Cuts and Jobs Act of 2017 subjects a U.S. stockholder to tax on global intangible low-taxed income (“GILTI”) earned by certain foreign subsidiaries. An entty can make an accountng policy electon, per the FASB Staf Q&amp;A, Topic 740, No. 5, </w:t>
      </w:r>
      <w:r>
        <w:rPr>
          <w:rFonts w:ascii="Calibri" w:cs="Calibri" w:eastAsia="Calibri" w:hAnsi="Calibri"/>
          <w:sz w:val="15"/>
          <w:szCs w:val="15"/>
          <w:i w:val="1"/>
          <w:iCs w:val="1"/>
          <w:color w:val="auto"/>
        </w:rPr>
        <w:t>Accountng for Global Intangible Low-Taxed Income</w:t>
      </w:r>
      <w:r>
        <w:rPr>
          <w:rFonts w:ascii="MS PGothic" w:cs="MS PGothic" w:eastAsia="MS PGothic" w:hAnsi="MS PGothic"/>
          <w:sz w:val="15"/>
          <w:szCs w:val="15"/>
          <w:color w:val="auto"/>
        </w:rPr>
        <w:t>, either to recognize deferred taxes for temporary basis diferences expected to reverse as GILTI in future years or to provide for the tax expense related to GILTI in the year the tax is incurred as a period expense only. The Company has elected to account for GILTI as a period cost in the year the tax is incurred.</w:t>
      </w:r>
    </w:p>
    <w:p>
      <w:pPr>
        <w:spacing w:after="0" w:line="155" w:lineRule="exact"/>
        <w:rPr>
          <w:sz w:val="20"/>
          <w:szCs w:val="20"/>
          <w:color w:val="auto"/>
        </w:rPr>
      </w:pPr>
    </w:p>
    <w:p>
      <w:pPr>
        <w:jc w:val="center"/>
        <w:spacing w:after="0"/>
        <w:rPr>
          <w:sz w:val="20"/>
          <w:szCs w:val="20"/>
          <w:color w:val="auto"/>
        </w:rPr>
      </w:pPr>
      <w:r>
        <w:rPr>
          <w:rFonts w:ascii="MS PGothic" w:cs="MS PGothic" w:eastAsia="MS PGothic" w:hAnsi="MS PGothic"/>
          <w:sz w:val="15"/>
          <w:szCs w:val="15"/>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422275</wp:posOffset>
            </wp:positionV>
            <wp:extent cx="7178040" cy="4000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4" w:right="319" w:bottom="1440" w:gutter="0" w:footer="0" w:header="0"/>
        </w:sectPr>
      </w:pPr>
    </w:p>
    <w:bookmarkStart w:id="96" w:name="page97"/>
    <w:bookmarkEnd w:id="96"/>
    <w:p>
      <w:pPr>
        <w:jc w:val="both"/>
        <w:ind w:firstLine="511"/>
        <w:spacing w:after="0" w:line="307" w:lineRule="auto"/>
        <w:rPr>
          <w:sz w:val="20"/>
          <w:szCs w:val="20"/>
          <w:color w:val="auto"/>
        </w:rPr>
      </w:pPr>
      <w:r>
        <w:rPr>
          <w:rFonts w:ascii="MS PGothic" w:cs="MS PGothic" w:eastAsia="MS PGothic" w:hAnsi="MS PGothic"/>
          <w:sz w:val="15"/>
          <w:szCs w:val="15"/>
          <w:color w:val="auto"/>
        </w:rPr>
        <w:t>The Infaton Reducton Act of 2022 (the "IRA") was passed into law on August 16, 2022. The provisions of the IRA were efectve beginning with fscal year 2023, with certain exceptons. The IRA had several new provisions including a 15% corporate alternatve minimum tax for certain large corporatons that have at least an average of $1.0 billion of adjusted fnancial statement income over a consecutve three-tax-year period. The IRA also introduced a 1% excise tax imposed on certain stock repurchases by publicly traded U.S. corporatons made afer December 31, 2022. The Company has appropriately considered the impacts of the 1% excise tax on its income tax provision and cash taxes in 2023. Based on the Company’s evaluaton, the Company concludes that the IRA has not had a material impact on its income tax provision and cash taxes.</w:t>
      </w:r>
    </w:p>
    <w:p>
      <w:pPr>
        <w:spacing w:after="0" w:line="145" w:lineRule="exact"/>
        <w:rPr>
          <w:sz w:val="20"/>
          <w:szCs w:val="20"/>
          <w:color w:val="auto"/>
        </w:rPr>
      </w:pPr>
    </w:p>
    <w:p>
      <w:pPr>
        <w:jc w:val="both"/>
        <w:ind w:firstLine="511"/>
        <w:spacing w:after="0" w:line="320" w:lineRule="auto"/>
        <w:rPr>
          <w:sz w:val="20"/>
          <w:szCs w:val="20"/>
          <w:color w:val="auto"/>
        </w:rPr>
      </w:pPr>
      <w:r>
        <w:rPr>
          <w:rFonts w:ascii="MS PGothic" w:cs="MS PGothic" w:eastAsia="MS PGothic" w:hAnsi="MS PGothic"/>
          <w:sz w:val="15"/>
          <w:szCs w:val="15"/>
          <w:color w:val="auto"/>
        </w:rPr>
        <w:t>Under the U.K. Finance Act 2022 that was granted on February 24, 2022, U.K. corporaton tax rate has been increased from 19% to 25% efectve April 1, 2023. The Company evaluated the rate change impact and recognized immaterial deferred tax expense on its U.K. deferred tax assets and liabilites in 2022. No additonal tax expense related to the impact of the tax rate change on deferred tax assets and liabilites was necessary in 2023.</w:t>
      </w:r>
    </w:p>
    <w:p>
      <w:pPr>
        <w:spacing w:after="0" w:line="136" w:lineRule="exact"/>
        <w:rPr>
          <w:sz w:val="20"/>
          <w:szCs w:val="20"/>
          <w:color w:val="auto"/>
        </w:rPr>
      </w:pPr>
    </w:p>
    <w:p>
      <w:pPr>
        <w:ind w:left="500"/>
        <w:spacing w:after="0"/>
        <w:rPr>
          <w:sz w:val="20"/>
          <w:szCs w:val="20"/>
          <w:color w:val="auto"/>
        </w:rPr>
      </w:pPr>
      <w:r>
        <w:rPr>
          <w:rFonts w:ascii="MS PGothic" w:cs="MS PGothic" w:eastAsia="MS PGothic" w:hAnsi="MS PGothic"/>
          <w:sz w:val="15"/>
          <w:szCs w:val="15"/>
          <w:color w:val="auto"/>
        </w:rPr>
        <w:t>The Company will contnue to monitor the changes in tax laws and regulatons to evaluate their potental impact on its business.</w:t>
      </w:r>
    </w:p>
    <w:p>
      <w:pPr>
        <w:spacing w:after="0" w:line="218" w:lineRule="exact"/>
        <w:rPr>
          <w:sz w:val="20"/>
          <w:szCs w:val="20"/>
          <w:color w:val="auto"/>
        </w:rPr>
      </w:pPr>
    </w:p>
    <w:p>
      <w:pPr>
        <w:spacing w:after="0"/>
        <w:rPr>
          <w:sz w:val="20"/>
          <w:szCs w:val="20"/>
          <w:color w:val="auto"/>
        </w:rPr>
      </w:pPr>
      <w:r>
        <w:rPr>
          <w:rFonts w:ascii="Calibri" w:cs="Calibri" w:eastAsia="Calibri" w:hAnsi="Calibri"/>
          <w:sz w:val="15"/>
          <w:szCs w:val="15"/>
          <w:b w:val="1"/>
          <w:bCs w:val="1"/>
          <w:i w:val="1"/>
          <w:iCs w:val="1"/>
          <w:color w:val="auto"/>
        </w:rPr>
        <w:t>Fair Value of Financial Instruments</w:t>
      </w:r>
    </w:p>
    <w:p>
      <w:pPr>
        <w:spacing w:after="0" w:line="185" w:lineRule="exact"/>
        <w:rPr>
          <w:sz w:val="20"/>
          <w:szCs w:val="20"/>
          <w:color w:val="auto"/>
        </w:rPr>
      </w:pPr>
    </w:p>
    <w:p>
      <w:pPr>
        <w:jc w:val="both"/>
        <w:ind w:firstLine="511"/>
        <w:spacing w:after="0" w:line="320" w:lineRule="auto"/>
        <w:rPr>
          <w:sz w:val="20"/>
          <w:szCs w:val="20"/>
          <w:color w:val="auto"/>
        </w:rPr>
      </w:pPr>
      <w:r>
        <w:rPr>
          <w:rFonts w:ascii="MS PGothic" w:cs="MS PGothic" w:eastAsia="MS PGothic" w:hAnsi="MS PGothic"/>
          <w:sz w:val="15"/>
          <w:szCs w:val="15"/>
          <w:color w:val="auto"/>
        </w:rPr>
        <w:t>The Company measures eligible assets and liabilites at fair value with changes in value recognized in earnings. Fair value treatment may be elected either upon inital recogniton of an eligible asset or liability or, for an existng asset or liability, if an event triggers a new basis of accountng. During the years ended December 31, 2023 and 2022, the Company did not elect to remeasure any of its existng fnancial assets and did not elect the fair value opton for any fnancial assets transacted.</w:t>
      </w:r>
    </w:p>
    <w:p>
      <w:pPr>
        <w:spacing w:after="0" w:line="136" w:lineRule="exact"/>
        <w:rPr>
          <w:sz w:val="20"/>
          <w:szCs w:val="20"/>
          <w:color w:val="auto"/>
        </w:rPr>
      </w:pPr>
    </w:p>
    <w:p>
      <w:pPr>
        <w:jc w:val="both"/>
        <w:ind w:firstLine="511"/>
        <w:spacing w:after="0" w:line="290" w:lineRule="auto"/>
        <w:rPr>
          <w:sz w:val="20"/>
          <w:szCs w:val="20"/>
          <w:color w:val="auto"/>
        </w:rPr>
      </w:pPr>
      <w:r>
        <w:rPr>
          <w:rFonts w:ascii="MS PGothic" w:cs="MS PGothic" w:eastAsia="MS PGothic" w:hAnsi="MS PGothic"/>
          <w:sz w:val="15"/>
          <w:szCs w:val="15"/>
          <w:color w:val="auto"/>
        </w:rPr>
        <w:t xml:space="preserve">ASC Topic 820, </w:t>
      </w:r>
      <w:r>
        <w:rPr>
          <w:rFonts w:ascii="Calibri" w:cs="Calibri" w:eastAsia="Calibri" w:hAnsi="Calibri"/>
          <w:sz w:val="15"/>
          <w:szCs w:val="15"/>
          <w:i w:val="1"/>
          <w:iCs w:val="1"/>
          <w:color w:val="auto"/>
        </w:rPr>
        <w:t>Fair Value Measurements and Disclosures</w:t>
      </w:r>
      <w:r>
        <w:rPr>
          <w:rFonts w:ascii="MS PGothic" w:cs="MS PGothic" w:eastAsia="MS PGothic" w:hAnsi="MS PGothic"/>
          <w:sz w:val="15"/>
          <w:szCs w:val="15"/>
          <w:color w:val="auto"/>
        </w:rPr>
        <w:t xml:space="preserve"> ("ASC 820"), establishes a three‑level valuaton hierarchy for instruments measured at fair value that distnguishes between assumptons based on market data (observable inputs) and the Company’s own assumptons (unobservable inputs). Observable inputs are inputs that market partcipants would use in pricing the asset or liability based on market data obtained from sources independent of the Company. Unobservable inputs are inputs that refect the Company’s assumptons about the inputs that market partcipants would use in pricing the asset or liability, and are developed based on the best informaton available in the circumstances.</w:t>
      </w:r>
    </w:p>
    <w:p>
      <w:pPr>
        <w:spacing w:after="0" w:line="155" w:lineRule="exact"/>
        <w:rPr>
          <w:sz w:val="20"/>
          <w:szCs w:val="20"/>
          <w:color w:val="auto"/>
        </w:rPr>
      </w:pPr>
    </w:p>
    <w:p>
      <w:pPr>
        <w:jc w:val="both"/>
        <w:ind w:firstLine="511"/>
        <w:spacing w:after="0" w:line="312" w:lineRule="auto"/>
        <w:rPr>
          <w:sz w:val="20"/>
          <w:szCs w:val="20"/>
          <w:color w:val="auto"/>
        </w:rPr>
      </w:pPr>
      <w:r>
        <w:rPr>
          <w:rFonts w:ascii="MS PGothic" w:cs="MS PGothic" w:eastAsia="MS PGothic" w:hAnsi="MS PGothic"/>
          <w:sz w:val="15"/>
          <w:szCs w:val="15"/>
          <w:color w:val="auto"/>
        </w:rPr>
        <w:t>ASC 820 identfes fair value as the exchange price or exit price, representng the price that would be received to sell an asset or paid to transfer a liability in an orderly transacton between market partcipants based on the highest and best use of the asset or liability. As such, fair value is a market‑based measurement that should be determined based on assumptons that market partcipants would use in pricing an asset or liability. The Company uses valuaton techniques to measure fair value that maximize the use of observable inputs and minimize the use of unobservable inputs. These inputs are prioritzed as follows:</w:t>
      </w:r>
    </w:p>
    <w:p>
      <w:pPr>
        <w:spacing w:after="0" w:line="140" w:lineRule="exact"/>
        <w:rPr>
          <w:sz w:val="20"/>
          <w:szCs w:val="20"/>
          <w:color w:val="auto"/>
        </w:rPr>
      </w:pPr>
    </w:p>
    <w:p>
      <w:pPr>
        <w:ind w:left="1020"/>
        <w:spacing w:after="0"/>
        <w:rPr>
          <w:sz w:val="20"/>
          <w:szCs w:val="20"/>
          <w:color w:val="auto"/>
        </w:rPr>
      </w:pPr>
      <w:r>
        <w:rPr>
          <w:rFonts w:ascii="MS PGothic" w:cs="MS PGothic" w:eastAsia="MS PGothic" w:hAnsi="MS PGothic"/>
          <w:sz w:val="15"/>
          <w:szCs w:val="15"/>
          <w:color w:val="auto"/>
        </w:rPr>
        <w:t>Level 1 — Quoted unadjusted prices for identcal instruments in actve markets.</w:t>
      </w:r>
    </w:p>
    <w:p>
      <w:pPr>
        <w:spacing w:after="0" w:line="218" w:lineRule="exact"/>
        <w:rPr>
          <w:sz w:val="20"/>
          <w:szCs w:val="20"/>
          <w:color w:val="auto"/>
        </w:rPr>
      </w:pPr>
    </w:p>
    <w:p>
      <w:pPr>
        <w:ind w:left="500" w:firstLine="511"/>
        <w:spacing w:after="0" w:line="347" w:lineRule="auto"/>
        <w:rPr>
          <w:sz w:val="20"/>
          <w:szCs w:val="20"/>
          <w:color w:val="auto"/>
        </w:rPr>
      </w:pPr>
      <w:r>
        <w:rPr>
          <w:rFonts w:ascii="MS PGothic" w:cs="MS PGothic" w:eastAsia="MS PGothic" w:hAnsi="MS PGothic"/>
          <w:sz w:val="15"/>
          <w:szCs w:val="15"/>
          <w:color w:val="auto"/>
        </w:rPr>
        <w:t>Level 2 — Quoted prices for similar instruments in actve markets, quoted prices for identcal or similar instruments in markets that are not actve, and model‑derived valuatons in which all observable inputs and signifcant value drivers are observable in actve markets.</w:t>
      </w:r>
    </w:p>
    <w:p>
      <w:pPr>
        <w:spacing w:after="0" w:line="119" w:lineRule="exact"/>
        <w:rPr>
          <w:sz w:val="20"/>
          <w:szCs w:val="20"/>
          <w:color w:val="auto"/>
        </w:rPr>
      </w:pPr>
    </w:p>
    <w:p>
      <w:pPr>
        <w:ind w:left="500" w:right="20" w:firstLine="511"/>
        <w:spacing w:after="0" w:line="347" w:lineRule="auto"/>
        <w:rPr>
          <w:sz w:val="20"/>
          <w:szCs w:val="20"/>
          <w:color w:val="auto"/>
        </w:rPr>
      </w:pPr>
      <w:r>
        <w:rPr>
          <w:rFonts w:ascii="MS PGothic" w:cs="MS PGothic" w:eastAsia="MS PGothic" w:hAnsi="MS PGothic"/>
          <w:sz w:val="15"/>
          <w:szCs w:val="15"/>
          <w:color w:val="auto"/>
        </w:rPr>
        <w:t>Level 3 — Model‑derived valuatons in which one or more signifcant inputs or signifcant value drivers are unobservable, including assumptons developed by the Company.</w:t>
      </w:r>
    </w:p>
    <w:p>
      <w:pPr>
        <w:spacing w:after="0" w:line="119" w:lineRule="exact"/>
        <w:rPr>
          <w:sz w:val="20"/>
          <w:szCs w:val="20"/>
          <w:color w:val="auto"/>
        </w:rPr>
      </w:pPr>
    </w:p>
    <w:p>
      <w:pPr>
        <w:ind w:firstLine="511"/>
        <w:spacing w:after="0" w:line="347" w:lineRule="auto"/>
        <w:rPr>
          <w:sz w:val="20"/>
          <w:szCs w:val="20"/>
          <w:color w:val="auto"/>
        </w:rPr>
      </w:pPr>
      <w:r>
        <w:rPr>
          <w:rFonts w:ascii="MS PGothic" w:cs="MS PGothic" w:eastAsia="MS PGothic" w:hAnsi="MS PGothic"/>
          <w:sz w:val="15"/>
          <w:szCs w:val="15"/>
          <w:color w:val="auto"/>
        </w:rPr>
        <w:t>The Company has evaluated the estmated fair value of fnancial instruments using available market informaton. The use of diferent market assumptons, estmaton methodologies, or both, could have a signifcant efect on the estmated fair value amounts.</w:t>
      </w:r>
    </w:p>
    <w:p>
      <w:pPr>
        <w:spacing w:after="0" w:line="119" w:lineRule="exact"/>
        <w:rPr>
          <w:sz w:val="20"/>
          <w:szCs w:val="20"/>
          <w:color w:val="auto"/>
        </w:rPr>
      </w:pPr>
    </w:p>
    <w:p>
      <w:pPr>
        <w:ind w:firstLine="511"/>
        <w:spacing w:after="0" w:line="347" w:lineRule="auto"/>
        <w:rPr>
          <w:sz w:val="20"/>
          <w:szCs w:val="20"/>
          <w:color w:val="auto"/>
        </w:rPr>
      </w:pPr>
      <w:r>
        <w:rPr>
          <w:rFonts w:ascii="MS PGothic" w:cs="MS PGothic" w:eastAsia="MS PGothic" w:hAnsi="MS PGothic"/>
          <w:sz w:val="15"/>
          <w:szCs w:val="15"/>
          <w:color w:val="auto"/>
        </w:rPr>
        <w:t>As of December 31, 2023 and 2022, the carrying amounts of the Company’s fnancial instruments, which include cash and cash equivalents, short-term investments, accounts receivable, accounts payable, and accrued expenses approximated their fair values due to the short‑term nature of these instruments.</w:t>
      </w:r>
    </w:p>
    <w:p>
      <w:pPr>
        <w:spacing w:after="0" w:line="119" w:lineRule="exact"/>
        <w:rPr>
          <w:sz w:val="20"/>
          <w:szCs w:val="20"/>
          <w:color w:val="auto"/>
        </w:rPr>
      </w:pPr>
    </w:p>
    <w:p>
      <w:pPr>
        <w:jc w:val="center"/>
        <w:spacing w:after="0"/>
        <w:rPr>
          <w:sz w:val="20"/>
          <w:szCs w:val="20"/>
          <w:color w:val="auto"/>
        </w:rPr>
      </w:pPr>
      <w:r>
        <w:rPr>
          <w:rFonts w:ascii="MS PGothic" w:cs="MS PGothic" w:eastAsia="MS PGothic" w:hAnsi="MS PGothic"/>
          <w:sz w:val="15"/>
          <w:szCs w:val="15"/>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429895</wp:posOffset>
            </wp:positionV>
            <wp:extent cx="7178040" cy="4000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3" w:right="319" w:bottom="1440" w:gutter="0" w:footer="0" w:header="0"/>
        </w:sectPr>
      </w:pPr>
    </w:p>
    <w:bookmarkStart w:id="97" w:name="page98"/>
    <w:bookmarkEnd w:id="97"/>
    <w:p>
      <w:pPr>
        <w:spacing w:after="0"/>
        <w:rPr>
          <w:sz w:val="20"/>
          <w:szCs w:val="20"/>
          <w:color w:val="auto"/>
        </w:rPr>
      </w:pPr>
      <w:r>
        <w:rPr>
          <w:rFonts w:ascii="Calibri" w:cs="Calibri" w:eastAsia="Calibri" w:hAnsi="Calibri"/>
          <w:sz w:val="15"/>
          <w:szCs w:val="15"/>
          <w:b w:val="1"/>
          <w:bCs w:val="1"/>
          <w:i w:val="1"/>
          <w:iCs w:val="1"/>
          <w:color w:val="auto"/>
        </w:rPr>
        <w:t>Debt</w:t>
      </w:r>
    </w:p>
    <w:p>
      <w:pPr>
        <w:spacing w:after="0" w:line="185" w:lineRule="exact"/>
        <w:rPr>
          <w:sz w:val="20"/>
          <w:szCs w:val="20"/>
          <w:color w:val="auto"/>
        </w:rPr>
      </w:pPr>
    </w:p>
    <w:p>
      <w:pPr>
        <w:jc w:val="both"/>
        <w:ind w:firstLine="511"/>
        <w:spacing w:after="0" w:line="312" w:lineRule="auto"/>
        <w:rPr>
          <w:sz w:val="20"/>
          <w:szCs w:val="20"/>
          <w:color w:val="auto"/>
        </w:rPr>
      </w:pPr>
      <w:r>
        <w:rPr>
          <w:rFonts w:ascii="MS PGothic" w:cs="MS PGothic" w:eastAsia="MS PGothic" w:hAnsi="MS PGothic"/>
          <w:sz w:val="15"/>
          <w:szCs w:val="15"/>
          <w:color w:val="auto"/>
        </w:rPr>
        <w:t>The Company may obtain access to capital via credit facilites. The amount of borrowings outstanding on credit facilites are recognized within other current liabilites or other non-current liabilites in the consolidated balance sheets, depending on the borrowing base. Costs for unutlized revolving commitments and interest for outstanding borrowings are recognized as interest expense within other income (expense), net in the consolidated income statements. Interest payments are recognized within operatng actvites in the consolidated statements of cash fows, and repayments of principle amounts are recognized within fnancing actvites in the consolidated statements of cash fows.</w:t>
      </w:r>
    </w:p>
    <w:p>
      <w:pPr>
        <w:spacing w:after="0" w:line="140" w:lineRule="exact"/>
        <w:rPr>
          <w:sz w:val="20"/>
          <w:szCs w:val="20"/>
          <w:color w:val="auto"/>
        </w:rPr>
      </w:pPr>
    </w:p>
    <w:p>
      <w:pPr>
        <w:jc w:val="both"/>
        <w:ind w:right="20" w:firstLine="511"/>
        <w:spacing w:after="0" w:line="347" w:lineRule="auto"/>
        <w:rPr>
          <w:sz w:val="20"/>
          <w:szCs w:val="20"/>
          <w:color w:val="auto"/>
        </w:rPr>
      </w:pPr>
      <w:r>
        <w:rPr>
          <w:rFonts w:ascii="MS PGothic" w:cs="MS PGothic" w:eastAsia="MS PGothic" w:hAnsi="MS PGothic"/>
          <w:sz w:val="15"/>
          <w:szCs w:val="15"/>
          <w:color w:val="auto"/>
        </w:rPr>
        <w:t>As of December 31, 2023, there were no borrowings and $9,627 in leters of credit outstanding under the 2022 Revolver (as defned in Note 9 of these consolidated fnancial statements), which reduces the borrowing capacity under the 2022 Revolver to $390,373.</w:t>
      </w:r>
    </w:p>
    <w:p>
      <w:pPr>
        <w:spacing w:after="0" w:line="119" w:lineRule="exact"/>
        <w:rPr>
          <w:sz w:val="20"/>
          <w:szCs w:val="20"/>
          <w:color w:val="auto"/>
        </w:rPr>
      </w:pPr>
    </w:p>
    <w:p>
      <w:pPr>
        <w:ind w:left="500"/>
        <w:spacing w:after="0"/>
        <w:rPr>
          <w:sz w:val="20"/>
          <w:szCs w:val="20"/>
          <w:color w:val="auto"/>
        </w:rPr>
      </w:pPr>
      <w:r>
        <w:rPr>
          <w:rFonts w:ascii="MS PGothic" w:cs="MS PGothic" w:eastAsia="MS PGothic" w:hAnsi="MS PGothic"/>
          <w:sz w:val="15"/>
          <w:szCs w:val="15"/>
          <w:color w:val="auto"/>
        </w:rPr>
        <w:t>As of December 31, 2023, commitment fees under the 2022 Revolver were immaterial.</w:t>
      </w:r>
    </w:p>
    <w:p>
      <w:pPr>
        <w:spacing w:after="0" w:line="218" w:lineRule="exact"/>
        <w:rPr>
          <w:sz w:val="20"/>
          <w:szCs w:val="20"/>
          <w:color w:val="auto"/>
        </w:rPr>
      </w:pPr>
    </w:p>
    <w:p>
      <w:pPr>
        <w:spacing w:after="0"/>
        <w:rPr>
          <w:sz w:val="20"/>
          <w:szCs w:val="20"/>
          <w:color w:val="auto"/>
        </w:rPr>
      </w:pPr>
      <w:r>
        <w:rPr>
          <w:rFonts w:ascii="Calibri" w:cs="Calibri" w:eastAsia="Calibri" w:hAnsi="Calibri"/>
          <w:sz w:val="15"/>
          <w:szCs w:val="15"/>
          <w:b w:val="1"/>
          <w:bCs w:val="1"/>
          <w:i w:val="1"/>
          <w:iCs w:val="1"/>
          <w:color w:val="auto"/>
        </w:rPr>
        <w:t>Deferred Financing Costs</w:t>
      </w:r>
    </w:p>
    <w:p>
      <w:pPr>
        <w:spacing w:after="0" w:line="185" w:lineRule="exact"/>
        <w:rPr>
          <w:sz w:val="20"/>
          <w:szCs w:val="20"/>
          <w:color w:val="auto"/>
        </w:rPr>
      </w:pPr>
    </w:p>
    <w:p>
      <w:pPr>
        <w:jc w:val="both"/>
        <w:ind w:firstLine="546"/>
        <w:spacing w:after="0" w:line="312" w:lineRule="auto"/>
        <w:rPr>
          <w:sz w:val="20"/>
          <w:szCs w:val="20"/>
          <w:color w:val="auto"/>
        </w:rPr>
      </w:pPr>
      <w:r>
        <w:rPr>
          <w:rFonts w:ascii="MS PGothic" w:cs="MS PGothic" w:eastAsia="MS PGothic" w:hAnsi="MS PGothic"/>
          <w:sz w:val="15"/>
          <w:szCs w:val="15"/>
          <w:color w:val="auto"/>
        </w:rPr>
        <w:t>The Company capitalizes certain legal and other third-party fees that are directly associated with obtaining access to capital via credit facilites. Deferred fnancing costs incurred in connecton with obtaining access to capital are recognized within other non-current assets in the consolidated balance sheets and within fnancing actvites in the consolidated statements of cash fows. These costs are amortzed on a straight-line basis over the term of the applicable credit facility and recognized as interest expense within other income (expense), net in the consolidated income statements and as an adjustment to consolidated net income in the consolidated statements of cash fows.</w:t>
      </w:r>
    </w:p>
    <w:p>
      <w:pPr>
        <w:spacing w:after="0" w:line="140" w:lineRule="exact"/>
        <w:rPr>
          <w:sz w:val="20"/>
          <w:szCs w:val="20"/>
          <w:color w:val="auto"/>
        </w:rPr>
      </w:pPr>
    </w:p>
    <w:p>
      <w:pPr>
        <w:jc w:val="both"/>
        <w:ind w:firstLine="561"/>
        <w:spacing w:after="0" w:line="347" w:lineRule="auto"/>
        <w:rPr>
          <w:sz w:val="20"/>
          <w:szCs w:val="20"/>
          <w:color w:val="auto"/>
        </w:rPr>
      </w:pPr>
      <w:r>
        <w:rPr>
          <w:rFonts w:ascii="MS PGothic" w:cs="MS PGothic" w:eastAsia="MS PGothic" w:hAnsi="MS PGothic"/>
          <w:sz w:val="15"/>
          <w:szCs w:val="15"/>
          <w:color w:val="auto"/>
        </w:rPr>
        <w:t>As of December 31, 2023 and 2022, deferred fnancing costs were $1,927 and $2,442, respectvely, recognized within other non-current assets in the consolidated balance sheets. As of December 31, 2021, no deferred fnancing costs were recognized.</w:t>
      </w:r>
    </w:p>
    <w:p>
      <w:pPr>
        <w:spacing w:after="0" w:line="119" w:lineRule="exact"/>
        <w:rPr>
          <w:sz w:val="20"/>
          <w:szCs w:val="20"/>
          <w:color w:val="auto"/>
        </w:rPr>
      </w:pPr>
    </w:p>
    <w:p>
      <w:pPr>
        <w:jc w:val="both"/>
        <w:ind w:firstLine="564"/>
        <w:spacing w:after="0" w:line="347" w:lineRule="auto"/>
        <w:rPr>
          <w:sz w:val="20"/>
          <w:szCs w:val="20"/>
          <w:color w:val="auto"/>
        </w:rPr>
      </w:pPr>
      <w:r>
        <w:rPr>
          <w:rFonts w:ascii="MS PGothic" w:cs="MS PGothic" w:eastAsia="MS PGothic" w:hAnsi="MS PGothic"/>
          <w:sz w:val="15"/>
          <w:szCs w:val="15"/>
          <w:color w:val="auto"/>
        </w:rPr>
        <w:t>For the years ended December 31, 2023 and 2022, amortzaton expense associated with deferred fnancing costs were $515 and $136, respectvely, within other income (expense), net in the consolidated income statements. For the year ended December 31, 2021, no amortzaton expense associated with deferred fnancing costs was recognized.</w:t>
      </w:r>
    </w:p>
    <w:p>
      <w:pPr>
        <w:spacing w:after="0" w:line="118" w:lineRule="exact"/>
        <w:rPr>
          <w:sz w:val="20"/>
          <w:szCs w:val="20"/>
          <w:color w:val="auto"/>
        </w:rPr>
      </w:pPr>
    </w:p>
    <w:p>
      <w:pPr>
        <w:spacing w:after="0"/>
        <w:rPr>
          <w:sz w:val="20"/>
          <w:szCs w:val="20"/>
          <w:color w:val="auto"/>
        </w:rPr>
      </w:pPr>
      <w:r>
        <w:rPr>
          <w:rFonts w:ascii="Calibri" w:cs="Calibri" w:eastAsia="Calibri" w:hAnsi="Calibri"/>
          <w:sz w:val="15"/>
          <w:szCs w:val="15"/>
          <w:b w:val="1"/>
          <w:bCs w:val="1"/>
          <w:i w:val="1"/>
          <w:iCs w:val="1"/>
          <w:color w:val="auto"/>
        </w:rPr>
        <w:t>Foreign Currency Translaton</w:t>
      </w:r>
    </w:p>
    <w:p>
      <w:pPr>
        <w:spacing w:after="0" w:line="185" w:lineRule="exact"/>
        <w:rPr>
          <w:sz w:val="20"/>
          <w:szCs w:val="20"/>
          <w:color w:val="auto"/>
        </w:rPr>
      </w:pPr>
    </w:p>
    <w:p>
      <w:pPr>
        <w:jc w:val="both"/>
        <w:ind w:firstLine="511"/>
        <w:spacing w:after="0" w:line="307" w:lineRule="auto"/>
        <w:rPr>
          <w:sz w:val="20"/>
          <w:szCs w:val="20"/>
          <w:color w:val="auto"/>
        </w:rPr>
      </w:pPr>
      <w:r>
        <w:rPr>
          <w:rFonts w:ascii="MS PGothic" w:cs="MS PGothic" w:eastAsia="MS PGothic" w:hAnsi="MS PGothic"/>
          <w:sz w:val="15"/>
          <w:szCs w:val="15"/>
          <w:color w:val="auto"/>
        </w:rPr>
        <w:t>The reportng currency of the Company is the U.S. dollar. The functonal currency of the Company’s foreign subsidiaries is the local currency of each subsidiary. All assets and liabilites in the balance sheets of enttes whose functonal currency is a currency other than the U.S. dollar are translated into U.S. dollar equivalents at exchange rates as follows: (i) asset and liability accounts at period‑end rates; (ii) income statement accounts at weighted‑average exchange rates for the period; and (iii) stockholders’ equity accounts at historical exchange rates. The resultng translaton adjustments are excluded from consolidated net income and are recognized within accumulated other comprehensive (loss) income in the consolidated balance sheets.</w:t>
      </w:r>
    </w:p>
    <w:p>
      <w:pPr>
        <w:spacing w:after="0" w:line="145" w:lineRule="exact"/>
        <w:rPr>
          <w:sz w:val="20"/>
          <w:szCs w:val="20"/>
          <w:color w:val="auto"/>
        </w:rPr>
      </w:pPr>
    </w:p>
    <w:p>
      <w:pPr>
        <w:jc w:val="both"/>
        <w:ind w:firstLine="511"/>
        <w:spacing w:after="0" w:line="312" w:lineRule="auto"/>
        <w:rPr>
          <w:sz w:val="20"/>
          <w:szCs w:val="20"/>
          <w:color w:val="auto"/>
        </w:rPr>
      </w:pPr>
      <w:r>
        <w:rPr>
          <w:rFonts w:ascii="MS PGothic" w:cs="MS PGothic" w:eastAsia="MS PGothic" w:hAnsi="MS PGothic"/>
          <w:sz w:val="15"/>
          <w:szCs w:val="15"/>
          <w:color w:val="auto"/>
        </w:rPr>
        <w:t>Foreign currency transacton gains and losses are included in consolidated net income for the period. The Company's foreign subsidiaries have intercompany transactons that are eliminated upon consolidaton, and these transactons expose the Company to foreign currency exchange rate fuctuatons. Exchange rate fuctuatons on short‑term intercompany transactons are recognized in other income (expense), net in the consolidated income statements. Exchange rate fuctuatons on long-term intercompany transactons are recognized within accumulated other comprehensive loss in the consolidated balance sheets.</w:t>
      </w:r>
    </w:p>
    <w:p>
      <w:pPr>
        <w:spacing w:after="0" w:line="140" w:lineRule="exact"/>
        <w:rPr>
          <w:sz w:val="20"/>
          <w:szCs w:val="20"/>
          <w:color w:val="auto"/>
        </w:rPr>
      </w:pPr>
    </w:p>
    <w:p>
      <w:pPr>
        <w:jc w:val="center"/>
        <w:spacing w:after="0"/>
        <w:rPr>
          <w:sz w:val="20"/>
          <w:szCs w:val="20"/>
          <w:color w:val="auto"/>
        </w:rPr>
      </w:pPr>
      <w:r>
        <w:rPr>
          <w:rFonts w:ascii="MS PGothic" w:cs="MS PGothic" w:eastAsia="MS PGothic" w:hAnsi="MS PGothic"/>
          <w:sz w:val="15"/>
          <w:szCs w:val="15"/>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429895</wp:posOffset>
            </wp:positionV>
            <wp:extent cx="7178040" cy="4000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3" w:right="319" w:bottom="1440" w:gutter="0" w:footer="0" w:header="0"/>
        </w:sectPr>
      </w:pPr>
    </w:p>
    <w:bookmarkStart w:id="98" w:name="page99"/>
    <w:bookmarkEnd w:id="98"/>
    <w:p>
      <w:pPr>
        <w:spacing w:after="0"/>
        <w:rPr>
          <w:sz w:val="20"/>
          <w:szCs w:val="20"/>
          <w:color w:val="auto"/>
        </w:rPr>
      </w:pPr>
      <w:r>
        <w:rPr>
          <w:rFonts w:ascii="Calibri" w:cs="Calibri" w:eastAsia="Calibri" w:hAnsi="Calibri"/>
          <w:sz w:val="15"/>
          <w:szCs w:val="15"/>
          <w:b w:val="1"/>
          <w:bCs w:val="1"/>
          <w:i w:val="1"/>
          <w:iCs w:val="1"/>
          <w:color w:val="auto"/>
        </w:rPr>
        <w:t>Revenue Recogniton</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i w:val="1"/>
          <w:iCs w:val="1"/>
          <w:color w:val="auto"/>
        </w:rPr>
        <w:t>Sources of Revenue</w:t>
      </w:r>
    </w:p>
    <w:p>
      <w:pPr>
        <w:spacing w:after="0" w:line="185" w:lineRule="exact"/>
        <w:rPr>
          <w:sz w:val="20"/>
          <w:szCs w:val="20"/>
          <w:color w:val="auto"/>
        </w:rPr>
      </w:pPr>
    </w:p>
    <w:p>
      <w:pPr>
        <w:jc w:val="both"/>
        <w:ind w:firstLine="511"/>
        <w:spacing w:after="0" w:line="301" w:lineRule="auto"/>
        <w:rPr>
          <w:sz w:val="20"/>
          <w:szCs w:val="20"/>
          <w:color w:val="auto"/>
        </w:rPr>
      </w:pPr>
      <w:r>
        <w:rPr>
          <w:rFonts w:ascii="MS PGothic" w:cs="MS PGothic" w:eastAsia="MS PGothic" w:hAnsi="MS PGothic"/>
          <w:sz w:val="15"/>
          <w:szCs w:val="15"/>
          <w:color w:val="auto"/>
        </w:rPr>
        <w:t>The Company derives its revenue from marketplace revenue, wholesale revenue, and product revenue. Marketplace revenue is included in the U.S. Marketplace segment and Other category of segment reportng. Wholesale revenue and product revenue are included in the Digital Wholesale segment. The Company generates marketplace revenue primarily from (i) dealer subscriptons to the Company's Listngs packages, Real-tme Performance Marketng ("RPM"), digital advertsing suite, Digital Retail, and Sell My Car - Top Dealer Ofers ("TDO"), (ii) advertsing revenue from auto manufacturers and other auto‑related brand advertsers, and (iii) revenue from partnerships with fnancing services companies. The Company generates wholesale revenue primarily from (x) transacton fees earned from facilitatng the purchase and sale of vehicles between dealers ("Dealer-to-Dealer transactons"), (y) transacton fees earned from the sale of vehicles to dealers that it acquires at other marketplaces, and (z) transacton fees earned from performing inspecton and transportaton services, inclusive of Dealer-to-Dealer transactons, other marketplace to dealer transactons, and IMCO transactons (as defned below). The Company generates product revenue primarily from (A) aggregate proceeds received from the sale of vehicles to dealers that were acquired directly from customers or, or Instant Max Cash Ofer ("IMCO transactons"), and (B) proceeds received from the sale of vehicles that were acquired through arbitraton.</w:t>
      </w:r>
    </w:p>
    <w:p>
      <w:pPr>
        <w:spacing w:after="0" w:line="148" w:lineRule="exact"/>
        <w:rPr>
          <w:sz w:val="20"/>
          <w:szCs w:val="20"/>
          <w:color w:val="auto"/>
        </w:rPr>
      </w:pPr>
    </w:p>
    <w:p>
      <w:pPr>
        <w:spacing w:after="0"/>
        <w:rPr>
          <w:sz w:val="20"/>
          <w:szCs w:val="20"/>
          <w:color w:val="auto"/>
        </w:rPr>
      </w:pPr>
      <w:r>
        <w:rPr>
          <w:rFonts w:ascii="Calibri" w:cs="Calibri" w:eastAsia="Calibri" w:hAnsi="Calibri"/>
          <w:sz w:val="15"/>
          <w:szCs w:val="15"/>
          <w:i w:val="1"/>
          <w:iCs w:val="1"/>
          <w:color w:val="auto"/>
        </w:rPr>
        <w:t>Revenue Recogniton</w:t>
      </w:r>
    </w:p>
    <w:p>
      <w:pPr>
        <w:spacing w:after="0" w:line="185" w:lineRule="exact"/>
        <w:rPr>
          <w:sz w:val="20"/>
          <w:szCs w:val="20"/>
          <w:color w:val="auto"/>
        </w:rPr>
      </w:pPr>
    </w:p>
    <w:p>
      <w:pPr>
        <w:jc w:val="both"/>
        <w:ind w:firstLine="511"/>
        <w:spacing w:after="0" w:line="320" w:lineRule="auto"/>
        <w:rPr>
          <w:sz w:val="20"/>
          <w:szCs w:val="20"/>
          <w:color w:val="auto"/>
        </w:rPr>
      </w:pPr>
      <w:r>
        <w:rPr>
          <w:rFonts w:ascii="MS PGothic" w:cs="MS PGothic" w:eastAsia="MS PGothic" w:hAnsi="MS PGothic"/>
          <w:sz w:val="15"/>
          <w:szCs w:val="15"/>
          <w:color w:val="auto"/>
        </w:rPr>
        <w:t>ASC 606 outlines a comprehensive fve-step revenue recogniton model based on the principle that an entty should recognize revenue to depict the transfer of promised goods or services to customers in an amount that refects the consideraton to which the entty expects to be enttled in exchange for those goods or services. To achieve this core principle, the Company applies the following fve steps:</w:t>
      </w:r>
    </w:p>
    <w:p>
      <w:pPr>
        <w:spacing w:after="0" w:line="136" w:lineRule="exact"/>
        <w:rPr>
          <w:sz w:val="20"/>
          <w:szCs w:val="20"/>
          <w:color w:val="auto"/>
        </w:rPr>
      </w:pPr>
    </w:p>
    <w:p>
      <w:pPr>
        <w:ind w:left="660" w:hanging="157"/>
        <w:spacing w:after="0"/>
        <w:tabs>
          <w:tab w:leader="none" w:pos="660" w:val="left"/>
        </w:tabs>
        <w:numPr>
          <w:ilvl w:val="0"/>
          <w:numId w:val="28"/>
        </w:numPr>
        <w:rPr>
          <w:rFonts w:ascii="MS PGothic" w:cs="MS PGothic" w:eastAsia="MS PGothic" w:hAnsi="MS PGothic"/>
          <w:sz w:val="15"/>
          <w:szCs w:val="15"/>
          <w:color w:val="auto"/>
        </w:rPr>
      </w:pPr>
      <w:r>
        <w:rPr>
          <w:rFonts w:ascii="MS PGothic" w:cs="MS PGothic" w:eastAsia="MS PGothic" w:hAnsi="MS PGothic"/>
          <w:sz w:val="15"/>
          <w:szCs w:val="15"/>
          <w:color w:val="auto"/>
        </w:rPr>
        <w:t>Identfy the contract with a customer</w:t>
      </w:r>
    </w:p>
    <w:p>
      <w:pPr>
        <w:spacing w:after="0" w:line="218" w:lineRule="exact"/>
        <w:rPr>
          <w:rFonts w:ascii="MS PGothic" w:cs="MS PGothic" w:eastAsia="MS PGothic" w:hAnsi="MS PGothic"/>
          <w:sz w:val="15"/>
          <w:szCs w:val="15"/>
          <w:color w:val="auto"/>
        </w:rPr>
      </w:pPr>
    </w:p>
    <w:p>
      <w:pPr>
        <w:ind w:left="660" w:hanging="157"/>
        <w:spacing w:after="0"/>
        <w:tabs>
          <w:tab w:leader="none" w:pos="660" w:val="left"/>
        </w:tabs>
        <w:numPr>
          <w:ilvl w:val="0"/>
          <w:numId w:val="28"/>
        </w:numPr>
        <w:rPr>
          <w:rFonts w:ascii="MS PGothic" w:cs="MS PGothic" w:eastAsia="MS PGothic" w:hAnsi="MS PGothic"/>
          <w:sz w:val="15"/>
          <w:szCs w:val="15"/>
          <w:color w:val="auto"/>
        </w:rPr>
      </w:pPr>
      <w:r>
        <w:rPr>
          <w:rFonts w:ascii="MS PGothic" w:cs="MS PGothic" w:eastAsia="MS PGothic" w:hAnsi="MS PGothic"/>
          <w:sz w:val="15"/>
          <w:szCs w:val="15"/>
          <w:color w:val="auto"/>
        </w:rPr>
        <w:t>Identfy the performance obligatons in the contract</w:t>
      </w:r>
    </w:p>
    <w:p>
      <w:pPr>
        <w:spacing w:after="0" w:line="218" w:lineRule="exact"/>
        <w:rPr>
          <w:rFonts w:ascii="MS PGothic" w:cs="MS PGothic" w:eastAsia="MS PGothic" w:hAnsi="MS PGothic"/>
          <w:sz w:val="15"/>
          <w:szCs w:val="15"/>
          <w:color w:val="auto"/>
        </w:rPr>
      </w:pPr>
    </w:p>
    <w:p>
      <w:pPr>
        <w:ind w:left="660" w:hanging="157"/>
        <w:spacing w:after="0"/>
        <w:tabs>
          <w:tab w:leader="none" w:pos="660" w:val="left"/>
        </w:tabs>
        <w:numPr>
          <w:ilvl w:val="0"/>
          <w:numId w:val="28"/>
        </w:numPr>
        <w:rPr>
          <w:rFonts w:ascii="MS PGothic" w:cs="MS PGothic" w:eastAsia="MS PGothic" w:hAnsi="MS PGothic"/>
          <w:sz w:val="15"/>
          <w:szCs w:val="15"/>
          <w:color w:val="auto"/>
        </w:rPr>
      </w:pPr>
      <w:r>
        <w:rPr>
          <w:rFonts w:ascii="MS PGothic" w:cs="MS PGothic" w:eastAsia="MS PGothic" w:hAnsi="MS PGothic"/>
          <w:sz w:val="15"/>
          <w:szCs w:val="15"/>
          <w:color w:val="auto"/>
        </w:rPr>
        <w:t>Determine the transacton price</w:t>
      </w:r>
    </w:p>
    <w:p>
      <w:pPr>
        <w:spacing w:after="0" w:line="218" w:lineRule="exact"/>
        <w:rPr>
          <w:rFonts w:ascii="MS PGothic" w:cs="MS PGothic" w:eastAsia="MS PGothic" w:hAnsi="MS PGothic"/>
          <w:sz w:val="15"/>
          <w:szCs w:val="15"/>
          <w:color w:val="auto"/>
        </w:rPr>
      </w:pPr>
    </w:p>
    <w:p>
      <w:pPr>
        <w:ind w:left="660" w:hanging="157"/>
        <w:spacing w:after="0"/>
        <w:tabs>
          <w:tab w:leader="none" w:pos="660" w:val="left"/>
        </w:tabs>
        <w:numPr>
          <w:ilvl w:val="0"/>
          <w:numId w:val="28"/>
        </w:numPr>
        <w:rPr>
          <w:rFonts w:ascii="MS PGothic" w:cs="MS PGothic" w:eastAsia="MS PGothic" w:hAnsi="MS PGothic"/>
          <w:sz w:val="15"/>
          <w:szCs w:val="15"/>
          <w:color w:val="auto"/>
        </w:rPr>
      </w:pPr>
      <w:r>
        <w:rPr>
          <w:rFonts w:ascii="MS PGothic" w:cs="MS PGothic" w:eastAsia="MS PGothic" w:hAnsi="MS PGothic"/>
          <w:sz w:val="15"/>
          <w:szCs w:val="15"/>
          <w:color w:val="auto"/>
        </w:rPr>
        <w:t>Allocate the transacton price to performance obligatons in the contract</w:t>
      </w:r>
    </w:p>
    <w:p>
      <w:pPr>
        <w:spacing w:after="0" w:line="218" w:lineRule="exact"/>
        <w:rPr>
          <w:rFonts w:ascii="MS PGothic" w:cs="MS PGothic" w:eastAsia="MS PGothic" w:hAnsi="MS PGothic"/>
          <w:sz w:val="15"/>
          <w:szCs w:val="15"/>
          <w:color w:val="auto"/>
        </w:rPr>
      </w:pPr>
    </w:p>
    <w:p>
      <w:pPr>
        <w:ind w:left="660" w:hanging="157"/>
        <w:spacing w:after="0"/>
        <w:tabs>
          <w:tab w:leader="none" w:pos="660" w:val="left"/>
        </w:tabs>
        <w:numPr>
          <w:ilvl w:val="0"/>
          <w:numId w:val="28"/>
        </w:numPr>
        <w:rPr>
          <w:rFonts w:ascii="MS PGothic" w:cs="MS PGothic" w:eastAsia="MS PGothic" w:hAnsi="MS PGothic"/>
          <w:sz w:val="15"/>
          <w:szCs w:val="15"/>
          <w:color w:val="auto"/>
        </w:rPr>
      </w:pPr>
      <w:r>
        <w:rPr>
          <w:rFonts w:ascii="MS PGothic" w:cs="MS PGothic" w:eastAsia="MS PGothic" w:hAnsi="MS PGothic"/>
          <w:sz w:val="15"/>
          <w:szCs w:val="15"/>
          <w:color w:val="auto"/>
        </w:rPr>
        <w:t>Recognize revenue when or as the Company satsfes a performance obligaton</w:t>
      </w:r>
    </w:p>
    <w:p>
      <w:pPr>
        <w:spacing w:after="0" w:line="218" w:lineRule="exact"/>
        <w:rPr>
          <w:sz w:val="20"/>
          <w:szCs w:val="20"/>
          <w:color w:val="auto"/>
        </w:rPr>
      </w:pPr>
    </w:p>
    <w:p>
      <w:pPr>
        <w:spacing w:after="0"/>
        <w:rPr>
          <w:sz w:val="20"/>
          <w:szCs w:val="20"/>
          <w:color w:val="auto"/>
        </w:rPr>
      </w:pPr>
      <w:r>
        <w:rPr>
          <w:rFonts w:ascii="Calibri" w:cs="Calibri" w:eastAsia="Calibri" w:hAnsi="Calibri"/>
          <w:sz w:val="15"/>
          <w:szCs w:val="15"/>
          <w:i w:val="1"/>
          <w:iCs w:val="1"/>
          <w:color w:val="auto"/>
        </w:rPr>
        <w:t>Marketplace Revenue - Descripton</w:t>
      </w:r>
    </w:p>
    <w:p>
      <w:pPr>
        <w:spacing w:after="0" w:line="185" w:lineRule="exact"/>
        <w:rPr>
          <w:sz w:val="20"/>
          <w:szCs w:val="20"/>
          <w:color w:val="auto"/>
        </w:rPr>
      </w:pPr>
    </w:p>
    <w:p>
      <w:pPr>
        <w:ind w:left="500"/>
        <w:spacing w:after="0"/>
        <w:rPr>
          <w:sz w:val="20"/>
          <w:szCs w:val="20"/>
          <w:color w:val="auto"/>
        </w:rPr>
      </w:pPr>
      <w:r>
        <w:rPr>
          <w:rFonts w:ascii="MS PGothic" w:cs="MS PGothic" w:eastAsia="MS PGothic" w:hAnsi="MS PGothic"/>
          <w:sz w:val="15"/>
          <w:szCs w:val="15"/>
          <w:color w:val="auto"/>
        </w:rPr>
        <w:t>The Company ofers multple types of marketplace Listngs packages to its dealers for its CarGurus U.S. platorm (availability varies on the Company's other marketplaces):</w:t>
      </w:r>
    </w:p>
    <w:p>
      <w:pPr>
        <w:spacing w:after="0" w:line="34" w:lineRule="exact"/>
        <w:rPr>
          <w:sz w:val="20"/>
          <w:szCs w:val="20"/>
          <w:color w:val="auto"/>
        </w:rPr>
      </w:pPr>
    </w:p>
    <w:p>
      <w:pPr>
        <w:spacing w:after="0"/>
        <w:rPr>
          <w:sz w:val="20"/>
          <w:szCs w:val="20"/>
          <w:color w:val="auto"/>
        </w:rPr>
      </w:pPr>
      <w:r>
        <w:rPr>
          <w:rFonts w:ascii="MS PGothic" w:cs="MS PGothic" w:eastAsia="MS PGothic" w:hAnsi="MS PGothic"/>
          <w:sz w:val="15"/>
          <w:szCs w:val="15"/>
          <w:color w:val="auto"/>
        </w:rPr>
        <w:t>Restricted Listngs, which is free; and various levels of Listngs packages, which each require a paid subscripton under a monthly, quarterly, semiannual, or annual subscripton basis.</w:t>
      </w:r>
    </w:p>
    <w:p>
      <w:pPr>
        <w:spacing w:after="0" w:line="218" w:lineRule="exact"/>
        <w:rPr>
          <w:sz w:val="20"/>
          <w:szCs w:val="20"/>
          <w:color w:val="auto"/>
        </w:rPr>
      </w:pPr>
    </w:p>
    <w:p>
      <w:pPr>
        <w:jc w:val="both"/>
        <w:ind w:firstLine="511"/>
        <w:spacing w:after="0" w:line="307" w:lineRule="auto"/>
        <w:rPr>
          <w:sz w:val="20"/>
          <w:szCs w:val="20"/>
          <w:color w:val="auto"/>
        </w:rPr>
      </w:pPr>
      <w:r>
        <w:rPr>
          <w:rFonts w:ascii="MS PGothic" w:cs="MS PGothic" w:eastAsia="MS PGothic" w:hAnsi="MS PGothic"/>
          <w:sz w:val="15"/>
          <w:szCs w:val="15"/>
          <w:color w:val="auto"/>
        </w:rPr>
        <w:t>The Company’s subscriptons for customers generally auto-renew on a monthly basis and are cancellable by dealers with 30 days’ advance notce prior to the commencement of the applicable renewal term. Subscripton pricing is determined based on a dealer’s inventory size, region, and the Company's assessment of the connectons and return on investment ("ROI") the platorm will provide them and is subject to discounts and/or fee reductons that the Company may ofer from tme to tme. The Company also ofers all dealers on the platorm access to its Dealer Dashboard, which includes a performance summary, Dealer Insights tool, and user review management platorm. Only dealers subscribing to a paid Listngs package have access to the Pricing Tool, Market Analysis tool, and IMV Scan tool.</w:t>
      </w:r>
    </w:p>
    <w:p>
      <w:pPr>
        <w:spacing w:after="0" w:line="145" w:lineRule="exact"/>
        <w:rPr>
          <w:sz w:val="20"/>
          <w:szCs w:val="20"/>
          <w:color w:val="auto"/>
        </w:rPr>
      </w:pPr>
    </w:p>
    <w:p>
      <w:pPr>
        <w:ind w:left="500"/>
        <w:spacing w:after="0"/>
        <w:rPr>
          <w:sz w:val="20"/>
          <w:szCs w:val="20"/>
          <w:color w:val="auto"/>
        </w:rPr>
      </w:pPr>
      <w:r>
        <w:rPr>
          <w:rFonts w:ascii="MS PGothic" w:cs="MS PGothic" w:eastAsia="MS PGothic" w:hAnsi="MS PGothic"/>
          <w:sz w:val="15"/>
          <w:szCs w:val="15"/>
          <w:color w:val="auto"/>
        </w:rPr>
        <w:t>The Company ofers paid Listngs packages for the Autolist and PistonHeads websites.</w:t>
      </w:r>
    </w:p>
    <w:p>
      <w:pPr>
        <w:spacing w:after="0" w:line="218" w:lineRule="exact"/>
        <w:rPr>
          <w:sz w:val="20"/>
          <w:szCs w:val="20"/>
          <w:color w:val="auto"/>
        </w:rPr>
      </w:pPr>
    </w:p>
    <w:p>
      <w:pPr>
        <w:jc w:val="center"/>
        <w:spacing w:after="0"/>
        <w:rPr>
          <w:sz w:val="20"/>
          <w:szCs w:val="20"/>
          <w:color w:val="auto"/>
        </w:rPr>
      </w:pPr>
      <w:r>
        <w:rPr>
          <w:rFonts w:ascii="MS PGothic" w:cs="MS PGothic" w:eastAsia="MS PGothic" w:hAnsi="MS PGothic"/>
          <w:sz w:val="15"/>
          <w:szCs w:val="15"/>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422275</wp:posOffset>
            </wp:positionV>
            <wp:extent cx="7178040" cy="400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3" w:right="319" w:bottom="1440" w:gutter="0" w:footer="0" w:header="0"/>
        </w:sectPr>
      </w:pPr>
    </w:p>
    <w:bookmarkStart w:id="99" w:name="page100"/>
    <w:bookmarkEnd w:id="99"/>
    <w:p>
      <w:pPr>
        <w:jc w:val="both"/>
        <w:ind w:firstLine="511"/>
        <w:spacing w:after="0" w:line="241" w:lineRule="auto"/>
        <w:rPr>
          <w:sz w:val="20"/>
          <w:szCs w:val="20"/>
          <w:color w:val="auto"/>
        </w:rPr>
      </w:pPr>
      <w:r>
        <w:rPr>
          <w:rFonts w:ascii="Calibri" w:cs="Calibri" w:eastAsia="Calibri" w:hAnsi="Calibri"/>
          <w:sz w:val="15"/>
          <w:szCs w:val="15"/>
          <w:color w:val="auto"/>
        </w:rPr>
        <w:t>In additon to displaying inventory in the Company's marketplace and providing access to the Dealer Dashboard, the Company ofers dealers subscribing to certain of its Listngs packages other subscripton advertsing and customer acquisiton products and enhancements marketed under the Company's RPM and digital advertsing suite. Through RPM, dealers can buy advertsing that appears in the Company's marketplace, on other sites on the internet, and/or on high-convertng social media platorms. Such advertsements can be targeted by the user’s geography, search history, CarGurus website actvity, and a number of other targetng factors, allowing dealers to increase their visibility with in-market consumers and drive qualifed trafc for dealers.</w:t>
      </w:r>
    </w:p>
    <w:p>
      <w:pPr>
        <w:spacing w:after="0" w:line="185" w:lineRule="exact"/>
        <w:rPr>
          <w:sz w:val="20"/>
          <w:szCs w:val="20"/>
          <w:color w:val="auto"/>
        </w:rPr>
      </w:pPr>
    </w:p>
    <w:p>
      <w:pPr>
        <w:ind w:left="500"/>
        <w:spacing w:after="0"/>
        <w:rPr>
          <w:sz w:val="20"/>
          <w:szCs w:val="20"/>
          <w:color w:val="auto"/>
        </w:rPr>
      </w:pPr>
      <w:r>
        <w:rPr>
          <w:rFonts w:ascii="Calibri" w:cs="Calibri" w:eastAsia="Calibri" w:hAnsi="Calibri"/>
          <w:sz w:val="15"/>
          <w:szCs w:val="15"/>
          <w:color w:val="auto"/>
        </w:rPr>
        <w:t>The Company also ofers dealer advertsing products for the PistonHeads website.</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The Company also ofers dealers subscribing to certain of its Listngs packages other subscripton advertsing and customer acquisiton products and enhancements such as Digital Retail, which allows shoppers to complete much of the vehicle-purchase process online through the Dealers’ Listngs page. Digital Retail is comprised of (i) the Digital Deal Platorm, which gives dealers higher quality leads through upfront consumer-provided informaton, (ii) Geo Expansion, which expands the visibility of a dealer’s inventory in the search results beyond its local market, and (iii) Hard Pull Financing, which provides loan informaton.</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The Company also ofers dealers subscribing to certain of its Listngs packages other subscripton advertsing and customer acquisiton products and enhancements such as TDO, which allows dealers to pay for leads to receive direct access to shoppers actvely looking to sell their vehicles. Dealers can acquire inventory from shoppers who are looking to sell directly through the CarGurus Sell My Car page.</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Marketplace revenue also consists of non-dealer advertsing revenue from auto manufacturers and other auto-related brand advertsers sold on a cost per thousand impressions basis ("CPM basis"). An impression is an advertsement loaded on a web page. In additon to advertsing sold on a CPM basis, the Company also has advertsing sold on a cost-per-click basis. Pricing is primarily based on advertsement size and positon on the Company’s websites and mobile applicatons. Auto manufacturers and other brand advertsers can execute advertsing campaigns that are targeted across a wide variety of parameters, including demographic groups, behavioral characteristcs, specifc auto brands, categories such as Certfed Pre-Owned, and segments such as hybrid vehicles. The Company does not provide minimum impression guarantees or other types of minimum guarantees in its contracts with customers. Advertsing is also sold indirectly through revenue sharing arrangements with advertsing exchange partners.</w:t>
      </w:r>
    </w:p>
    <w:p>
      <w:pPr>
        <w:spacing w:after="0" w:line="185" w:lineRule="exact"/>
        <w:rPr>
          <w:sz w:val="20"/>
          <w:szCs w:val="20"/>
          <w:color w:val="auto"/>
        </w:rPr>
      </w:pPr>
    </w:p>
    <w:p>
      <w:pPr>
        <w:ind w:left="500"/>
        <w:spacing w:after="0"/>
        <w:rPr>
          <w:sz w:val="20"/>
          <w:szCs w:val="20"/>
          <w:color w:val="auto"/>
        </w:rPr>
      </w:pPr>
      <w:r>
        <w:rPr>
          <w:rFonts w:ascii="Calibri" w:cs="Calibri" w:eastAsia="Calibri" w:hAnsi="Calibri"/>
          <w:sz w:val="15"/>
          <w:szCs w:val="15"/>
          <w:color w:val="auto"/>
        </w:rPr>
        <w:t>The Company also ofers non-dealer advertsing products for the Autolist and PistonHeads websites.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Marketplace revenue also includes revenue from partnerships with certain fnancing services companies pursuant to which the Company enables eligible consumers on the Company's CarGurus U.S. website to pre-qualify for fnancing on cars from dealerships that ofer fnancing through such companies. The Company primarily generates revenue from these partnerships based on the number of funded loans from consumers who pre-qualify with its lending partners through its site.</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i w:val="1"/>
          <w:iCs w:val="1"/>
          <w:color w:val="auto"/>
        </w:rPr>
        <w:t>Marketplace Revenue - Revenue Recogniton</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For Listngs, Digital Retail, RPM, and TDO, the Company provides a single similar service each day for a period of tme. Each tme increment (i.e., one day), rather than the underlying actvites, is distnct and substantally the same and therefore the performance obligaton of the Company is to provide a series of daily actvites over the contract term. Similar to the dealer listngs, the dealer advertsing is considered a promise to provide a single similar service each day. Each tme increment is distnct and substantally the same and therefore the performance obligaton of the Company is to provide a series of daily actvites over the contract term.</w:t>
      </w:r>
    </w:p>
    <w:p>
      <w:pPr>
        <w:spacing w:after="0" w:line="185" w:lineRule="exact"/>
        <w:rPr>
          <w:sz w:val="20"/>
          <w:szCs w:val="20"/>
          <w:color w:val="auto"/>
        </w:rPr>
      </w:pPr>
    </w:p>
    <w:p>
      <w:pPr>
        <w:jc w:val="center"/>
        <w:spacing w:after="0"/>
        <w:rPr>
          <w:sz w:val="20"/>
          <w:szCs w:val="20"/>
          <w:color w:val="auto"/>
        </w:rPr>
      </w:pPr>
      <w:r>
        <w:rPr>
          <w:rFonts w:ascii="Calibri" w:cs="Calibri" w:eastAsia="Calibri" w:hAnsi="Calibri"/>
          <w:sz w:val="15"/>
          <w:szCs w:val="15"/>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401320</wp:posOffset>
            </wp:positionV>
            <wp:extent cx="7178040" cy="4000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3" w:right="319" w:bottom="1440" w:gutter="0" w:footer="0" w:header="0"/>
        </w:sectPr>
      </w:pPr>
    </w:p>
    <w:bookmarkStart w:id="100" w:name="page101"/>
    <w:bookmarkEnd w:id="100"/>
    <w:p>
      <w:pPr>
        <w:jc w:val="both"/>
        <w:ind w:firstLine="511"/>
        <w:spacing w:after="0" w:line="241" w:lineRule="auto"/>
        <w:rPr>
          <w:sz w:val="20"/>
          <w:szCs w:val="20"/>
          <w:color w:val="auto"/>
        </w:rPr>
      </w:pPr>
      <w:r>
        <w:rPr>
          <w:rFonts w:ascii="Calibri" w:cs="Calibri" w:eastAsia="Calibri" w:hAnsi="Calibri"/>
          <w:sz w:val="15"/>
          <w:szCs w:val="15"/>
          <w:color w:val="auto"/>
        </w:rPr>
        <w:t>Total consideraton for marketplace revenue is stated within the contracts. There are no contractual cash refund rights, but credits may be issued to a customer at the sole discreton of the Company. Dealer customers do not have the right to take possession of the Company’s sofware. At the portolio level, there is also variable consideraton that needs to be included in the transacton price. Variable consideraton consists of sales allowances, usage fees, and concessions that change the transacton price of the unsatsfed or partally unsatsfed performance obligaton. The Company recognizes that there are tmes when there is a customer satsfacton issue or other circumstances that will lead to a credit. Due to the known possibility of future credits, a monthly sales allowance review is performed to defer revenue at a portolio level for such future adjustments in the period of incurrence. The Company establishes sales allowances at the tme of revenue recogniton based on its history of adjustments and credits provided to its customers. In assessing the adequacy of the sales allowance, the Company evaluates its history of adjustments and credits made through the date of the issuance of the consolidated fnancial statements. Estmated sales adjustments, credits, and losses may vary from actual results which could lead to material adjustments to the consolidated fnancial statements. Sales allowances are recognized as a reducton to revenue in the consolidated income statements.</w:t>
      </w:r>
    </w:p>
    <w:p>
      <w:pPr>
        <w:spacing w:after="0" w:line="186"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Performance obligatons are satsfed over tme as the customer simultaneously receives and consumes the beneft of the service. Revenue is recognized ratably over the subscripton period beginning on the date the Company starts providing services to the customer under the contract. Revenue is presented net of any taxes collected from customers. Customers are billed in advance on the frst day of each calendar month with payment terms generally 30 to 60 days from the date invoiced. Billings are recognized as accounts receivable or short-term deferred revenue when payment is received in advance of services being delivered to the customers.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For non-dealer advertsing revenue from auto manufacturers and other auto-related brand advertsers, the performance obligaton is to publish the agreed upon campaign on the Company’s websites and load the related impressions.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Advertsing contracts state the transacton price within the agreement with payment generally being based on the number of clicks or impressions delivered on the Company’s websites. Total consideraton is based on output and deemed variable consideraton constrained by an agreed upon delivery schedule and is allocated to the period in which the service was rendered. Additonally, there are generally no contractual cash refund rights. Certain contracts do contain the right for credits in situatons in which impressions are not displayed in compliance with contractual specifcatons. At an individual contract level, the Company may give a credit for a customer satsfacton issue or other circumstance. Due to the known possibility of future credits, a monthly review is performed to defer revenue at an individual contract level for such future adjustments in the period of incurrence. Although these credits have not been material and have not changed signifcantly over the historical period, estmated sales adjustments, credits, and losses may vary from actual results which could lead to material adjustments to the consolidated fnancial statements.</w:t>
      </w:r>
    </w:p>
    <w:p>
      <w:pPr>
        <w:spacing w:after="0" w:line="186"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Performance obligatons for Company-sold advertsing revenue and partner-sold advertsing revenue are satsfed over tme as impressions are delivered. Revenue is recognized based on the total number of impressions delivered within the specifed period. Revenue from advertsing sold directly by the Company is recognized based on the gross amount charged to the advertser because the Company is the principal in the arrangement as it controls the ad placement and tming of the campaign, establishes the selling price, and is directly responsible for the fulfllment of the contractual terms including any remedy for issues with such fulfllment. Revenue from advertsing sold by partners is recognized based on the net amount of revenue received from the content partners because the Company is the agent in the arrangement as the advertsing partner is responsible for fulfllment, including the acceptability of the services delivered. In partner-sold advertsing arrangements, the advertsing partner has a direct contractual relatonship with the advertser. There is no contractual relatonship between the Company and the advertser for partner-sold transactons. Additonally, for aucton-based partner agreements, the Company has lattude in establishing the foor price, but the fnal price established by the exchange server is at market rates. Revenue is presented net of any taxes collected from customers. Customers are billed monthly in arrears with payment terms generally 30 to 60 days from the date invoiced. Unbilled accounts receivable generally relate to services rendered in the current period, but not invoiced untl the subsequent period.</w:t>
      </w:r>
    </w:p>
    <w:p>
      <w:pPr>
        <w:spacing w:after="0" w:line="186"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Other marketplace revenue includes revenue from contracts for which the performance obligaton is a series of distnct services with the same level of efort daily. For these contracts, primarily related to the Company’s partnerships with fnancing services companies, the Company estmates the value of the variable consideraton in determining the transacton price and allocates it to the performance obligaton. Revenue is estmated and recognized on a ratable basis over the contractual term. The Company reassesses the estmate of variable consideraton at each reportng period.</w:t>
      </w:r>
    </w:p>
    <w:p>
      <w:pPr>
        <w:spacing w:after="0" w:line="185" w:lineRule="exact"/>
        <w:rPr>
          <w:sz w:val="20"/>
          <w:szCs w:val="20"/>
          <w:color w:val="auto"/>
        </w:rPr>
      </w:pPr>
    </w:p>
    <w:p>
      <w:pPr>
        <w:jc w:val="center"/>
        <w:spacing w:after="0"/>
        <w:rPr>
          <w:sz w:val="20"/>
          <w:szCs w:val="20"/>
          <w:color w:val="auto"/>
        </w:rPr>
      </w:pPr>
      <w:r>
        <w:rPr>
          <w:rFonts w:ascii="Calibri" w:cs="Calibri" w:eastAsia="Calibri" w:hAnsi="Calibri"/>
          <w:sz w:val="15"/>
          <w:szCs w:val="15"/>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401320</wp:posOffset>
            </wp:positionV>
            <wp:extent cx="7178040" cy="4000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3" w:right="319" w:bottom="1440" w:gutter="0" w:footer="0" w:header="0"/>
        </w:sectPr>
      </w:pPr>
    </w:p>
    <w:bookmarkStart w:id="101" w:name="page102"/>
    <w:bookmarkEnd w:id="101"/>
    <w:p>
      <w:pPr>
        <w:spacing w:after="0"/>
        <w:rPr>
          <w:sz w:val="20"/>
          <w:szCs w:val="20"/>
          <w:color w:val="auto"/>
        </w:rPr>
      </w:pPr>
      <w:r>
        <w:rPr>
          <w:rFonts w:ascii="Calibri" w:cs="Calibri" w:eastAsia="Calibri" w:hAnsi="Calibri"/>
          <w:sz w:val="15"/>
          <w:szCs w:val="15"/>
          <w:i w:val="1"/>
          <w:iCs w:val="1"/>
          <w:color w:val="auto"/>
        </w:rPr>
        <w:t>Wholesale Revenue - Descripton</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The CarOfer Matrix enables buying dealers to create standing buy orders and provides instant ofers to selling dealers. Wholesale revenue includes transacton fees earned from Dealer-to-Dealer transactons, where the Company collects fees from both the buying and selling dealers. The Company also sells vehicles to dealers that it acquires at other marketplaces, where it collects a transacton fee from the buying dealers.</w:t>
      </w:r>
    </w:p>
    <w:p>
      <w:pPr>
        <w:spacing w:after="0" w:line="185" w:lineRule="exact"/>
        <w:rPr>
          <w:sz w:val="20"/>
          <w:szCs w:val="20"/>
          <w:color w:val="auto"/>
        </w:rPr>
      </w:pPr>
    </w:p>
    <w:p>
      <w:pPr>
        <w:jc w:val="both"/>
        <w:ind w:right="20" w:firstLine="511"/>
        <w:spacing w:after="0" w:line="241" w:lineRule="auto"/>
        <w:rPr>
          <w:sz w:val="20"/>
          <w:szCs w:val="20"/>
          <w:color w:val="auto"/>
        </w:rPr>
      </w:pPr>
      <w:r>
        <w:rPr>
          <w:rFonts w:ascii="Calibri" w:cs="Calibri" w:eastAsia="Calibri" w:hAnsi="Calibri"/>
          <w:sz w:val="15"/>
          <w:szCs w:val="15"/>
          <w:color w:val="auto"/>
        </w:rPr>
        <w:t>Wholesale revenue also includes fees earned from performing inspecton and transportaton services, where it collects fees from the buying dealer. Inspecton and transportaton service revenue is inclusive of Dealer-to-Dealer transactons, other marketplace to dealer transactons, and IMCO transactons.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Wholesale revenue also includes arbitraton in which the vehicle is rematched to a new buyer and not acquired by the Company. Arbitraton is the process by which the Company investgates and resolves claims from buying dealers.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 xml:space="preserve">Wholesale revenue also includes fees earned from certain guarantees ofered to dealers (which include 45-Day Guarantee and OferGuard products), where the Company collects fees from the buying dealer or selling dealer, as applicable. Guarantee revenue is not accounted for under ASC 606 and is accounted for under ASC Topic 460, </w:t>
      </w:r>
      <w:r>
        <w:rPr>
          <w:rFonts w:ascii="Calibri" w:cs="Calibri" w:eastAsia="Calibri" w:hAnsi="Calibri"/>
          <w:sz w:val="15"/>
          <w:szCs w:val="15"/>
          <w:i w:val="1"/>
          <w:iCs w:val="1"/>
          <w:color w:val="auto"/>
        </w:rPr>
        <w:t>Guarantees</w:t>
      </w:r>
      <w:r>
        <w:rPr>
          <w:rFonts w:ascii="Calibri" w:cs="Calibri" w:eastAsia="Calibri" w:hAnsi="Calibri"/>
          <w:sz w:val="15"/>
          <w:szCs w:val="15"/>
          <w:color w:val="auto"/>
        </w:rPr>
        <w:t xml:space="preserve"> (“ASC 460”), as discussed further in Note 2 of these consolidated fnancial statements.</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i w:val="1"/>
          <w:iCs w:val="1"/>
          <w:color w:val="auto"/>
        </w:rPr>
        <w:t>Wholesale Revenue - Revenue Recogniton</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When facilitatng Dealer-to-Dealer transactons and for vehicles sold to dealers that are acquired at other marketplaces, the Company does not control the vehicle and therefore acts as an agent in the transacton. Revenue earned from the fees for facilitatng these transactons is recognized at a point in tme when the vehicle is sold on a net basis.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For inspecton and transportaton services, the Company leverages a network of third-party inspecton service providers and transportaton carriers. The Company controls both inspecton and transportaton services as it is primarily responsible for fulfllment and therefore acts as a principal in the transacton. Revenue from fees for inspecton services is recognized at the point in tme when the inspecton is performed and revenue from fees for transportaton services is recognized over tme as delivery is completed. Revenue from both inspecton and transportaton services is recognized on a gross basis. Unearned revenue related to unsatsfed performance obligatons is recognized as deferred revenue.</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Wholesale revenue also includes arbitraton in which the vehicle is rematched to a new buyer and not acquired by the Company. Arbitraton is the process by which the Company investgates and resolves claims from buying dealers. In these situatons, the Company does not control the vehicle and therefore acts as an agent in the transacton. Revenue from a rematch transacton is recognized in line with fee revenue relatng to the facilitaton of the transacton, inspecton services, and transportaton services above.</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Within wholesale transactons, there are typically no contractual cash refund rights, but credits may be issued to a customer at the sole discreton of the Company and refunds may be required by law in the case of a vehicle defect. At the portolio level, there is also variable consideraton that needs to be included in the transacton price. Variable consideraton consists of sales allowances and concessions that change the transacton price of the unsatsfed or partally unsatsfed performance obligaton. The Company recognizes that there are tmes when there is a customer satsfacton issue or other circumstance that will lead to a credit or arbitraton. The Company establishes sales allowances at the tme of revenue recogniton based on its history of adjustments and credits provided to its customers. In assessing the adequacy of the sales allowance, the Company evaluates its history of adjustments and credits made through the date of the issuance of the consolidated fnancial statements. Upon recognizing a sales transacton, the Company estmates the amount of transacton price that will be reversed in a subsequent period and records a reserve for returns and cancellatons in other current assets and other current liabilites in the consolidated balance sheets. Estmated sales adjustments, credits, and losses may vary from actual results which could lead to material adjustments to the consolidated fnancial statements. Sales allowances are recognized as a reducton to revenue in the consolidated income statements and an increase to other current assets and other current liabilites and a reducton to accounts receivable, net in the consolidated balance sheets. Wholesale revenue is also ofset by concessions.</w:t>
      </w:r>
    </w:p>
    <w:p>
      <w:pPr>
        <w:spacing w:after="0" w:line="186" w:lineRule="exact"/>
        <w:rPr>
          <w:sz w:val="20"/>
          <w:szCs w:val="20"/>
          <w:color w:val="auto"/>
        </w:rPr>
      </w:pPr>
    </w:p>
    <w:p>
      <w:pPr>
        <w:ind w:left="500"/>
        <w:spacing w:after="0"/>
        <w:rPr>
          <w:sz w:val="20"/>
          <w:szCs w:val="20"/>
          <w:color w:val="auto"/>
        </w:rPr>
      </w:pPr>
      <w:r>
        <w:rPr>
          <w:rFonts w:ascii="Calibri" w:cs="Calibri" w:eastAsia="Calibri" w:hAnsi="Calibri"/>
          <w:sz w:val="15"/>
          <w:szCs w:val="15"/>
          <w:color w:val="auto"/>
        </w:rPr>
        <w:t>Wholesale revenue is presented net of any taxes collected from customers.</w:t>
      </w:r>
    </w:p>
    <w:p>
      <w:pPr>
        <w:spacing w:after="0" w:line="185" w:lineRule="exact"/>
        <w:rPr>
          <w:sz w:val="20"/>
          <w:szCs w:val="20"/>
          <w:color w:val="auto"/>
        </w:rPr>
      </w:pPr>
    </w:p>
    <w:p>
      <w:pPr>
        <w:jc w:val="center"/>
        <w:spacing w:after="0"/>
        <w:rPr>
          <w:sz w:val="20"/>
          <w:szCs w:val="20"/>
          <w:color w:val="auto"/>
        </w:rPr>
      </w:pPr>
      <w:r>
        <w:rPr>
          <w:rFonts w:ascii="Calibri" w:cs="Calibri" w:eastAsia="Calibri" w:hAnsi="Calibri"/>
          <w:sz w:val="15"/>
          <w:szCs w:val="15"/>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401320</wp:posOffset>
            </wp:positionV>
            <wp:extent cx="7178040" cy="400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3" w:right="319" w:bottom="1440" w:gutter="0" w:footer="0" w:header="0"/>
        </w:sectPr>
      </w:pPr>
    </w:p>
    <w:bookmarkStart w:id="102" w:name="page103"/>
    <w:bookmarkEnd w:id="102"/>
    <w:p>
      <w:pPr>
        <w:ind w:left="500"/>
        <w:spacing w:after="0"/>
        <w:rPr>
          <w:sz w:val="20"/>
          <w:szCs w:val="20"/>
          <w:color w:val="auto"/>
        </w:rPr>
      </w:pPr>
      <w:r>
        <w:rPr>
          <w:rFonts w:ascii="Calibri" w:cs="Calibri" w:eastAsia="Calibri" w:hAnsi="Calibri"/>
          <w:sz w:val="15"/>
          <w:szCs w:val="15"/>
          <w:color w:val="auto"/>
        </w:rPr>
        <w:t>Typically, customers are billed upon successful matching of a buyer and seller, with payment due upon receipt.</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i w:val="1"/>
          <w:iCs w:val="1"/>
          <w:color w:val="auto"/>
        </w:rPr>
        <w:t>Product Revenue - Descripton</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The CarOfer Matrix enables consumers who are selling vehicles to be instantly presented with an ofer. Product revenue includes the aggregate proceeds received from the sale of vehicles through IMCO transactons, including vehicle sale price and transacton fees collected from the buying dealers. Product revenue also includes proceeds received from the sale of vehicles acquired through arbitraton, including vehicle sale price and transacton fees collected from buying dealers. Arbitraton is the process by which the Company investgates and resolves claims from buying dealers. The Company controls the vehicle in these transactons and therefore acts as the principal.</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i w:val="1"/>
          <w:iCs w:val="1"/>
          <w:color w:val="auto"/>
        </w:rPr>
        <w:t>Product - Revenue Recogniton</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For vehicles sold to dealers that are acquired through IMCO transactons, the Company controls the vehicle and therefore acts as a principal in the transacton. Revenue earned from proceeds received on the sale of vehicles through IMCO transactons, including vehicle sale price and transacton fees collected from the buying dealers, is recognized at a point in tme when the vehicle is sold on a gross basis.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In certain situatons across all transactons, during an arbitraton process the Company acquires vehicles in transactons in which it controls the vehicle and therefore acts as a principal in the transacton. Revenue earned from the sale of the vehicle in these transactons is recognized at a point in tme on a gross basis.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Within product transactons, there are typically no contractual cash refund rights, but credits may be issued to a customer at the sole discreton of the Company and refunds may be required by law in the case of a vehicle defect. At the portolio level, there is also variable consideraton that needs to be included in the transacton price. Variable consideraton consists of sales allowances and concessions that change the transacton price of the unsatsfed or partally unsatsfed performance obligaton. The Company recognizes that there are tmes when there is a customer satsfacton issue or other circumstance that will lead to a credit or arbitraton. The Company establishes sales allowances at the tme of revenue recogniton based on its history of adjustments and credits provided to its customers. In assessing the adequacy of the sales allowance, the Company evaluates its history of adjustments and credits made through the date of the issuance of the consolidated fnancial statements. Upon recognizing a sales transacton, the Company estmates the amount of transacton price that will be reversed in a subsequent period and records a reserve for returns and cancellatons in other current assets and other current liabilites in the consolidated balance sheets. Estmated sales adjustments, credits, and losses may vary from actual results which could lead to material adjustments to the consolidated fnancial statements. Sales allowances are recognized as a reducton to revenue and cost of revenue in the consolidated income statements and an increase to other current assets and other current liabilites and a reducton to accounts receivable, net in the consolidated balance sheets. Product revenue is also ofset by concessions.</w:t>
      </w:r>
    </w:p>
    <w:p>
      <w:pPr>
        <w:spacing w:after="0" w:line="186" w:lineRule="exact"/>
        <w:rPr>
          <w:sz w:val="20"/>
          <w:szCs w:val="20"/>
          <w:color w:val="auto"/>
        </w:rPr>
      </w:pPr>
    </w:p>
    <w:p>
      <w:pPr>
        <w:ind w:left="500"/>
        <w:spacing w:after="0"/>
        <w:rPr>
          <w:sz w:val="20"/>
          <w:szCs w:val="20"/>
          <w:color w:val="auto"/>
        </w:rPr>
      </w:pPr>
      <w:r>
        <w:rPr>
          <w:rFonts w:ascii="Calibri" w:cs="Calibri" w:eastAsia="Calibri" w:hAnsi="Calibri"/>
          <w:sz w:val="15"/>
          <w:szCs w:val="15"/>
          <w:color w:val="auto"/>
        </w:rPr>
        <w:t>Product revenue presented net of any taxes collected from customers.</w:t>
      </w:r>
    </w:p>
    <w:p>
      <w:pPr>
        <w:spacing w:after="0" w:line="185" w:lineRule="exact"/>
        <w:rPr>
          <w:sz w:val="20"/>
          <w:szCs w:val="20"/>
          <w:color w:val="auto"/>
        </w:rPr>
      </w:pPr>
    </w:p>
    <w:p>
      <w:pPr>
        <w:ind w:left="500"/>
        <w:spacing w:after="0"/>
        <w:rPr>
          <w:sz w:val="20"/>
          <w:szCs w:val="20"/>
          <w:color w:val="auto"/>
        </w:rPr>
      </w:pPr>
      <w:r>
        <w:rPr>
          <w:rFonts w:ascii="Calibri" w:cs="Calibri" w:eastAsia="Calibri" w:hAnsi="Calibri"/>
          <w:sz w:val="15"/>
          <w:szCs w:val="15"/>
          <w:color w:val="auto"/>
        </w:rPr>
        <w:t>Typically, customers are billed upon successful matching of a buyer and seller, with payment due upon receipt.</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i w:val="1"/>
          <w:iCs w:val="1"/>
          <w:color w:val="auto"/>
        </w:rPr>
        <w:t>Contracts with Multple Performance Obligatons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The Company periodically enters into arrangements that include Listngs and/or dealer advertsing product subscriptons within marketplace revenue. These contracts include multple promises that the Company evaluates to determine if the promises are separate performance obligatons. Performance obligatons are identfed based on services to be transferred to a customer that are distnct within the context of the contractual terms. Once the performance obligatons have been identfed, the Company determines the transacton price, which includes estmatng the amount of variable consideraton to be included in the transacton price, if any. If required, the transacton price is allocated to each performance obligaton in the contract based on a relatve standalone selling price method as the performance obligaton is being satsfed. For the Company’s arrangements that include Listngs and/or dealer advertsing product subscriptons, the performance obligatons were satsfed over a consistent period of tme and therefore the allocatons did not impact the revenue recognized.</w:t>
      </w:r>
    </w:p>
    <w:p>
      <w:pPr>
        <w:spacing w:after="0" w:line="369" w:lineRule="exact"/>
        <w:rPr>
          <w:sz w:val="20"/>
          <w:szCs w:val="20"/>
          <w:color w:val="auto"/>
        </w:rPr>
      </w:pPr>
    </w:p>
    <w:p>
      <w:pPr>
        <w:jc w:val="center"/>
        <w:spacing w:after="0"/>
        <w:rPr>
          <w:sz w:val="20"/>
          <w:szCs w:val="20"/>
          <w:color w:val="auto"/>
        </w:rPr>
      </w:pPr>
      <w:r>
        <w:rPr>
          <w:rFonts w:ascii="Calibri" w:cs="Calibri" w:eastAsia="Calibri" w:hAnsi="Calibri"/>
          <w:sz w:val="15"/>
          <w:szCs w:val="15"/>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401320</wp:posOffset>
            </wp:positionV>
            <wp:extent cx="7178040" cy="4000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4" w:right="319" w:bottom="1440" w:gutter="0" w:footer="0" w:header="0"/>
        </w:sectPr>
      </w:pPr>
    </w:p>
    <w:bookmarkStart w:id="103" w:name="page104"/>
    <w:bookmarkEnd w:id="103"/>
    <w:p>
      <w:pPr>
        <w:jc w:val="both"/>
        <w:ind w:firstLine="511"/>
        <w:spacing w:after="0" w:line="347" w:lineRule="auto"/>
        <w:rPr>
          <w:sz w:val="20"/>
          <w:szCs w:val="20"/>
          <w:color w:val="auto"/>
        </w:rPr>
      </w:pPr>
      <w:r>
        <w:rPr>
          <w:rFonts w:ascii="MS PGothic" w:cs="MS PGothic" w:eastAsia="MS PGothic" w:hAnsi="MS PGothic"/>
          <w:sz w:val="15"/>
          <w:szCs w:val="15"/>
          <w:color w:val="auto"/>
        </w:rPr>
        <w:t>For wholesale and product arrangements that include multple performance obligatons, the Company allocates revenue based on fair value. Vehicle and inspecton revenues are recognized at a point in tme and transportaton revenue is recognized over tme.</w:t>
      </w:r>
    </w:p>
    <w:p>
      <w:pPr>
        <w:spacing w:after="0" w:line="118" w:lineRule="exact"/>
        <w:rPr>
          <w:sz w:val="20"/>
          <w:szCs w:val="20"/>
          <w:color w:val="auto"/>
        </w:rPr>
      </w:pPr>
    </w:p>
    <w:p>
      <w:pPr>
        <w:spacing w:after="0"/>
        <w:rPr>
          <w:sz w:val="20"/>
          <w:szCs w:val="20"/>
          <w:color w:val="auto"/>
        </w:rPr>
      </w:pPr>
      <w:r>
        <w:rPr>
          <w:rFonts w:ascii="Calibri" w:cs="Calibri" w:eastAsia="Calibri" w:hAnsi="Calibri"/>
          <w:sz w:val="15"/>
          <w:szCs w:val="15"/>
          <w:i w:val="1"/>
          <w:iCs w:val="1"/>
          <w:color w:val="auto"/>
        </w:rPr>
        <w:t>Costs to Obtain a Contract</w:t>
      </w:r>
    </w:p>
    <w:p>
      <w:pPr>
        <w:spacing w:after="0" w:line="185" w:lineRule="exact"/>
        <w:rPr>
          <w:sz w:val="20"/>
          <w:szCs w:val="20"/>
          <w:color w:val="auto"/>
        </w:rPr>
      </w:pPr>
    </w:p>
    <w:p>
      <w:pPr>
        <w:jc w:val="both"/>
        <w:ind w:firstLine="511"/>
        <w:spacing w:after="0" w:line="330" w:lineRule="auto"/>
        <w:rPr>
          <w:sz w:val="20"/>
          <w:szCs w:val="20"/>
          <w:color w:val="auto"/>
        </w:rPr>
      </w:pPr>
      <w:r>
        <w:rPr>
          <w:rFonts w:ascii="MS PGothic" w:cs="MS PGothic" w:eastAsia="MS PGothic" w:hAnsi="MS PGothic"/>
          <w:sz w:val="14"/>
          <w:szCs w:val="14"/>
          <w:color w:val="auto"/>
        </w:rPr>
        <w:t>Commissions paid to sales representatves and payroll taxes are considered costs to obtain a contract. Under ASC 606, the costs to obtain a contract require capitalizaton and amortzaton of those costs over the period of beneft. Although the guidance specifes the accountng for an individual contract with a customer, as a practcal expedient, the Company has opted to apply the guidance to a portolio of contracts with similar characteristcs. The Company has opted to apply another practcal expedient to immediately expense the incremental cost of obtaining a contract when the underlying related asset would have been amortzed over one year or less. As such, the Company applied this practcal expedient to advertsing contracts and wholesale and product transactons as the term is one year or less and these contracts do not renew automatcally. The practcal expedient is not applicable to marketplace subscripton contracts as the period of beneft including renewals is antcipated to be greater than one year. The assets are periodically assessed for impairment.</w:t>
      </w:r>
    </w:p>
    <w:p>
      <w:pPr>
        <w:spacing w:after="0" w:line="134" w:lineRule="exact"/>
        <w:rPr>
          <w:sz w:val="20"/>
          <w:szCs w:val="20"/>
          <w:color w:val="auto"/>
        </w:rPr>
      </w:pPr>
    </w:p>
    <w:p>
      <w:pPr>
        <w:jc w:val="both"/>
        <w:ind w:firstLine="511"/>
        <w:spacing w:after="0" w:line="320" w:lineRule="auto"/>
        <w:rPr>
          <w:sz w:val="20"/>
          <w:szCs w:val="20"/>
          <w:color w:val="auto"/>
        </w:rPr>
      </w:pPr>
      <w:r>
        <w:rPr>
          <w:rFonts w:ascii="MS PGothic" w:cs="MS PGothic" w:eastAsia="MS PGothic" w:hAnsi="MS PGothic"/>
          <w:sz w:val="15"/>
          <w:szCs w:val="15"/>
          <w:color w:val="auto"/>
        </w:rPr>
        <w:t>For marketplace subscripton customers, the commissions paid on contracts with new customers, in additon to any commission amount related to incremental sales, are capitalized and amortzed over the estmated beneft period of the customer relatonship taking into account factors such as peer estmates of technology lives and customer lives as well as the Company's own historical data. Commissions paid that are not directly related to obtaining a new contract are expensed as incurred.</w:t>
      </w:r>
    </w:p>
    <w:p>
      <w:pPr>
        <w:spacing w:after="0" w:line="136" w:lineRule="exact"/>
        <w:rPr>
          <w:sz w:val="20"/>
          <w:szCs w:val="20"/>
          <w:color w:val="auto"/>
        </w:rPr>
      </w:pPr>
    </w:p>
    <w:p>
      <w:pPr>
        <w:jc w:val="both"/>
        <w:ind w:firstLine="511"/>
        <w:spacing w:after="0" w:line="347" w:lineRule="auto"/>
        <w:rPr>
          <w:sz w:val="20"/>
          <w:szCs w:val="20"/>
          <w:color w:val="auto"/>
        </w:rPr>
      </w:pPr>
      <w:r>
        <w:rPr>
          <w:rFonts w:ascii="MS PGothic" w:cs="MS PGothic" w:eastAsia="MS PGothic" w:hAnsi="MS PGothic"/>
          <w:sz w:val="15"/>
          <w:szCs w:val="15"/>
          <w:color w:val="auto"/>
        </w:rPr>
        <w:t>Additonally, the Company allocates employer payroll tax expense to the commission expense in proporton to the overall payroll taxes paid during the respectve period. As such, capitalized payroll taxes are amortzed in the same manner as the underlying capitalized commissions.</w:t>
      </w:r>
    </w:p>
    <w:p>
      <w:pPr>
        <w:spacing w:after="0" w:line="119" w:lineRule="exact"/>
        <w:rPr>
          <w:sz w:val="20"/>
          <w:szCs w:val="20"/>
          <w:color w:val="auto"/>
        </w:rPr>
      </w:pPr>
    </w:p>
    <w:p>
      <w:pPr>
        <w:jc w:val="both"/>
        <w:ind w:right="20" w:firstLine="511"/>
        <w:spacing w:after="0" w:line="347" w:lineRule="auto"/>
        <w:rPr>
          <w:sz w:val="20"/>
          <w:szCs w:val="20"/>
          <w:color w:val="auto"/>
        </w:rPr>
      </w:pPr>
      <w:r>
        <w:rPr>
          <w:rFonts w:ascii="MS PGothic" w:cs="MS PGothic" w:eastAsia="MS PGothic" w:hAnsi="MS PGothic"/>
          <w:sz w:val="15"/>
          <w:szCs w:val="15"/>
          <w:color w:val="auto"/>
        </w:rPr>
        <w:t>As of December 31, 2023 and 2022, assets associated with costs to obtain a contract were $24,093 and $17,394, respectvely. For the years ended December 31, 2023, 2022, and 2021, amortzaton expense associated with costs to obtain a contract was $11,817, $11,067 and $12,653, respectvely.</w:t>
      </w:r>
    </w:p>
    <w:p>
      <w:pPr>
        <w:spacing w:after="0" w:line="118" w:lineRule="exact"/>
        <w:rPr>
          <w:sz w:val="20"/>
          <w:szCs w:val="20"/>
          <w:color w:val="auto"/>
        </w:rPr>
      </w:pPr>
    </w:p>
    <w:p>
      <w:pPr>
        <w:spacing w:after="0"/>
        <w:rPr>
          <w:sz w:val="20"/>
          <w:szCs w:val="20"/>
          <w:color w:val="auto"/>
        </w:rPr>
      </w:pPr>
      <w:r>
        <w:rPr>
          <w:rFonts w:ascii="Calibri" w:cs="Calibri" w:eastAsia="Calibri" w:hAnsi="Calibri"/>
          <w:sz w:val="15"/>
          <w:szCs w:val="15"/>
          <w:i w:val="1"/>
          <w:iCs w:val="1"/>
          <w:color w:val="auto"/>
        </w:rPr>
        <w:t>Deferred Revenue</w:t>
      </w:r>
    </w:p>
    <w:p>
      <w:pPr>
        <w:spacing w:after="0" w:line="185" w:lineRule="exact"/>
        <w:rPr>
          <w:sz w:val="20"/>
          <w:szCs w:val="20"/>
          <w:color w:val="auto"/>
        </w:rPr>
      </w:pPr>
    </w:p>
    <w:p>
      <w:pPr>
        <w:jc w:val="both"/>
        <w:ind w:firstLine="511"/>
        <w:spacing w:after="0" w:line="312" w:lineRule="auto"/>
        <w:rPr>
          <w:sz w:val="20"/>
          <w:szCs w:val="20"/>
          <w:color w:val="auto"/>
        </w:rPr>
      </w:pPr>
      <w:r>
        <w:rPr>
          <w:rFonts w:ascii="MS PGothic" w:cs="MS PGothic" w:eastAsia="MS PGothic" w:hAnsi="MS PGothic"/>
          <w:sz w:val="15"/>
          <w:szCs w:val="15"/>
          <w:color w:val="auto"/>
        </w:rPr>
        <w:t>Deferred revenue primarily consists of payments received in advance of revenue recogniton from the Company’s marketplace revenue and is recognized as the revenue recogniton criteria are met. The Company generally invoices its customers monthly. Accordingly, the deferred revenue balances do not represent the total contract value of annual or multyear subscripton agreements. Deferred revenue that is expected to be recognized during the succeeding 12‑month period is recognized as current deferred revenue and the remaining porton is recognized as noncurrent in the consolidated balance sheets. All deferred revenue was recognized as current for all periods presented.</w:t>
      </w:r>
    </w:p>
    <w:p>
      <w:pPr>
        <w:spacing w:after="0" w:line="140" w:lineRule="exact"/>
        <w:rPr>
          <w:sz w:val="20"/>
          <w:szCs w:val="20"/>
          <w:color w:val="auto"/>
        </w:rPr>
      </w:pPr>
    </w:p>
    <w:p>
      <w:pPr>
        <w:spacing w:after="0"/>
        <w:rPr>
          <w:sz w:val="20"/>
          <w:szCs w:val="20"/>
          <w:color w:val="auto"/>
        </w:rPr>
      </w:pPr>
      <w:r>
        <w:rPr>
          <w:rFonts w:ascii="Calibri" w:cs="Calibri" w:eastAsia="Calibri" w:hAnsi="Calibri"/>
          <w:sz w:val="15"/>
          <w:szCs w:val="15"/>
          <w:i w:val="1"/>
          <w:iCs w:val="1"/>
          <w:color w:val="auto"/>
        </w:rPr>
        <w:t>Marketplace Cost of Revenue</w:t>
      </w:r>
    </w:p>
    <w:p>
      <w:pPr>
        <w:spacing w:after="0" w:line="185" w:lineRule="exact"/>
        <w:rPr>
          <w:sz w:val="20"/>
          <w:szCs w:val="20"/>
          <w:color w:val="auto"/>
        </w:rPr>
      </w:pPr>
    </w:p>
    <w:p>
      <w:pPr>
        <w:jc w:val="both"/>
        <w:ind w:firstLine="511"/>
        <w:spacing w:after="0" w:line="307" w:lineRule="auto"/>
        <w:rPr>
          <w:sz w:val="20"/>
          <w:szCs w:val="20"/>
          <w:color w:val="auto"/>
        </w:rPr>
      </w:pPr>
      <w:r>
        <w:rPr>
          <w:rFonts w:ascii="MS PGothic" w:cs="MS PGothic" w:eastAsia="MS PGothic" w:hAnsi="MS PGothic"/>
          <w:sz w:val="15"/>
          <w:szCs w:val="15"/>
          <w:color w:val="auto"/>
        </w:rPr>
        <w:t>Marketplace cost of revenue includes expenses related to supportng and hostng marketplace service oferings. These expenses include personnel and related expenses for the Company's customer support team, including salaries, benefts, incentve compensaton, and stock-based compensaton; third-party service provider expenses such as advertsing, data and hostng expenses; amortzaton of developed technology; amortzaton of capitalized website development; amortzaton of capitalized hostng arrangements; and allocated overhead expenses. The Company allocates overhead expenses, such as rent and facility expenses, informaton technology expense, and employee beneft expense, to all departments based on headcount. As such, general overhead expenses are refected in cost of revenue and each operatng expense category.</w:t>
      </w:r>
    </w:p>
    <w:p>
      <w:pPr>
        <w:spacing w:after="0" w:line="145" w:lineRule="exact"/>
        <w:rPr>
          <w:sz w:val="20"/>
          <w:szCs w:val="20"/>
          <w:color w:val="auto"/>
        </w:rPr>
      </w:pPr>
    </w:p>
    <w:p>
      <w:pPr>
        <w:jc w:val="center"/>
        <w:spacing w:after="0"/>
        <w:rPr>
          <w:sz w:val="20"/>
          <w:szCs w:val="20"/>
          <w:color w:val="auto"/>
        </w:rPr>
      </w:pPr>
      <w:r>
        <w:rPr>
          <w:rFonts w:ascii="MS PGothic" w:cs="MS PGothic" w:eastAsia="MS PGothic" w:hAnsi="MS PGothic"/>
          <w:sz w:val="15"/>
          <w:szCs w:val="15"/>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422275</wp:posOffset>
            </wp:positionV>
            <wp:extent cx="7178040" cy="4000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3" w:right="319" w:bottom="1440" w:gutter="0" w:footer="0" w:header="0"/>
        </w:sectPr>
      </w:pPr>
    </w:p>
    <w:bookmarkStart w:id="104" w:name="page105"/>
    <w:bookmarkEnd w:id="104"/>
    <w:p>
      <w:pPr>
        <w:spacing w:after="0"/>
        <w:rPr>
          <w:sz w:val="20"/>
          <w:szCs w:val="20"/>
          <w:color w:val="auto"/>
        </w:rPr>
      </w:pPr>
      <w:r>
        <w:rPr>
          <w:rFonts w:ascii="Calibri" w:cs="Calibri" w:eastAsia="Calibri" w:hAnsi="Calibri"/>
          <w:sz w:val="15"/>
          <w:szCs w:val="15"/>
          <w:i w:val="1"/>
          <w:iCs w:val="1"/>
          <w:color w:val="auto"/>
        </w:rPr>
        <w:t>Wholesale Cost of Revenue</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Wholesale cost of revenue includes expenses related to supportng and hostng Digital Wholesale service oferings, including Dealer-to-Dealer transactons and vehicles sold to dealers acquired at other marketplaces on the CarOfer Matrix. These expenses include vehicle transportaton and inspecton expenses; net losses on vehicles related to guarantees ofered to dealers through Dealer-to-Dealer transactons; personnel and related expenses for employees directly involved in the fulfllment and support of transactons, including salaries, benefts, incentve compensaton, and stock-based compensaton; third-party service provider expenses; amortzaton of developed technology; amortzaton of capitalized website development; and allocated overhead expenses. The Company allocates overhead expenses, such as rent and facility expenses, informaton technology expense, and employee beneft expense, to all departments based on headcount. As such, general overhead expenses are refected in cost of revenue and each operatng expense category.</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i w:val="1"/>
          <w:iCs w:val="1"/>
          <w:color w:val="auto"/>
        </w:rPr>
        <w:t>Product Cost of Revenue</w:t>
      </w:r>
    </w:p>
    <w:p>
      <w:pPr>
        <w:spacing w:after="0" w:line="185" w:lineRule="exact"/>
        <w:rPr>
          <w:sz w:val="20"/>
          <w:szCs w:val="20"/>
          <w:color w:val="auto"/>
        </w:rPr>
      </w:pPr>
    </w:p>
    <w:p>
      <w:pPr>
        <w:jc w:val="both"/>
        <w:ind w:right="20" w:firstLine="511"/>
        <w:spacing w:after="0" w:line="241" w:lineRule="auto"/>
        <w:rPr>
          <w:sz w:val="20"/>
          <w:szCs w:val="20"/>
          <w:color w:val="auto"/>
        </w:rPr>
      </w:pPr>
      <w:r>
        <w:rPr>
          <w:rFonts w:ascii="Calibri" w:cs="Calibri" w:eastAsia="Calibri" w:hAnsi="Calibri"/>
          <w:sz w:val="15"/>
          <w:szCs w:val="15"/>
          <w:color w:val="auto"/>
        </w:rPr>
        <w:t>Product cost of revenue includes expenses related to vehicles sold to dealers through IMCO transactons and vehicles sold to dealers acquired through arbitraton. These expenses include the cost of the vehicle and transportaton expenses.</w:t>
      </w:r>
    </w:p>
    <w:p>
      <w:pPr>
        <w:spacing w:after="0" w:line="184" w:lineRule="exact"/>
        <w:rPr>
          <w:sz w:val="20"/>
          <w:szCs w:val="20"/>
          <w:color w:val="auto"/>
        </w:rPr>
      </w:pPr>
    </w:p>
    <w:p>
      <w:pPr>
        <w:spacing w:after="0"/>
        <w:rPr>
          <w:sz w:val="20"/>
          <w:szCs w:val="20"/>
          <w:color w:val="auto"/>
        </w:rPr>
      </w:pPr>
      <w:r>
        <w:rPr>
          <w:rFonts w:ascii="Calibri" w:cs="Calibri" w:eastAsia="Calibri" w:hAnsi="Calibri"/>
          <w:sz w:val="15"/>
          <w:szCs w:val="15"/>
          <w:b w:val="1"/>
          <w:bCs w:val="1"/>
          <w:i w:val="1"/>
          <w:iCs w:val="1"/>
          <w:color w:val="auto"/>
        </w:rPr>
        <w:t>Guarantees and Indemnifcaton Obligatons</w:t>
      </w:r>
    </w:p>
    <w:p>
      <w:pPr>
        <w:spacing w:after="0" w:line="93" w:lineRule="exact"/>
        <w:rPr>
          <w:sz w:val="20"/>
          <w:szCs w:val="20"/>
          <w:color w:val="auto"/>
        </w:rPr>
      </w:pPr>
    </w:p>
    <w:p>
      <w:pPr>
        <w:jc w:val="both"/>
        <w:ind w:right="20" w:firstLine="511"/>
        <w:spacing w:after="0" w:line="241" w:lineRule="auto"/>
        <w:rPr>
          <w:sz w:val="20"/>
          <w:szCs w:val="20"/>
          <w:color w:val="auto"/>
        </w:rPr>
      </w:pPr>
      <w:r>
        <w:rPr>
          <w:rFonts w:ascii="Calibri" w:cs="Calibri" w:eastAsia="Calibri" w:hAnsi="Calibri"/>
          <w:sz w:val="15"/>
          <w:szCs w:val="15"/>
          <w:color w:val="auto"/>
        </w:rPr>
        <w:t>In the ordinary course of business, the Company enters into agreements with its customers, partners, and service providers that include commercial provisions with respect to licensing, infringement, guarantees, indemnifcaton, and other common provisions.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The Company provides certain guarantees to dealers through products such as its 45-Day Guarantee and OferGuard service oferings on the CarOfer platorm, which are accounted for under ASC 460.</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45-Day Guarantee is an arrangement through which a selling dealer lists a car on the CarOfer platorm, and the Company provides an ofer to purchase the vehicle listed at a specifed price at any tme over a 45-day period. This provides the seller with a put opton, where they have the right, but not the obligaton, to require the Company to purchase the vehicle during this window. OferGuard is an arrangement through which a buying dealer purchases a car on the CarOfer platorm, and the Company provides an ofer to purchase the vehicle at a specifed price between days 1 and 3, and days 42 and 45 if the dealer is not able to sell the vehicle afer 42 days.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A guarantee liability is initally measured using the amount of consideraton received from the dealer for the purchase of the guarantee. The inital liability is released, and guarantee income is recognized, upon the earliest of the following: the vehicle sells during the guarantee period, the seller exercises its put opton during the guarantee period, or the opton expires unexercised at the end of the guarantee period. Guarantee income is recognized within wholesale revenue in the consolidated income statements. When it is probable and reasonably estmable that the Company will incur a loss on a vehicle that it is required to purchase, a liability and a corresponding charge to wholesale cost of revenue is recognized for the amount of the loss in the consolidated balance sheets and the consolidated income statements. Gains and losses resultng from the dealers exercise of guarantees are recognized within wholesale cost of revenue, as appropriate, in the consolidated income statements.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For the years ended December 31, 2023, 2022, and 2021, income for guarantees purchased by dealers was $1,890, $10,026, and $5,537, respectvely. For the years ended December 31, 2023 and 2022, the losses, net of gains recognized within cost of revenue in the consolidated income statements resultng from the dealers' exercise of guarantees were $417 and $4,568, respectvely. For the year ended December 31, 2021, the net loss resultng from the dealers' exercise of guarantees was immaterial.</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As of December 31, 2023, the maximum potental amount of future payments that the Company could be required to make under these guarantees was $10,158. Of the maximum potental amount of future payments, the losses that are probable are not material. As such, as of December 31, 2023, the Company had no material contngent loss liabilites.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As of December 31, 2022, the maximum potental amount of future payments that the Company could be required to make under these guarantees was $31,056. Of the maximum potental amount of future payments, the losses that are probable are not material. As such, as of December 31, 2022, the Company had no material contngent loss liabilites.</w:t>
      </w:r>
    </w:p>
    <w:p>
      <w:pPr>
        <w:spacing w:after="0" w:line="184" w:lineRule="exact"/>
        <w:rPr>
          <w:sz w:val="20"/>
          <w:szCs w:val="20"/>
          <w:color w:val="auto"/>
        </w:rPr>
      </w:pPr>
    </w:p>
    <w:p>
      <w:pPr>
        <w:jc w:val="center"/>
        <w:spacing w:after="0"/>
        <w:rPr>
          <w:sz w:val="20"/>
          <w:szCs w:val="20"/>
          <w:color w:val="auto"/>
        </w:rPr>
      </w:pPr>
      <w:r>
        <w:rPr>
          <w:rFonts w:ascii="Calibri" w:cs="Calibri" w:eastAsia="Calibri" w:hAnsi="Calibri"/>
          <w:sz w:val="15"/>
          <w:szCs w:val="15"/>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401320</wp:posOffset>
            </wp:positionV>
            <wp:extent cx="7178040" cy="4000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3" w:right="319" w:bottom="1440" w:gutter="0" w:footer="0" w:header="0"/>
        </w:sectPr>
      </w:pPr>
    </w:p>
    <w:bookmarkStart w:id="105" w:name="page106"/>
    <w:bookmarkEnd w:id="105"/>
    <w:p>
      <w:pPr>
        <w:jc w:val="both"/>
        <w:ind w:firstLine="511"/>
        <w:spacing w:after="0" w:line="320" w:lineRule="auto"/>
        <w:rPr>
          <w:sz w:val="20"/>
          <w:szCs w:val="20"/>
          <w:color w:val="auto"/>
        </w:rPr>
      </w:pPr>
      <w:r>
        <w:rPr>
          <w:rFonts w:ascii="MS PGothic" w:cs="MS PGothic" w:eastAsia="MS PGothic" w:hAnsi="MS PGothic"/>
          <w:sz w:val="15"/>
          <w:szCs w:val="15"/>
          <w:color w:val="auto"/>
        </w:rPr>
        <w:t>As of December 31, 2021, the maximum potental amount of future payments that the Company could be required to make under these guarantees was $76,075. Of the maximum potental amount of future payments, none were considered probable. The exercise of guarantees has historically been infrequent and even when such exercises did occur, the losses were not material. As such, as of December 31, 2021, the Company had no contngent loss liabilites.</w:t>
      </w:r>
    </w:p>
    <w:p>
      <w:pPr>
        <w:spacing w:after="0" w:line="136" w:lineRule="exact"/>
        <w:rPr>
          <w:sz w:val="20"/>
          <w:szCs w:val="20"/>
          <w:color w:val="auto"/>
        </w:rPr>
      </w:pPr>
    </w:p>
    <w:p>
      <w:pPr>
        <w:spacing w:after="0"/>
        <w:rPr>
          <w:sz w:val="20"/>
          <w:szCs w:val="20"/>
          <w:color w:val="auto"/>
        </w:rPr>
      </w:pPr>
      <w:r>
        <w:rPr>
          <w:rFonts w:ascii="MS PGothic" w:cs="MS PGothic" w:eastAsia="MS PGothic" w:hAnsi="MS PGothic"/>
          <w:sz w:val="15"/>
          <w:szCs w:val="15"/>
          <w:b w:val="1"/>
          <w:bCs w:val="1"/>
          <w:i w:val="1"/>
          <w:iCs w:val="1"/>
          <w:color w:val="auto"/>
        </w:rPr>
        <w:t>Stock‑Based Compensaton</w:t>
      </w:r>
    </w:p>
    <w:p>
      <w:pPr>
        <w:spacing w:after="0" w:line="218" w:lineRule="exact"/>
        <w:rPr>
          <w:sz w:val="20"/>
          <w:szCs w:val="20"/>
          <w:color w:val="auto"/>
        </w:rPr>
      </w:pPr>
    </w:p>
    <w:p>
      <w:pPr>
        <w:ind w:left="500"/>
        <w:spacing w:after="0"/>
        <w:rPr>
          <w:sz w:val="20"/>
          <w:szCs w:val="20"/>
          <w:color w:val="auto"/>
        </w:rPr>
      </w:pPr>
      <w:r>
        <w:rPr>
          <w:rFonts w:ascii="MS PGothic" w:cs="MS PGothic" w:eastAsia="MS PGothic" w:hAnsi="MS PGothic"/>
          <w:sz w:val="15"/>
          <w:szCs w:val="15"/>
          <w:color w:val="auto"/>
        </w:rPr>
        <w:t>For stock‑based awards granted under the Company’s stock‑based compensaton plans, the fair value of each award is determined on the date of grant.</w:t>
      </w:r>
    </w:p>
    <w:p>
      <w:pPr>
        <w:spacing w:after="0" w:line="218" w:lineRule="exact"/>
        <w:rPr>
          <w:sz w:val="20"/>
          <w:szCs w:val="20"/>
          <w:color w:val="auto"/>
        </w:rPr>
      </w:pPr>
    </w:p>
    <w:p>
      <w:pPr>
        <w:jc w:val="both"/>
        <w:ind w:right="20" w:firstLine="511"/>
        <w:spacing w:after="0" w:line="320" w:lineRule="auto"/>
        <w:rPr>
          <w:sz w:val="20"/>
          <w:szCs w:val="20"/>
          <w:color w:val="auto"/>
        </w:rPr>
      </w:pPr>
      <w:r>
        <w:rPr>
          <w:rFonts w:ascii="MS PGothic" w:cs="MS PGothic" w:eastAsia="MS PGothic" w:hAnsi="MS PGothic"/>
          <w:sz w:val="15"/>
          <w:szCs w:val="15"/>
          <w:color w:val="auto"/>
        </w:rPr>
        <w:t>For restricted stock units (“RSUs”) granted subject to service-based vestng conditons, the fair value is determined on the date of grant using the closing price of the Company’s Class A common stock, par value $0.001 per share (the “Class A common stock”), as reported on the Nasdaq Global Select Market. RSUs granted subject to service-based vestng conditons generally vest over a four-year requisite service period.</w:t>
      </w:r>
    </w:p>
    <w:p>
      <w:pPr>
        <w:spacing w:after="0" w:line="136" w:lineRule="exact"/>
        <w:rPr>
          <w:sz w:val="20"/>
          <w:szCs w:val="20"/>
          <w:color w:val="auto"/>
        </w:rPr>
      </w:pPr>
    </w:p>
    <w:p>
      <w:pPr>
        <w:jc w:val="both"/>
        <w:ind w:firstLine="511"/>
        <w:spacing w:after="0" w:line="307" w:lineRule="auto"/>
        <w:rPr>
          <w:sz w:val="20"/>
          <w:szCs w:val="20"/>
          <w:color w:val="auto"/>
        </w:rPr>
      </w:pPr>
      <w:r>
        <w:rPr>
          <w:rFonts w:ascii="MS PGothic" w:cs="MS PGothic" w:eastAsia="MS PGothic" w:hAnsi="MS PGothic"/>
          <w:sz w:val="15"/>
          <w:szCs w:val="15"/>
          <w:color w:val="auto"/>
        </w:rPr>
        <w:t>For RSUs granted subject to market-based vestng conditons, the fair value is determined on the date of grant using the Monte Carlo simulaton latce model. The determinaton of the fair value using this model is afected by the Company's stock price performance relatve to the companies listed on the S&amp;P 500, and a number of assumptons including volatlity, correlaton coefcient, risk-free interest rate, and expected dividends. RSUs previously granted subject to market-based vestng conditons vest upon achievement of specifed levels of market conditons. During the year ended December 31, 2022, the Company modifed its market-based performance awards to contain only service-based vestng conditons in line with the Company's other RSU awards. As a result, there were no market-based RSUs outstanding as of December 31, 2023 or December 31, 2022.</w:t>
      </w:r>
    </w:p>
    <w:p>
      <w:pPr>
        <w:spacing w:after="0" w:line="145" w:lineRule="exact"/>
        <w:rPr>
          <w:sz w:val="20"/>
          <w:szCs w:val="20"/>
          <w:color w:val="auto"/>
        </w:rPr>
      </w:pPr>
    </w:p>
    <w:p>
      <w:pPr>
        <w:jc w:val="both"/>
        <w:ind w:firstLine="511"/>
        <w:spacing w:after="0" w:line="340" w:lineRule="auto"/>
        <w:rPr>
          <w:sz w:val="20"/>
          <w:szCs w:val="20"/>
          <w:color w:val="auto"/>
        </w:rPr>
      </w:pPr>
      <w:r>
        <w:rPr>
          <w:rFonts w:ascii="MS PGothic" w:cs="MS PGothic" w:eastAsia="MS PGothic" w:hAnsi="MS PGothic"/>
          <w:sz w:val="14"/>
          <w:szCs w:val="14"/>
          <w:color w:val="auto"/>
        </w:rPr>
        <w:t>For stock optons granted, the fair value is determined on the date of grant using the Black‑Scholes opton‑pricing model. The determinaton of the fair value is afected by the Company’s stock price and a number of assumptons including expected dividend yield, expected volatlity, risk-free interest rate, and expected term. For expected volatlity, the Company uses a blended volatlity to combine the historical volatlity of trading with the volatlity for a peer group of companies as the Company does not have historical stock prices for a period that is at least equal to the expected term. Stock optons granted generally have a term of ten years from the date of grant and generally vest over a four-year requisite service period.</w:t>
      </w:r>
    </w:p>
    <w:p>
      <w:pPr>
        <w:spacing w:after="0" w:line="127" w:lineRule="exact"/>
        <w:rPr>
          <w:sz w:val="20"/>
          <w:szCs w:val="20"/>
          <w:color w:val="auto"/>
        </w:rPr>
      </w:pPr>
    </w:p>
    <w:p>
      <w:pPr>
        <w:ind w:left="500"/>
        <w:spacing w:after="0"/>
        <w:rPr>
          <w:sz w:val="20"/>
          <w:szCs w:val="20"/>
          <w:color w:val="auto"/>
        </w:rPr>
      </w:pPr>
      <w:r>
        <w:rPr>
          <w:rFonts w:ascii="MS PGothic" w:cs="MS PGothic" w:eastAsia="MS PGothic" w:hAnsi="MS PGothic"/>
          <w:sz w:val="15"/>
          <w:szCs w:val="15"/>
          <w:color w:val="auto"/>
        </w:rPr>
        <w:t>There were no optons granted during the year ended December 31, 2023.</w:t>
      </w:r>
    </w:p>
    <w:p>
      <w:pPr>
        <w:spacing w:after="0" w:line="218" w:lineRule="exact"/>
        <w:rPr>
          <w:sz w:val="20"/>
          <w:szCs w:val="20"/>
          <w:color w:val="auto"/>
        </w:rPr>
      </w:pPr>
    </w:p>
    <w:p>
      <w:pPr>
        <w:ind w:left="500"/>
        <w:spacing w:after="0"/>
        <w:rPr>
          <w:sz w:val="20"/>
          <w:szCs w:val="20"/>
          <w:color w:val="auto"/>
        </w:rPr>
      </w:pPr>
      <w:r>
        <w:rPr>
          <w:rFonts w:ascii="MS PGothic" w:cs="MS PGothic" w:eastAsia="MS PGothic" w:hAnsi="MS PGothic"/>
          <w:sz w:val="15"/>
          <w:szCs w:val="15"/>
          <w:color w:val="auto"/>
        </w:rPr>
        <w:t>The weighted average assumptons utlized to determine the fair value of optons granted during the year ended December 31, 2022 and 2021, are as follows:</w:t>
      </w:r>
    </w:p>
    <w:p>
      <w:pPr>
        <w:sectPr>
          <w:pgSz w:w="11900" w:h="16838" w:orient="portrait"/>
          <w:cols w:equalWidth="0" w:num="1">
            <w:col w:w="11260"/>
          </w:cols>
          <w:pgMar w:left="320" w:top="1133" w:right="319" w:bottom="1440" w:gutter="0" w:footer="0" w:header="0"/>
        </w:sectPr>
      </w:pPr>
    </w:p>
    <w:p>
      <w:pPr>
        <w:spacing w:after="0" w:line="327" w:lineRule="exact"/>
        <w:rPr>
          <w:sz w:val="20"/>
          <w:szCs w:val="20"/>
          <w:color w:val="auto"/>
        </w:rPr>
      </w:pPr>
    </w:p>
    <w:p>
      <w:pPr>
        <w:jc w:val="center"/>
        <w:ind w:left="7560"/>
        <w:spacing w:after="0"/>
        <w:rPr>
          <w:sz w:val="20"/>
          <w:szCs w:val="20"/>
          <w:color w:val="auto"/>
        </w:rPr>
      </w:pPr>
      <w:r>
        <w:rPr>
          <w:rFonts w:ascii="Calibri" w:cs="Calibri" w:eastAsia="Calibri" w:hAnsi="Calibri"/>
          <w:sz w:val="12"/>
          <w:szCs w:val="12"/>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4758690</wp:posOffset>
            </wp:positionH>
            <wp:positionV relativeFrom="paragraph">
              <wp:posOffset>17780</wp:posOffset>
            </wp:positionV>
            <wp:extent cx="913130" cy="762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913130" cy="7620"/>
                    </a:xfrm>
                    <a:prstGeom prst="rect">
                      <a:avLst/>
                    </a:prstGeom>
                    <a:noFill/>
                  </pic:spPr>
                </pic:pic>
              </a:graphicData>
            </a:graphic>
          </wp:anchor>
        </w:drawing>
      </w:r>
    </w:p>
    <w:p>
      <w:pPr>
        <w:spacing w:after="0" w:line="18" w:lineRule="exact"/>
        <w:rPr>
          <w:sz w:val="20"/>
          <w:szCs w:val="20"/>
          <w:color w:val="auto"/>
        </w:rPr>
      </w:pPr>
    </w:p>
    <w:p>
      <w:pPr>
        <w:jc w:val="center"/>
        <w:ind w:left="7560"/>
        <w:spacing w:after="0"/>
        <w:rPr>
          <w:sz w:val="20"/>
          <w:szCs w:val="20"/>
          <w:color w:val="auto"/>
        </w:rPr>
      </w:pPr>
      <w:r>
        <w:rPr>
          <w:rFonts w:ascii="Calibri" w:cs="Calibri" w:eastAsia="Calibri" w:hAnsi="Calibri"/>
          <w:sz w:val="12"/>
          <w:szCs w:val="12"/>
          <w:b w:val="1"/>
          <w:bCs w:val="1"/>
          <w:color w:val="auto"/>
        </w:rPr>
        <w:t>2022</w:t>
      </w:r>
    </w:p>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jc w:val="center"/>
        <w:ind w:right="720"/>
        <w:spacing w:after="0"/>
        <w:rPr>
          <w:sz w:val="20"/>
          <w:szCs w:val="20"/>
          <w:color w:val="auto"/>
        </w:rPr>
      </w:pPr>
      <w:r>
        <w:rPr>
          <w:rFonts w:ascii="Calibri" w:cs="Calibri" w:eastAsia="Calibri" w:hAnsi="Calibri"/>
          <w:sz w:val="12"/>
          <w:szCs w:val="12"/>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17780</wp:posOffset>
            </wp:positionV>
            <wp:extent cx="898525" cy="762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98525" cy="7620"/>
                    </a:xfrm>
                    <a:prstGeom prst="rect">
                      <a:avLst/>
                    </a:prstGeom>
                    <a:noFill/>
                  </pic:spPr>
                </pic:pic>
              </a:graphicData>
            </a:graphic>
          </wp:anchor>
        </w:drawing>
      </w:r>
    </w:p>
    <w:p>
      <w:pPr>
        <w:spacing w:after="0" w:line="18" w:lineRule="exact"/>
        <w:rPr>
          <w:sz w:val="20"/>
          <w:szCs w:val="20"/>
          <w:color w:val="auto"/>
        </w:rPr>
      </w:pPr>
    </w:p>
    <w:p>
      <w:pPr>
        <w:jc w:val="center"/>
        <w:ind w:right="720"/>
        <w:spacing w:after="0"/>
        <w:rPr>
          <w:sz w:val="20"/>
          <w:szCs w:val="20"/>
          <w:color w:val="auto"/>
        </w:rPr>
      </w:pPr>
      <w:r>
        <w:rPr>
          <w:rFonts w:ascii="Calibri" w:cs="Calibri" w:eastAsia="Calibri" w:hAnsi="Calibri"/>
          <w:sz w:val="12"/>
          <w:szCs w:val="12"/>
          <w:b w:val="1"/>
          <w:bCs w:val="1"/>
          <w:color w:val="auto"/>
        </w:rPr>
        <w:t>2021</w:t>
      </w:r>
    </w:p>
    <w:p>
      <w:pPr>
        <w:spacing w:after="0" w:line="8" w:lineRule="exact"/>
        <w:rPr>
          <w:sz w:val="20"/>
          <w:szCs w:val="20"/>
          <w:color w:val="auto"/>
        </w:rPr>
      </w:pPr>
    </w:p>
    <w:p>
      <w:pPr>
        <w:sectPr>
          <w:pgSz w:w="11900" w:h="16838" w:orient="portrait"/>
          <w:cols w:equalWidth="0" w:num="2">
            <w:col w:w="8860" w:space="380"/>
            <w:col w:w="2020"/>
          </w:cols>
          <w:pgMar w:left="320" w:top="1133" w:right="319" w:bottom="1440" w:gutter="0" w:footer="0" w:header="0"/>
          <w:type w:val="continuous"/>
        </w:sectPr>
      </w:pPr>
    </w:p>
    <w:tbl>
      <w:tblPr>
        <w:tblLayout w:type="fixed"/>
        <w:tblInd w:w="560" w:type="dxa"/>
        <w:tblCellMar>
          <w:top w:w="0" w:type="dxa"/>
          <w:left w:w="0" w:type="dxa"/>
          <w:bottom w:w="0" w:type="dxa"/>
          <w:right w:w="0" w:type="dxa"/>
        </w:tblCellMar>
      </w:tblPr>
      <w:tr>
        <w:trPr>
          <w:trHeight w:val="199"/>
        </w:trPr>
        <w:tc>
          <w:tcPr>
            <w:tcW w:w="6940" w:type="dxa"/>
            <w:vAlign w:val="bottom"/>
            <w:tcBorders>
              <w:bottom w:val="single" w:sz="8" w:color="CFF0FC"/>
            </w:tcBorders>
            <w:shd w:val="clear" w:color="auto" w:fill="CFF0FC"/>
          </w:tcPr>
          <w:p>
            <w:pPr>
              <w:spacing w:after="0"/>
              <w:rPr>
                <w:sz w:val="20"/>
                <w:szCs w:val="20"/>
                <w:color w:val="auto"/>
              </w:rPr>
            </w:pPr>
            <w:r>
              <w:rPr>
                <w:rFonts w:ascii="MS PGothic" w:cs="MS PGothic" w:eastAsia="MS PGothic" w:hAnsi="MS PGothic"/>
                <w:sz w:val="15"/>
                <w:szCs w:val="15"/>
                <w:color w:val="auto"/>
              </w:rPr>
              <w:t>Expected dividend yield</w:t>
            </w:r>
          </w:p>
        </w:tc>
        <w:tc>
          <w:tcPr>
            <w:tcW w:w="144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MS PGothic" w:cs="MS PGothic" w:eastAsia="MS PGothic" w:hAnsi="MS PGothic"/>
                <w:sz w:val="15"/>
                <w:szCs w:val="15"/>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142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MS PGothic" w:cs="MS PGothic" w:eastAsia="MS PGothic" w:hAnsi="MS PGothic"/>
                <w:sz w:val="15"/>
                <w:szCs w:val="15"/>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183"/>
        </w:trPr>
        <w:tc>
          <w:tcPr>
            <w:tcW w:w="6940" w:type="dxa"/>
            <w:vAlign w:val="bottom"/>
          </w:tcPr>
          <w:p>
            <w:pPr>
              <w:spacing w:after="0"/>
              <w:rPr>
                <w:sz w:val="20"/>
                <w:szCs w:val="20"/>
                <w:color w:val="auto"/>
              </w:rPr>
            </w:pPr>
            <w:r>
              <w:rPr>
                <w:rFonts w:ascii="MS PGothic" w:cs="MS PGothic" w:eastAsia="MS PGothic" w:hAnsi="MS PGothic"/>
                <w:sz w:val="15"/>
                <w:szCs w:val="15"/>
                <w:color w:val="auto"/>
              </w:rPr>
              <w:t>Expected volatlity</w:t>
            </w:r>
          </w:p>
        </w:tc>
        <w:tc>
          <w:tcPr>
            <w:tcW w:w="1680" w:type="dxa"/>
            <w:vAlign w:val="bottom"/>
            <w:gridSpan w:val="2"/>
          </w:tcPr>
          <w:p>
            <w:pPr>
              <w:jc w:val="right"/>
              <w:ind w:right="120"/>
              <w:spacing w:after="0"/>
              <w:rPr>
                <w:sz w:val="20"/>
                <w:szCs w:val="20"/>
                <w:color w:val="auto"/>
              </w:rPr>
            </w:pPr>
            <w:r>
              <w:rPr>
                <w:rFonts w:ascii="MS PGothic" w:cs="MS PGothic" w:eastAsia="MS PGothic" w:hAnsi="MS PGothic"/>
                <w:sz w:val="15"/>
                <w:szCs w:val="15"/>
                <w:color w:val="auto"/>
              </w:rPr>
              <w:t>48.03 %</w:t>
            </w:r>
          </w:p>
        </w:tc>
        <w:tc>
          <w:tcPr>
            <w:tcW w:w="1540" w:type="dxa"/>
            <w:vAlign w:val="bottom"/>
            <w:gridSpan w:val="3"/>
          </w:tcPr>
          <w:p>
            <w:pPr>
              <w:jc w:val="right"/>
              <w:spacing w:after="0"/>
              <w:rPr>
                <w:sz w:val="20"/>
                <w:szCs w:val="20"/>
                <w:color w:val="auto"/>
              </w:rPr>
            </w:pPr>
            <w:r>
              <w:rPr>
                <w:rFonts w:ascii="MS PGothic" w:cs="MS PGothic" w:eastAsia="MS PGothic" w:hAnsi="MS PGothic"/>
                <w:sz w:val="15"/>
                <w:szCs w:val="15"/>
                <w:color w:val="auto"/>
              </w:rPr>
              <w:t>50.95 %</w:t>
            </w:r>
          </w:p>
        </w:tc>
      </w:tr>
      <w:tr>
        <w:trPr>
          <w:trHeight w:val="200"/>
        </w:trPr>
        <w:tc>
          <w:tcPr>
            <w:tcW w:w="6940" w:type="dxa"/>
            <w:vAlign w:val="bottom"/>
          </w:tcPr>
          <w:p>
            <w:pPr>
              <w:spacing w:after="0"/>
              <w:rPr>
                <w:sz w:val="20"/>
                <w:szCs w:val="20"/>
                <w:color w:val="auto"/>
              </w:rPr>
            </w:pPr>
            <w:r>
              <w:rPr>
                <w:rFonts w:ascii="MS PGothic" w:cs="MS PGothic" w:eastAsia="MS PGothic" w:hAnsi="MS PGothic"/>
                <w:sz w:val="15"/>
                <w:szCs w:val="15"/>
                <w:color w:val="auto"/>
              </w:rPr>
              <w:t>Risk–free interest rate</w:t>
            </w:r>
          </w:p>
        </w:tc>
        <w:tc>
          <w:tcPr>
            <w:tcW w:w="1680" w:type="dxa"/>
            <w:vAlign w:val="bottom"/>
            <w:gridSpan w:val="2"/>
          </w:tcPr>
          <w:p>
            <w:pPr>
              <w:jc w:val="right"/>
              <w:ind w:right="120"/>
              <w:spacing w:after="0"/>
              <w:rPr>
                <w:sz w:val="20"/>
                <w:szCs w:val="20"/>
                <w:color w:val="auto"/>
              </w:rPr>
            </w:pPr>
            <w:r>
              <w:rPr>
                <w:rFonts w:ascii="MS PGothic" w:cs="MS PGothic" w:eastAsia="MS PGothic" w:hAnsi="MS PGothic"/>
                <w:sz w:val="15"/>
                <w:szCs w:val="15"/>
                <w:color w:val="auto"/>
              </w:rPr>
              <w:t>1.47 %</w:t>
            </w:r>
          </w:p>
        </w:tc>
        <w:tc>
          <w:tcPr>
            <w:tcW w:w="1540" w:type="dxa"/>
            <w:vAlign w:val="bottom"/>
            <w:gridSpan w:val="3"/>
          </w:tcPr>
          <w:p>
            <w:pPr>
              <w:jc w:val="right"/>
              <w:spacing w:after="0"/>
              <w:rPr>
                <w:sz w:val="20"/>
                <w:szCs w:val="20"/>
                <w:color w:val="auto"/>
              </w:rPr>
            </w:pPr>
            <w:r>
              <w:rPr>
                <w:rFonts w:ascii="MS PGothic" w:cs="MS PGothic" w:eastAsia="MS PGothic" w:hAnsi="MS PGothic"/>
                <w:sz w:val="15"/>
                <w:szCs w:val="15"/>
                <w:color w:val="auto"/>
              </w:rPr>
              <w:t>0.69 %</w:t>
            </w:r>
          </w:p>
        </w:tc>
      </w:tr>
      <w:tr>
        <w:trPr>
          <w:trHeight w:val="207"/>
        </w:trPr>
        <w:tc>
          <w:tcPr>
            <w:tcW w:w="6940" w:type="dxa"/>
            <w:vAlign w:val="bottom"/>
          </w:tcPr>
          <w:p>
            <w:pPr>
              <w:spacing w:after="0"/>
              <w:rPr>
                <w:sz w:val="20"/>
                <w:szCs w:val="20"/>
                <w:color w:val="auto"/>
              </w:rPr>
            </w:pPr>
            <w:r>
              <w:rPr>
                <w:rFonts w:ascii="MS PGothic" w:cs="MS PGothic" w:eastAsia="MS PGothic" w:hAnsi="MS PGothic"/>
                <w:sz w:val="15"/>
                <w:szCs w:val="15"/>
                <w:color w:val="auto"/>
              </w:rPr>
              <w:t>Expected term (in years)</w:t>
            </w:r>
          </w:p>
        </w:tc>
        <w:tc>
          <w:tcPr>
            <w:tcW w:w="1440" w:type="dxa"/>
            <w:vAlign w:val="bottom"/>
          </w:tcPr>
          <w:p>
            <w:pPr>
              <w:jc w:val="right"/>
              <w:spacing w:after="0"/>
              <w:rPr>
                <w:sz w:val="20"/>
                <w:szCs w:val="20"/>
                <w:color w:val="auto"/>
              </w:rPr>
            </w:pPr>
            <w:r>
              <w:rPr>
                <w:rFonts w:ascii="MS PGothic" w:cs="MS PGothic" w:eastAsia="MS PGothic" w:hAnsi="MS PGothic"/>
                <w:sz w:val="15"/>
                <w:szCs w:val="15"/>
                <w:color w:val="auto"/>
              </w:rPr>
              <w:t>6.11</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MS PGothic" w:cs="MS PGothic" w:eastAsia="MS PGothic" w:hAnsi="MS PGothic"/>
                <w:sz w:val="15"/>
                <w:szCs w:val="15"/>
                <w:color w:val="auto"/>
              </w:rPr>
              <w:t>6.06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-242570</wp:posOffset>
            </wp:positionV>
            <wp:extent cx="6436360" cy="1314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436360" cy="131445"/>
                    </a:xfrm>
                    <a:prstGeom prst="rect">
                      <a:avLst/>
                    </a:prstGeom>
                    <a:noFill/>
                  </pic:spPr>
                </pic:pic>
              </a:graphicData>
            </a:graphic>
          </wp:anchor>
        </w:drawing>
      </w:r>
    </w:p>
    <w:p>
      <w:pPr>
        <w:spacing w:after="0" w:line="177" w:lineRule="exact"/>
        <w:rPr>
          <w:sz w:val="20"/>
          <w:szCs w:val="20"/>
          <w:color w:val="auto"/>
        </w:rPr>
      </w:pPr>
    </w:p>
    <w:p>
      <w:pPr>
        <w:jc w:val="both"/>
        <w:ind w:firstLine="511"/>
        <w:spacing w:after="0" w:line="320" w:lineRule="auto"/>
        <w:rPr>
          <w:sz w:val="20"/>
          <w:szCs w:val="20"/>
          <w:color w:val="auto"/>
        </w:rPr>
      </w:pPr>
      <w:r>
        <w:rPr>
          <w:rFonts w:ascii="MS PGothic" w:cs="MS PGothic" w:eastAsia="MS PGothic" w:hAnsi="MS PGothic"/>
          <w:sz w:val="15"/>
          <w:szCs w:val="15"/>
          <w:color w:val="auto"/>
        </w:rPr>
        <w:t>On January 14, 2021, the Company acquired a 51% interest in CarOfer (the "2021 CarOfer Transacton") pursuant to the terms of a Membership Interest Purchase Agreement (the “2021 Purchase Agreement”) dated as of December 9, 2020 (the “2021 Agreement Date”), as amended, by and among the Company, CarOfer, CarOfer Investors Holding, LLC (“TopCo”), each of the Members of TopCo (each a “Member” and collectvely, the “Members”), and Bruce T. Thompson, an individual residing in Texas.</w:t>
      </w:r>
    </w:p>
    <w:p>
      <w:pPr>
        <w:spacing w:after="0" w:line="136" w:lineRule="exact"/>
        <w:rPr>
          <w:sz w:val="20"/>
          <w:szCs w:val="20"/>
          <w:color w:val="auto"/>
        </w:rPr>
      </w:pPr>
    </w:p>
    <w:p>
      <w:pPr>
        <w:jc w:val="center"/>
        <w:spacing w:after="0"/>
        <w:rPr>
          <w:sz w:val="20"/>
          <w:szCs w:val="20"/>
          <w:color w:val="auto"/>
        </w:rPr>
      </w:pPr>
      <w:r>
        <w:rPr>
          <w:rFonts w:ascii="MS PGothic" w:cs="MS PGothic" w:eastAsia="MS PGothic" w:hAnsi="MS PGothic"/>
          <w:sz w:val="15"/>
          <w:szCs w:val="15"/>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422275</wp:posOffset>
            </wp:positionV>
            <wp:extent cx="7178040" cy="4000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3" w:right="319" w:bottom="1440" w:gutter="0" w:footer="0" w:header="0"/>
          <w:type w:val="continuous"/>
        </w:sectPr>
      </w:pPr>
    </w:p>
    <w:bookmarkStart w:id="106" w:name="page107"/>
    <w:bookmarkEnd w:id="106"/>
    <w:p>
      <w:pPr>
        <w:jc w:val="both"/>
        <w:ind w:firstLine="511"/>
        <w:spacing w:after="0" w:line="241" w:lineRule="auto"/>
        <w:rPr>
          <w:sz w:val="20"/>
          <w:szCs w:val="20"/>
          <w:color w:val="auto"/>
        </w:rPr>
      </w:pPr>
      <w:r>
        <w:rPr>
          <w:rFonts w:ascii="Calibri" w:cs="Calibri" w:eastAsia="Calibri" w:hAnsi="Calibri"/>
          <w:sz w:val="15"/>
          <w:szCs w:val="15"/>
          <w:color w:val="auto"/>
        </w:rPr>
        <w:t>Upon consummaton of the transactons contemplated by the 2021 Purchase Agreement (the “2021 Closing”), the Company acquired a 51% interest in CarOfer for an aggregate consideraton of $173,155 (the “2021 Total Consideraton”), such 2021 Total Consideraton consistng of (a) shares of Class A common stock in the aggregate amount of $103,645 (the “2021 Stock Consideraton”) and (b) $69,510 in cash (the “2021 Cash Consideraton”). The number of shares of Class A common stock issued following the 2021 Closing in connecton with the 2021 Stock Consideraton was 3,115,282, which was calculated by reference to a value of $22.51 per share, which equals the volume-weighted average closing price per share of Class A common stock on the Nasdaq Global Select Market for the 28 consecutve trading days ending on the third Business Day (as defned in the 2021 Purchase Agreement) preceding the 2021 Agreement Date. Pursuant to the 2021 Purchase Agreement, the remaining equity in CarOfer (the “Remaining Equity”) was retained by the then-current equity holders of CarOfer and subject to certain call and put arrangements discussed below.</w:t>
      </w:r>
    </w:p>
    <w:p>
      <w:pPr>
        <w:spacing w:after="0" w:line="186"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Pursuant to the 2021 Purchase Agreement, the Company established a retenton pool in an aggregate amount of $8,000 in the form of RSUs to be issued pursuant to the Company’s standard form of RSU agreement under the Company’s Omnibus Incentve Compensaton Plan (the "2017 Plan"), (i) $6,000 of which was granted to certain CarOfer employees following the 2021 Closing in accordance with the terms of the 2021 Purchase Agreement and (ii) $2,000 of which is available for issuance to future CarOfer employees in accordance with the terms of the 2021 Purchase Agreement. RSUs issued from the retenton pool will be subject to vestng based on rendering of future services.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In additon, the Company, TopCo, each Member, and CarOfer MidCo, LLC entered into the Second Amended and Restated Limited Liability Company Agreement, dated as of December 9, 2020 (the “2020 CarOfer Operatng Agreement”), pursuant to which, among other maters, the Company secured the right to appoint a majority of the members of the Board of Managers of CarOfer, other rights customary for a transacton of this nature, and the put and call rights described below. On November 23, 2021, the 2020 CarOfer Operatng Agreement was amended and restated for administratve purposes, including principally to recapitalize certain of the membership units thereunder without changing overall consideraton payable by the Company thereunder (the “2021 CarOfer Operatng Agreement”).</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In the second half of 2022, the Company had a call right (the “2022 Call Right”), exercisable in its sole discreton, to acquire a porton of the Remaining Equity representng up to twenty-fve percent (25%) of the fully diluted capitalizaton of CarOfer (such acquired Remaining Equity, the “2022 Acquired Remaining Equity”) at an implied CarOfer value (the “2022 Call Right Value”) of seven (7) tmes CarOfer’s trailing twelve months gross proft as of June 30, 2022 (calculated in accordance with the defned terms and subject to the adjustments set forth in the 2021 CarOfer Operatng Agreement, included as Exhibit 10.27 to the Annual Report on Form 10-K for the year ended December 31, 2021, fled on February 25, 2022). During the year ended December 31, 2022, the Company determined not to exercise the 2022 Call Right.</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Prior to the 2023 CarOfer Transacton, in the second half of 2024, (a) the Company had a call right (the “2024 Call Right”), exercisable in its sole discreton, to acquire all, and not less than all, of the Remaining Equity that it had not yet acquired pursuant to the 2022 Call Right and the 2021 Closing, at the greater of (i) (x) one hundred million dollars ($100,000,000), and (y) the 2022 Call Right Value, whichever was less, and (ii) an implied CarOfer value of twelve (12) tmes CarOfer’s trailing twelve months EBITDA as of June 30, 2024 (in each case calculated in accordance with the defned terms and subject to the adjustments set forth in the 2021 CarOfer Operatng Agreement), and (b) the representatve of the holders of the Remaining Equity had a put right (the “2024 Put Right”), exercisable in his, her or their sole discreton, to have the holders of the Remaining Equity sell to the Company, all, and not less than all, of the Remaining Equity at an implied CarOfer value of twelve (12) tmes CarOfer’s trailing twelve months EBITDA as of June 30, 2024 (calculated in accordance with the defned terms and subject to the adjustments set forth in the 2021 CarOfer Operatng Agreement). In connecton with the 2023 CarOfer Transacton, as defned in Note 4 of these consolidated fnancial statements, the 2024 Call Right and the 2024 Put Right were terminated.</w:t>
      </w:r>
    </w:p>
    <w:p>
      <w:pPr>
        <w:spacing w:after="0" w:line="186"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The foregoing summary of the 2021 Purchase Agreement, the 2021 CarOfer Operatng Agreement, and the transactons contemplated thereby does not purport to be complete and is subject to, and qualifed in its entrety by, the full text of the 2021 Purchase Agreement and the 2021 CarOfer Operatng Agreement, which are included as Exhibit 2.1 to the Annual Report on Form 10-K for the year ended December 31, 2020, fled on February 21, 2021, and Exhibit 10.27 to the Annual Report on Form 10-K for the year ended December 31, 2021, fled on February 25, 2022, respectvely.</w:t>
      </w:r>
    </w:p>
    <w:p>
      <w:pPr>
        <w:spacing w:after="0" w:line="185" w:lineRule="exact"/>
        <w:rPr>
          <w:sz w:val="20"/>
          <w:szCs w:val="20"/>
          <w:color w:val="auto"/>
        </w:rPr>
      </w:pPr>
    </w:p>
    <w:p>
      <w:pPr>
        <w:jc w:val="center"/>
        <w:spacing w:after="0"/>
        <w:rPr>
          <w:sz w:val="20"/>
          <w:szCs w:val="20"/>
          <w:color w:val="auto"/>
        </w:rPr>
      </w:pPr>
      <w:r>
        <w:rPr>
          <w:rFonts w:ascii="Calibri" w:cs="Calibri" w:eastAsia="Calibri" w:hAnsi="Calibri"/>
          <w:sz w:val="15"/>
          <w:szCs w:val="15"/>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401320</wp:posOffset>
            </wp:positionV>
            <wp:extent cx="7178040" cy="4000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4" w:right="319" w:bottom="1440" w:gutter="0" w:footer="0" w:header="0"/>
        </w:sectPr>
      </w:pPr>
    </w:p>
    <w:bookmarkStart w:id="107" w:name="page108"/>
    <w:bookmarkEnd w:id="107"/>
    <w:p>
      <w:pPr>
        <w:jc w:val="both"/>
        <w:ind w:right="20" w:firstLine="511"/>
        <w:spacing w:after="0" w:line="241" w:lineRule="auto"/>
        <w:rPr>
          <w:sz w:val="20"/>
          <w:szCs w:val="20"/>
          <w:color w:val="auto"/>
        </w:rPr>
      </w:pPr>
      <w:r>
        <w:rPr>
          <w:rFonts w:ascii="Calibri" w:cs="Calibri" w:eastAsia="Calibri" w:hAnsi="Calibri"/>
          <w:sz w:val="15"/>
          <w:szCs w:val="15"/>
          <w:color w:val="auto"/>
        </w:rPr>
        <w:t>In connecton with the 2021 CarOfer Transacton, the then-outstanding unvested incentve units (“CO Incentve Units”) of CarOfer and unvested Class CO CarOfer units (the "Subject Units”) remained outstanding and will vest over the requisite service periods as discussed below.</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Grants of the CO Incentve Units are subject to the CarOfer 2020 Equity Incentve Plan, adopted efectve November 24, 2020 (the “2020 CO Plan”), the applicable award agreement, and the 2021 CarOfer Operatng Agreement. Following the 2021 CarOfer Transacton, remaining unvested CO Incentve Units will vest over a period of three years, with one-third having vested on each of January 14, 2022, and January 14, 2023, and one-third vestng on January 14, 2024, provided that a grantee’s contnuous service to CarOfer has not terminated on the applicable vestng date. As a result of the 2023 CarOfer Transacton, the vestng on January 14, 2024 was accelerated and the CO Incentve Units were accelerated and redeemed. Under the terms of the grants, vestng of unvested CO Incentve Units is accelerated in the event of (i) a change of control of CarOfer (which, for the avoidance of doubt, does not include the 2021 CarOfer Transacton), (ii) the death or disability of the grantee, (iii) terminaton of the grantee’s employment with CarOfer without cause, or (iv) terminaton of grantee’s employment by the grantee for good reason. Upon terminaton of a grantee’s contnuous service to CarOfer voluntarily by the grantee (other than for good reason) or by CarOfer for cause, all of such grantee’s unvested CO Incentve Units are forfeited. In additon, if a grantee’s contnuous service terminates, then CarOfer has the opton to repurchase any outstanding CO Incentve Units from the grantee.</w:t>
      </w:r>
    </w:p>
    <w:p>
      <w:pPr>
        <w:spacing w:after="0" w:line="186"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In additon to the 2020 CO Plan, on December 9, 2020, CarOfer entered into a Vestng Agreement (the “Vestng Agreement”) regarding the vestng of Subject Units benefcially owned by Bruce Thompson, the founder and CEO of CarOfer, and certain afliated persons (collectvely, the “T5 Holders”) in connecton with the Company’s then-antcipated acquisiton of a 51% interest in CarOfer. Pursuant to the Vestng Agreement, 432,592 Subject Units benefcially owned by the T5 Holders vest in three approximately equal installments, with one-third having vested on each of January 14, 2022, and January 14, 2023, and one third vestng on January 14, 2024, subject to the terms of the Vestng Agreement. As a result of the 2023 CarOfer Transacton, the vestng on January 14, 2024 was accelerated and the Subject Units were accelerated and redeemed. As more partcularly described in the Vestng Agreement, unvested Subject Units are subject to forfeiture in the event that Mr. Thompson’s relatonship with CarOfer terminates other than in the event of a terminaton without cause (as defned in the Vestng Agreement) or due to Mr. Thompson’s death or disability. The Vestng Agreement also provides for acceleraton of any unvested Subject Units in the event of the terminaton of Mr. Thompson’s employment with CarOfer without cause, Mr. Thompson’s death or disability, or the consummaton of an eligible liquidity event (as defned in the Vestng Agreement).</w:t>
      </w:r>
    </w:p>
    <w:p>
      <w:pPr>
        <w:spacing w:after="0" w:line="186"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In connecton with the 2021 Closing, CarOfer reserved 228,571 incentve units (the "2021 Incentve Units") for purposes of establishing an employee incentve equity plan. Thereafer, CarOfer formed CarOfer Incentve Equity, LLC (“CIE”), a Delaware manager-managed limited liability company managed by the Company, and established the CIE 2021 Equity Incentve Plan (the “2021 CO Plan"). The 2021 CO Plan and related documentaton, including the applicable award agreement, a vestng agreement between CarOfer and CIE, and the 2021 CarOfer Operatng Agreement, provide for an incentve equity grant structure whereby 2021 Incentve Units will be granted to CIE and 2021 CO Plan grantees will receive an associated equity interest in CIE (the “CIE Interest”), with back-to-back vestng between the 2021 Incentve Units and the associated CIE Interest. Subject to any modifcatons as may be approved by the CarOfer Board of Managers in its discreton, grants under the 2021 CO Plan will vest over a period of three years from the grant date, one-third each on the frst, second, and third anniversaries of the applicable grant date, provided that a grantee’s contnuous service to CarOfer has not terminated on the applicable grant date. Upon terminaton of a grantee’s contnuous service to CarOfer, all of such grantee’s unvested 2021 Incentve Units are forfeited. As of December 31, 2022 and 2021, there had not been any grants of 2021 Incentve Units under the 2021 CO Plan.</w:t>
      </w:r>
    </w:p>
    <w:p>
      <w:pPr>
        <w:spacing w:after="0" w:line="186" w:lineRule="exact"/>
        <w:rPr>
          <w:sz w:val="20"/>
          <w:szCs w:val="20"/>
          <w:color w:val="auto"/>
        </w:rPr>
      </w:pPr>
    </w:p>
    <w:p>
      <w:pPr>
        <w:jc w:val="center"/>
        <w:spacing w:after="0"/>
        <w:rPr>
          <w:sz w:val="20"/>
          <w:szCs w:val="20"/>
          <w:color w:val="auto"/>
        </w:rPr>
      </w:pPr>
      <w:r>
        <w:rPr>
          <w:rFonts w:ascii="Calibri" w:cs="Calibri" w:eastAsia="Calibri" w:hAnsi="Calibri"/>
          <w:sz w:val="15"/>
          <w:szCs w:val="15"/>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401320</wp:posOffset>
            </wp:positionV>
            <wp:extent cx="7178040" cy="4000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4" w:right="319" w:bottom="1440" w:gutter="0" w:footer="0" w:header="0"/>
        </w:sectPr>
      </w:pPr>
    </w:p>
    <w:bookmarkStart w:id="108" w:name="page109"/>
    <w:bookmarkEnd w:id="108"/>
    <w:p>
      <w:pPr>
        <w:jc w:val="both"/>
        <w:ind w:firstLine="511"/>
        <w:spacing w:after="0" w:line="241" w:lineRule="auto"/>
        <w:rPr>
          <w:sz w:val="20"/>
          <w:szCs w:val="20"/>
          <w:color w:val="auto"/>
        </w:rPr>
      </w:pPr>
      <w:r>
        <w:rPr>
          <w:rFonts w:ascii="Calibri" w:cs="Calibri" w:eastAsia="Calibri" w:hAnsi="Calibri"/>
          <w:sz w:val="15"/>
          <w:szCs w:val="15"/>
          <w:color w:val="auto"/>
        </w:rPr>
        <w:t>CO Incentve Units, Subject Units, and 2021 Incentve Units were liability-classifed awards because the awards could be put to the Company at a formula price such that the holders do not bear the risks and rewards associated with equity ownership. For liability-classifed awards, the fair value was determined on the date of issuance using a Least Square Monte Carlo simulaton model. Liability-classifed awards were remeasured to fair value each period untl setlement. Untl March 31, 2022, the Least Square Monte Carlo simulaton model was used for remeasurement. During the three months ended June 30, 2022, the Company refned its model for determining the fair value of liability-classifed awards as a result of obtaining gross proft actuals through the trailing twelve-months ended June 30, 2022, measurement period for the frst call opton. Since March 31, 2022, the fair value has typically been determined using a Monte Carlo simulaton model. During the year ended December 31, 2022, the Company determined not to exercise the 2022 Call Right. The valuaton of these liability-classifed awards was previously derived from the 2024 Call Right and the 2024 Put Right. The determinaton of the fair value was afected by CarOfer’s equity value, EBITDA, and Excess Parent Capital (as defned in the 2021 CarOfer Operatng Agreement) that drove the exercise price of future call/put rights, as well as a number of assumptons including market price of risk, volatlity, correlaton, and risk-free interest rate. As a result of the EBITDA and Excess Parent Capital projectons for CarOfer as of December 31, 2022, a Monte Carlo simulaton model was not required as of December 31, 2022. As a result of the 2023 CarOfer Transacton, the liability-classifed awards were accelerated and redeemed as of December 31, 2023.</w:t>
      </w:r>
    </w:p>
    <w:p>
      <w:pPr>
        <w:spacing w:after="0" w:line="186"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The Company issues shares of Class A common stock upon the vestng of RSUs and the exercise of stock optons out of its shares available for issuance. During the year ended December 31, 2023, prior to the redempton of all awards in connecton with the 2023 CarOfer Transacton, the Company would issue CO Incentve Units and Subject Units out of CarOfer’s units available for issuance. The Company accounts for forfeitures when they occur.</w:t>
      </w:r>
    </w:p>
    <w:p>
      <w:pPr>
        <w:spacing w:after="0" w:line="185" w:lineRule="exact"/>
        <w:rPr>
          <w:sz w:val="20"/>
          <w:szCs w:val="20"/>
          <w:color w:val="auto"/>
        </w:rPr>
      </w:pPr>
    </w:p>
    <w:p>
      <w:pPr>
        <w:ind w:left="500"/>
        <w:spacing w:after="0"/>
        <w:rPr>
          <w:sz w:val="20"/>
          <w:szCs w:val="20"/>
          <w:color w:val="auto"/>
        </w:rPr>
      </w:pPr>
      <w:r>
        <w:rPr>
          <w:rFonts w:ascii="Calibri" w:cs="Calibri" w:eastAsia="Calibri" w:hAnsi="Calibri"/>
          <w:sz w:val="15"/>
          <w:szCs w:val="15"/>
          <w:color w:val="auto"/>
        </w:rPr>
        <w:t>The Company recognizes compensaton expense on a straight-line basis over the requisite service period.</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The tax efect of diferences between tax deductons related to stock compensaton and the corresponding fnancial statement expense compensaton are recognized as an income tax beneft or expense within the provision for income taxes in the consolidated income statements. The permanent diferences, including excess tax benefts and expenses, are recognized within accrued expenses, accrued income taxes, and other current liabilites in the consolidated balance sheets and classifed as an operatng actvity in the consolidated statements of cash fows. The temporary diferences are recognized within deferred tax assets in the consolidated balance sheets.</w:t>
      </w:r>
    </w:p>
    <w:p>
      <w:pPr>
        <w:spacing w:after="0" w:line="185" w:lineRule="exact"/>
        <w:rPr>
          <w:sz w:val="20"/>
          <w:szCs w:val="20"/>
          <w:color w:val="auto"/>
        </w:rPr>
      </w:pPr>
    </w:p>
    <w:p>
      <w:pPr>
        <w:ind w:left="500"/>
        <w:spacing w:after="0"/>
        <w:rPr>
          <w:sz w:val="20"/>
          <w:szCs w:val="20"/>
          <w:color w:val="auto"/>
        </w:rPr>
      </w:pPr>
      <w:r>
        <w:rPr>
          <w:rFonts w:ascii="Calibri" w:cs="Calibri" w:eastAsia="Calibri" w:hAnsi="Calibri"/>
          <w:sz w:val="15"/>
          <w:szCs w:val="15"/>
          <w:color w:val="auto"/>
        </w:rPr>
        <w:t>For the years ended December 31, 2023, 2022, and 2021, the income tax expense related to stock-based compensaton was $5,500, $4,181, and $1,179, respectvely.</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As of December 31, 2023, 2022, and 2021, the income tax beneft from stock-based compensaton expense, recognized through the Company's deferred tax asset in the consolidated balance sheets, was $5,353, $5,441, and $5,301, respectvely.</w:t>
      </w:r>
    </w:p>
    <w:p>
      <w:pPr>
        <w:spacing w:after="0" w:line="184" w:lineRule="exact"/>
        <w:rPr>
          <w:sz w:val="20"/>
          <w:szCs w:val="20"/>
          <w:color w:val="auto"/>
        </w:rPr>
      </w:pPr>
    </w:p>
    <w:p>
      <w:pPr>
        <w:ind w:left="500"/>
        <w:spacing w:after="0"/>
        <w:rPr>
          <w:sz w:val="20"/>
          <w:szCs w:val="20"/>
          <w:color w:val="auto"/>
        </w:rPr>
      </w:pPr>
      <w:r>
        <w:rPr>
          <w:rFonts w:ascii="Calibri" w:cs="Calibri" w:eastAsia="Calibri" w:hAnsi="Calibri"/>
          <w:sz w:val="15"/>
          <w:szCs w:val="15"/>
          <w:color w:val="auto"/>
        </w:rPr>
        <w:t>See Note 11 of these consolidated fnancial statements for a summary of the stock opton, RSU and CO Incentve Unit actvity for the year ended December 31, 2023.</w:t>
      </w:r>
    </w:p>
    <w:p>
      <w:pPr>
        <w:spacing w:after="0" w:line="185" w:lineRule="exact"/>
        <w:rPr>
          <w:sz w:val="20"/>
          <w:szCs w:val="20"/>
          <w:color w:val="auto"/>
        </w:rPr>
      </w:pPr>
    </w:p>
    <w:p>
      <w:pPr>
        <w:ind w:left="500"/>
        <w:spacing w:after="0"/>
        <w:rPr>
          <w:sz w:val="20"/>
          <w:szCs w:val="20"/>
          <w:color w:val="auto"/>
        </w:rPr>
      </w:pPr>
      <w:r>
        <w:rPr>
          <w:rFonts w:ascii="Calibri" w:cs="Calibri" w:eastAsia="Calibri" w:hAnsi="Calibri"/>
          <w:sz w:val="15"/>
          <w:szCs w:val="15"/>
          <w:i w:val="1"/>
          <w:iCs w:val="1"/>
          <w:color w:val="auto"/>
        </w:rPr>
        <w:t>Common Stock Share Repurchases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Repurchases of the Company's common stock are recognized as a reducton to common stock at par value and the remainder is recognized as a reducton to additonal paid-in capital in the consolidated balance sheets. Repurchases in excess of the par value are recognized as a reducton to retained earnings in the consolidated balance sheets in the event that additonal paid-in capital is reduced to zero.</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If there is a diference between the trade date and the setlement date for shares repurchased as of period end, a liability is recognized within accrued expenses, accrued income taxes and other current liabilites in the consolidated balance sheets.</w:t>
      </w:r>
    </w:p>
    <w:p>
      <w:pPr>
        <w:spacing w:after="0" w:line="184" w:lineRule="exact"/>
        <w:rPr>
          <w:sz w:val="20"/>
          <w:szCs w:val="20"/>
          <w:color w:val="auto"/>
        </w:rPr>
      </w:pPr>
    </w:p>
    <w:p>
      <w:pPr>
        <w:jc w:val="center"/>
        <w:spacing w:after="0"/>
        <w:rPr>
          <w:sz w:val="20"/>
          <w:szCs w:val="20"/>
          <w:color w:val="auto"/>
        </w:rPr>
      </w:pPr>
      <w:r>
        <w:rPr>
          <w:rFonts w:ascii="Calibri" w:cs="Calibri" w:eastAsia="Calibri" w:hAnsi="Calibri"/>
          <w:sz w:val="15"/>
          <w:szCs w:val="15"/>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401320</wp:posOffset>
            </wp:positionV>
            <wp:extent cx="7178040" cy="4000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4" w:right="319" w:bottom="1440" w:gutter="0" w:footer="0" w:header="0"/>
        </w:sectPr>
      </w:pPr>
    </w:p>
    <w:bookmarkStart w:id="109" w:name="page110"/>
    <w:bookmarkEnd w:id="109"/>
    <w:p>
      <w:pPr>
        <w:jc w:val="both"/>
        <w:ind w:firstLine="511"/>
        <w:spacing w:after="0" w:line="312" w:lineRule="auto"/>
        <w:rPr>
          <w:sz w:val="20"/>
          <w:szCs w:val="20"/>
          <w:color w:val="auto"/>
        </w:rPr>
      </w:pPr>
      <w:r>
        <w:rPr>
          <w:rFonts w:ascii="MS PGothic" w:cs="MS PGothic" w:eastAsia="MS PGothic" w:hAnsi="MS PGothic"/>
          <w:sz w:val="15"/>
          <w:szCs w:val="15"/>
          <w:color w:val="auto"/>
        </w:rPr>
        <w:t>As a result of the IRA, efectve on January 1, 2023, the Company is required to pay a 1% excise tax on certain stock repurchases. Based on the Company’s evaluaton, the Company has concluded that the IRA has not had a material impact on its income tax provision and cash taxes. The excise tax is considered a direct and incremental cost of the share repurchase and will be recognized as a reducton to additonal paid-in capital in the consolidated balance sheets. Other direct and incremental costs, such as commissions and legal expenses, are recognized as a reducton to additonal paid-in capital in the consolidated balance sheets.</w:t>
      </w:r>
    </w:p>
    <w:p>
      <w:pPr>
        <w:spacing w:after="0" w:line="152" w:lineRule="exact"/>
        <w:rPr>
          <w:sz w:val="20"/>
          <w:szCs w:val="20"/>
          <w:color w:val="auto"/>
        </w:rPr>
      </w:pPr>
    </w:p>
    <w:p>
      <w:pPr>
        <w:spacing w:after="0"/>
        <w:rPr>
          <w:sz w:val="20"/>
          <w:szCs w:val="20"/>
          <w:color w:val="auto"/>
        </w:rPr>
      </w:pPr>
      <w:r>
        <w:rPr>
          <w:rFonts w:ascii="Calibri" w:cs="Calibri" w:eastAsia="Calibri" w:hAnsi="Calibri"/>
          <w:sz w:val="15"/>
          <w:szCs w:val="15"/>
          <w:b w:val="1"/>
          <w:bCs w:val="1"/>
          <w:i w:val="1"/>
          <w:iCs w:val="1"/>
          <w:color w:val="auto"/>
        </w:rPr>
        <w:t>Advertsing Costs</w:t>
      </w:r>
    </w:p>
    <w:p>
      <w:pPr>
        <w:spacing w:after="0" w:line="185" w:lineRule="exact"/>
        <w:rPr>
          <w:sz w:val="20"/>
          <w:szCs w:val="20"/>
          <w:color w:val="auto"/>
        </w:rPr>
      </w:pPr>
    </w:p>
    <w:p>
      <w:pPr>
        <w:jc w:val="both"/>
        <w:ind w:firstLine="511"/>
        <w:spacing w:after="0" w:line="347" w:lineRule="auto"/>
        <w:rPr>
          <w:sz w:val="20"/>
          <w:szCs w:val="20"/>
          <w:color w:val="auto"/>
        </w:rPr>
      </w:pPr>
      <w:r>
        <w:rPr>
          <w:rFonts w:ascii="MS PGothic" w:cs="MS PGothic" w:eastAsia="MS PGothic" w:hAnsi="MS PGothic"/>
          <w:sz w:val="15"/>
          <w:szCs w:val="15"/>
          <w:color w:val="auto"/>
        </w:rPr>
        <w:t>Advertsing costs are expensed as incurred and recognized within sales and marketng expense in the consolidated income statements. For the years ended December 31, 2023, 2022, and 2021, advertsing expense was $138,782, $156,128, and $151,457, respectvely.</w:t>
      </w:r>
    </w:p>
    <w:p>
      <w:pPr>
        <w:spacing w:after="0" w:line="118" w:lineRule="exact"/>
        <w:rPr>
          <w:sz w:val="20"/>
          <w:szCs w:val="20"/>
          <w:color w:val="auto"/>
        </w:rPr>
      </w:pPr>
    </w:p>
    <w:p>
      <w:pPr>
        <w:spacing w:after="0"/>
        <w:rPr>
          <w:sz w:val="20"/>
          <w:szCs w:val="20"/>
          <w:color w:val="auto"/>
        </w:rPr>
      </w:pPr>
      <w:r>
        <w:rPr>
          <w:rFonts w:ascii="Calibri" w:cs="Calibri" w:eastAsia="Calibri" w:hAnsi="Calibri"/>
          <w:sz w:val="15"/>
          <w:szCs w:val="15"/>
          <w:b w:val="1"/>
          <w:bCs w:val="1"/>
          <w:i w:val="1"/>
          <w:iCs w:val="1"/>
          <w:color w:val="auto"/>
        </w:rPr>
        <w:t>Comprehensive Income</w:t>
      </w:r>
    </w:p>
    <w:p>
      <w:pPr>
        <w:spacing w:after="0" w:line="185" w:lineRule="exact"/>
        <w:rPr>
          <w:sz w:val="20"/>
          <w:szCs w:val="20"/>
          <w:color w:val="auto"/>
        </w:rPr>
      </w:pPr>
    </w:p>
    <w:p>
      <w:pPr>
        <w:jc w:val="both"/>
        <w:ind w:firstLine="511"/>
        <w:spacing w:after="0" w:line="307" w:lineRule="auto"/>
        <w:rPr>
          <w:sz w:val="20"/>
          <w:szCs w:val="20"/>
          <w:color w:val="auto"/>
        </w:rPr>
      </w:pPr>
      <w:r>
        <w:rPr>
          <w:rFonts w:ascii="MS PGothic" w:cs="MS PGothic" w:eastAsia="MS PGothic" w:hAnsi="MS PGothic"/>
          <w:sz w:val="15"/>
          <w:szCs w:val="15"/>
          <w:color w:val="auto"/>
        </w:rPr>
        <w:t>Comprehensive income is defned as the change in stockholders’ equity of a business enterprise during a period from transactons and other events and circumstances from non‑owner sources. Comprehensive income consists of consolidated net income and other comprehensive income (loss), which includes certain changes in equity that are excluded from consolidated net income. Specifcally, cumulatve foreign currency translaton adjustments are included in accumulated other comprehensive (loss) income. As of December 31, 2023 and 2022, accumulated other comprehensive (loss) income is presented separately in the consolidated balance sheets and consists entrely of cumulatve foreign currency translaton adjustments.</w:t>
      </w:r>
    </w:p>
    <w:p>
      <w:pPr>
        <w:spacing w:after="0" w:line="145" w:lineRule="exact"/>
        <w:rPr>
          <w:sz w:val="20"/>
          <w:szCs w:val="20"/>
          <w:color w:val="auto"/>
        </w:rPr>
      </w:pPr>
    </w:p>
    <w:p>
      <w:pPr>
        <w:spacing w:after="0"/>
        <w:rPr>
          <w:sz w:val="20"/>
          <w:szCs w:val="20"/>
          <w:color w:val="auto"/>
        </w:rPr>
      </w:pPr>
      <w:r>
        <w:rPr>
          <w:rFonts w:ascii="Calibri" w:cs="Calibri" w:eastAsia="Calibri" w:hAnsi="Calibri"/>
          <w:sz w:val="15"/>
          <w:szCs w:val="15"/>
          <w:b w:val="1"/>
          <w:bCs w:val="1"/>
          <w:i w:val="1"/>
          <w:iCs w:val="1"/>
          <w:color w:val="auto"/>
        </w:rPr>
        <w:t>Recent Accountng Pronouncements Not Yet Adopted</w:t>
      </w:r>
    </w:p>
    <w:p>
      <w:pPr>
        <w:spacing w:after="0" w:line="185" w:lineRule="exact"/>
        <w:rPr>
          <w:sz w:val="20"/>
          <w:szCs w:val="20"/>
          <w:color w:val="auto"/>
        </w:rPr>
      </w:pPr>
    </w:p>
    <w:p>
      <w:pPr>
        <w:jc w:val="both"/>
        <w:ind w:firstLine="511"/>
        <w:spacing w:after="0" w:line="312" w:lineRule="auto"/>
        <w:rPr>
          <w:sz w:val="20"/>
          <w:szCs w:val="20"/>
          <w:color w:val="auto"/>
        </w:rPr>
      </w:pPr>
      <w:r>
        <w:rPr>
          <w:rFonts w:ascii="MS PGothic" w:cs="MS PGothic" w:eastAsia="MS PGothic" w:hAnsi="MS PGothic"/>
          <w:sz w:val="15"/>
          <w:szCs w:val="15"/>
          <w:color w:val="auto"/>
        </w:rPr>
        <w:t>From tme to tme, new accountng pronouncements are issued by the FASB or other standard-setng bodies and adopted by the Company on or prior to the specifed efectve date. Unless otherwise discussed, the Company believes that the impact of recently issued standards that are not yet efectve will not have a material impact on its fnancial positon or results of operatons upon adopton. As of December 31, 2023, there are no new accountng pronouncements that the Company is considering adoptng, other than those described below.</w:t>
      </w:r>
    </w:p>
    <w:p>
      <w:pPr>
        <w:spacing w:after="0" w:line="140" w:lineRule="exact"/>
        <w:rPr>
          <w:sz w:val="20"/>
          <w:szCs w:val="20"/>
          <w:color w:val="auto"/>
        </w:rPr>
      </w:pPr>
    </w:p>
    <w:p>
      <w:pPr>
        <w:jc w:val="both"/>
        <w:ind w:firstLine="511"/>
        <w:spacing w:after="0" w:line="290" w:lineRule="auto"/>
        <w:rPr>
          <w:sz w:val="20"/>
          <w:szCs w:val="20"/>
          <w:color w:val="auto"/>
        </w:rPr>
      </w:pPr>
      <w:r>
        <w:rPr>
          <w:rFonts w:ascii="MS PGothic" w:cs="MS PGothic" w:eastAsia="MS PGothic" w:hAnsi="MS PGothic"/>
          <w:sz w:val="15"/>
          <w:szCs w:val="15"/>
          <w:color w:val="auto"/>
        </w:rPr>
        <w:t xml:space="preserve">In December 2023 the FASB issued ASU 2023-09, </w:t>
      </w:r>
      <w:r>
        <w:rPr>
          <w:rFonts w:ascii="Calibri" w:cs="Calibri" w:eastAsia="Calibri" w:hAnsi="Calibri"/>
          <w:sz w:val="15"/>
          <w:szCs w:val="15"/>
          <w:i w:val="1"/>
          <w:iCs w:val="1"/>
          <w:color w:val="auto"/>
        </w:rPr>
        <w:t>Income Taxes (Topic 740): Improvements to Income Tax Disclosures</w:t>
      </w:r>
      <w:r>
        <w:rPr>
          <w:rFonts w:ascii="MS PGothic" w:cs="MS PGothic" w:eastAsia="MS PGothic" w:hAnsi="MS PGothic"/>
          <w:sz w:val="15"/>
          <w:szCs w:val="15"/>
          <w:color w:val="auto"/>
        </w:rPr>
        <w:t xml:space="preserve"> ("ASU 2023-09")</w:t>
      </w:r>
      <w:r>
        <w:rPr>
          <w:rFonts w:ascii="Calibri" w:cs="Calibri" w:eastAsia="Calibri" w:hAnsi="Calibri"/>
          <w:sz w:val="15"/>
          <w:szCs w:val="15"/>
          <w:i w:val="1"/>
          <w:iCs w:val="1"/>
          <w:color w:val="auto"/>
        </w:rPr>
        <w:t>.</w:t>
      </w:r>
      <w:r>
        <w:rPr>
          <w:rFonts w:ascii="MS PGothic" w:cs="MS PGothic" w:eastAsia="MS PGothic" w:hAnsi="MS PGothic"/>
          <w:sz w:val="15"/>
          <w:szCs w:val="15"/>
          <w:color w:val="auto"/>
        </w:rPr>
        <w:t xml:space="preserve"> </w:t>
      </w:r>
      <w:r>
        <w:rPr>
          <w:rFonts w:ascii="MS PGothic" w:cs="MS PGothic" w:eastAsia="MS PGothic" w:hAnsi="MS PGothic"/>
          <w:sz w:val="15"/>
          <w:szCs w:val="15"/>
          <w:color w:val="1D1C1D"/>
        </w:rPr>
        <w:t>ASU 2023-09 is intended to enhance the</w:t>
      </w:r>
      <w:r>
        <w:rPr>
          <w:rFonts w:ascii="MS PGothic" w:cs="MS PGothic" w:eastAsia="MS PGothic" w:hAnsi="MS PGothic"/>
          <w:sz w:val="15"/>
          <w:szCs w:val="15"/>
          <w:color w:val="auto"/>
        </w:rPr>
        <w:t xml:space="preserve"> </w:t>
      </w:r>
      <w:r>
        <w:rPr>
          <w:rFonts w:ascii="MS PGothic" w:cs="MS PGothic" w:eastAsia="MS PGothic" w:hAnsi="MS PGothic"/>
          <w:sz w:val="15"/>
          <w:szCs w:val="15"/>
          <w:color w:val="1D1C1D"/>
        </w:rPr>
        <w:t>transparency and decision usefulness of income tax disclosures. ASU 2023-09 addresses investor requests for enhanced income tax informaton primarily through changes to the rate reconciliaton and income taxes paid informaton. Early adopton is permited. A public entty should apply ASU 2023-09 prospectvely to all annual periods beginning afer December 15, 2024. The Company is currently evaluatng the impact of ASU 2023-09 on its future consolidated fnancial statements and related disclosures.</w:t>
      </w:r>
    </w:p>
    <w:p>
      <w:pPr>
        <w:spacing w:after="0" w:line="155" w:lineRule="exact"/>
        <w:rPr>
          <w:sz w:val="20"/>
          <w:szCs w:val="20"/>
          <w:color w:val="auto"/>
        </w:rPr>
      </w:pPr>
    </w:p>
    <w:p>
      <w:pPr>
        <w:jc w:val="both"/>
        <w:ind w:firstLine="511"/>
        <w:spacing w:after="0" w:line="284" w:lineRule="auto"/>
        <w:rPr>
          <w:sz w:val="20"/>
          <w:szCs w:val="20"/>
          <w:color w:val="auto"/>
        </w:rPr>
      </w:pPr>
      <w:r>
        <w:rPr>
          <w:rFonts w:ascii="MS PGothic" w:cs="MS PGothic" w:eastAsia="MS PGothic" w:hAnsi="MS PGothic"/>
          <w:sz w:val="15"/>
          <w:szCs w:val="15"/>
          <w:color w:val="auto"/>
        </w:rPr>
        <w:t xml:space="preserve">In November 2023 the FASB issued ASU 2023-07, </w:t>
      </w:r>
      <w:r>
        <w:rPr>
          <w:rFonts w:ascii="Calibri" w:cs="Calibri" w:eastAsia="Calibri" w:hAnsi="Calibri"/>
          <w:sz w:val="15"/>
          <w:szCs w:val="15"/>
          <w:i w:val="1"/>
          <w:iCs w:val="1"/>
          <w:color w:val="auto"/>
        </w:rPr>
        <w:t>Segment Reportng (Topic 280): Improvements to Reportable Segment Disclosures</w:t>
      </w:r>
      <w:r>
        <w:rPr>
          <w:rFonts w:ascii="MS PGothic" w:cs="MS PGothic" w:eastAsia="MS PGothic" w:hAnsi="MS PGothic"/>
          <w:sz w:val="15"/>
          <w:szCs w:val="15"/>
          <w:color w:val="auto"/>
        </w:rPr>
        <w:t xml:space="preserve"> ("ASU 2023-07"). ASU 2023-07 is intended to enhance disclosures for signifcant segment expenses for all public enttes required to report segment informaton in accordance with ASC Topic 280, </w:t>
      </w:r>
      <w:r>
        <w:rPr>
          <w:rFonts w:ascii="Calibri" w:cs="Calibri" w:eastAsia="Calibri" w:hAnsi="Calibri"/>
          <w:sz w:val="15"/>
          <w:szCs w:val="15"/>
          <w:i w:val="1"/>
          <w:iCs w:val="1"/>
          <w:color w:val="auto"/>
        </w:rPr>
        <w:t>Segment Reportng</w:t>
      </w:r>
      <w:r>
        <w:rPr>
          <w:rFonts w:ascii="MS PGothic" w:cs="MS PGothic" w:eastAsia="MS PGothic" w:hAnsi="MS PGothic"/>
          <w:sz w:val="15"/>
          <w:szCs w:val="15"/>
          <w:color w:val="auto"/>
        </w:rPr>
        <w:t xml:space="preserve"> ("ASC 280"). ASC 280 requires a public entty to report for each reportable segment a measure of segment proft or loss that its chief operatng decision maker (“CODM”) uses to assess segment performance and to make decisions about resource allocatons. ASU 2023-07 is intended to improve fnancial reportng by requiring disclosure of incremental segment informaton on an annual and interim basis for all public enttes to enable investors to develop more useful fnancial analyses. ASU 2023-07 is efectve for fscal years beginning afer December 15, 2023, and interim periods within fscal years beginning afer December 15, 2024. Early adopton is permited. A public entty should apply ASU 2023-07 retrospectvely to all prior periods presented in the consolidated fnancial statements. The Company is currently evaluatng the impact of </w:t>
      </w:r>
      <w:r>
        <w:rPr>
          <w:rFonts w:ascii="MS PGothic" w:cs="MS PGothic" w:eastAsia="MS PGothic" w:hAnsi="MS PGothic"/>
          <w:sz w:val="15"/>
          <w:szCs w:val="15"/>
          <w:color w:val="1D1C1D"/>
        </w:rPr>
        <w:t>ASU 2023-07</w:t>
      </w:r>
      <w:r>
        <w:rPr>
          <w:rFonts w:ascii="MS PGothic" w:cs="MS PGothic" w:eastAsia="MS PGothic" w:hAnsi="MS PGothic"/>
          <w:sz w:val="15"/>
          <w:szCs w:val="15"/>
          <w:color w:val="auto"/>
        </w:rPr>
        <w:t xml:space="preserve"> on its future consolidated fnancial statements and related disclosures.</w:t>
      </w:r>
    </w:p>
    <w:p>
      <w:pPr>
        <w:spacing w:after="0" w:line="158" w:lineRule="exact"/>
        <w:rPr>
          <w:sz w:val="20"/>
          <w:szCs w:val="20"/>
          <w:color w:val="auto"/>
        </w:rPr>
      </w:pPr>
    </w:p>
    <w:p>
      <w:pPr>
        <w:jc w:val="both"/>
        <w:ind w:firstLine="511"/>
        <w:spacing w:after="0" w:line="289" w:lineRule="auto"/>
        <w:rPr>
          <w:sz w:val="20"/>
          <w:szCs w:val="20"/>
          <w:color w:val="auto"/>
        </w:rPr>
      </w:pPr>
      <w:r>
        <w:rPr>
          <w:rFonts w:ascii="MS PGothic" w:cs="MS PGothic" w:eastAsia="MS PGothic" w:hAnsi="MS PGothic"/>
          <w:sz w:val="15"/>
          <w:szCs w:val="15"/>
          <w:color w:val="auto"/>
        </w:rPr>
        <w:t xml:space="preserve">In October 2023 the FASB issued ASU 2023-06, </w:t>
      </w:r>
      <w:r>
        <w:rPr>
          <w:rFonts w:ascii="Calibri" w:cs="Calibri" w:eastAsia="Calibri" w:hAnsi="Calibri"/>
          <w:sz w:val="15"/>
          <w:szCs w:val="15"/>
          <w:i w:val="1"/>
          <w:iCs w:val="1"/>
          <w:color w:val="auto"/>
        </w:rPr>
        <w:t>Disclosure Improvements – Codifcaton Amendments in Response to the SEC's Disclosure Update and Simplifcaton Initatve</w:t>
      </w:r>
      <w:r>
        <w:rPr>
          <w:rFonts w:ascii="MS PGothic" w:cs="MS PGothic" w:eastAsia="MS PGothic" w:hAnsi="MS PGothic"/>
          <w:sz w:val="15"/>
          <w:szCs w:val="15"/>
          <w:color w:val="auto"/>
        </w:rPr>
        <w:t xml:space="preserve"> ("ASU 2023-06"). ASU 2023-06 modifes the disclosure and presentaton requirements for a variety of topics in the FASB ASC. The Company is currently evaluatng the impact of ASU 2023-06 on its future consolidated fnancial statements and related disclosures.</w:t>
      </w:r>
    </w:p>
    <w:p>
      <w:pPr>
        <w:spacing w:after="0" w:line="155" w:lineRule="exact"/>
        <w:rPr>
          <w:sz w:val="20"/>
          <w:szCs w:val="20"/>
          <w:color w:val="auto"/>
        </w:rPr>
      </w:pPr>
    </w:p>
    <w:p>
      <w:pPr>
        <w:jc w:val="center"/>
        <w:spacing w:after="0"/>
        <w:rPr>
          <w:sz w:val="20"/>
          <w:szCs w:val="20"/>
          <w:color w:val="auto"/>
        </w:rPr>
      </w:pPr>
      <w:r>
        <w:rPr>
          <w:rFonts w:ascii="MS PGothic" w:cs="MS PGothic" w:eastAsia="MS PGothic" w:hAnsi="MS PGothic"/>
          <w:sz w:val="15"/>
          <w:szCs w:val="15"/>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429895</wp:posOffset>
            </wp:positionV>
            <wp:extent cx="7178040" cy="4000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3" w:right="319" w:bottom="1440" w:gutter="0" w:footer="0" w:header="0"/>
        </w:sectPr>
      </w:pPr>
    </w:p>
    <w:bookmarkStart w:id="110" w:name="page111"/>
    <w:bookmarkEnd w:id="110"/>
    <w:p>
      <w:pPr>
        <w:spacing w:after="0"/>
        <w:rPr>
          <w:sz w:val="20"/>
          <w:szCs w:val="20"/>
          <w:color w:val="auto"/>
        </w:rPr>
      </w:pPr>
      <w:r>
        <w:rPr>
          <w:rFonts w:ascii="Calibri" w:cs="Calibri" w:eastAsia="Calibri" w:hAnsi="Calibri"/>
          <w:sz w:val="15"/>
          <w:szCs w:val="15"/>
          <w:b w:val="1"/>
          <w:bCs w:val="1"/>
          <w:color w:val="auto"/>
        </w:rPr>
        <w:t>3. Revenue Recogniton</w:t>
      </w:r>
    </w:p>
    <w:p>
      <w:pPr>
        <w:spacing w:after="0" w:line="185" w:lineRule="exact"/>
        <w:rPr>
          <w:sz w:val="20"/>
          <w:szCs w:val="20"/>
          <w:color w:val="auto"/>
        </w:rPr>
      </w:pPr>
    </w:p>
    <w:p>
      <w:pPr>
        <w:ind w:left="500"/>
        <w:spacing w:after="0"/>
        <w:rPr>
          <w:sz w:val="20"/>
          <w:szCs w:val="20"/>
          <w:color w:val="auto"/>
        </w:rPr>
      </w:pPr>
      <w:r>
        <w:rPr>
          <w:rFonts w:ascii="Calibri" w:cs="Calibri" w:eastAsia="Calibri" w:hAnsi="Calibri"/>
          <w:sz w:val="15"/>
          <w:szCs w:val="15"/>
          <w:color w:val="auto"/>
        </w:rPr>
        <w:t>The following table summarizes revenue from contracts with customers by services and products for the year ended December 31, 2023, 2022, and 2021:</w:t>
      </w:r>
    </w:p>
    <w:p>
      <w:pPr>
        <w:spacing w:after="0" w:line="200" w:lineRule="exact"/>
        <w:rPr>
          <w:sz w:val="20"/>
          <w:szCs w:val="20"/>
          <w:color w:val="auto"/>
        </w:rPr>
      </w:pPr>
    </w:p>
    <w:p>
      <w:pPr>
        <w:spacing w:after="0" w:line="209" w:lineRule="exact"/>
        <w:rPr>
          <w:sz w:val="20"/>
          <w:szCs w:val="20"/>
          <w:color w:val="auto"/>
        </w:rPr>
      </w:pPr>
    </w:p>
    <w:tbl>
      <w:tblPr>
        <w:tblLayout w:type="fixed"/>
        <w:tblInd w:w="560" w:type="dxa"/>
        <w:tblCellMar>
          <w:top w:w="0" w:type="dxa"/>
          <w:left w:w="0" w:type="dxa"/>
          <w:bottom w:w="0" w:type="dxa"/>
          <w:right w:w="0" w:type="dxa"/>
        </w:tblCellMar>
      </w:tblPr>
      <w:tr>
        <w:trPr>
          <w:trHeight w:val="146"/>
        </w:trPr>
        <w:tc>
          <w:tcPr>
            <w:tcW w:w="5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700" w:type="dxa"/>
            <w:vAlign w:val="bottom"/>
            <w:gridSpan w:val="4"/>
          </w:tcPr>
          <w:p>
            <w:pPr>
              <w:ind w:left="200"/>
              <w:spacing w:after="0"/>
              <w:rPr>
                <w:sz w:val="20"/>
                <w:szCs w:val="20"/>
                <w:color w:val="auto"/>
              </w:rPr>
            </w:pPr>
            <w:r>
              <w:rPr>
                <w:rFonts w:ascii="Calibri" w:cs="Calibri" w:eastAsia="Calibri" w:hAnsi="Calibri"/>
                <w:sz w:val="12"/>
                <w:szCs w:val="12"/>
                <w:b w:val="1"/>
                <w:bCs w:val="1"/>
                <w:color w:val="auto"/>
              </w:rPr>
              <w:t>Year Ended December 31,</w:t>
            </w: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8"/>
        </w:trPr>
        <w:tc>
          <w:tcPr>
            <w:tcW w:w="59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37"/>
        </w:trPr>
        <w:tc>
          <w:tcPr>
            <w:tcW w:w="59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jc w:val="right"/>
              <w:ind w:right="406"/>
              <w:spacing w:after="0" w:line="138" w:lineRule="exact"/>
              <w:rPr>
                <w:sz w:val="20"/>
                <w:szCs w:val="20"/>
                <w:color w:val="auto"/>
              </w:rPr>
            </w:pPr>
            <w:r>
              <w:rPr>
                <w:rFonts w:ascii="Calibri" w:cs="Calibri" w:eastAsia="Calibri" w:hAnsi="Calibri"/>
                <w:sz w:val="12"/>
                <w:szCs w:val="12"/>
                <w:b w:val="1"/>
                <w:bCs w:val="1"/>
                <w:color w:val="auto"/>
              </w:rPr>
              <w:t>2023</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tcPr>
          <w:p>
            <w:pPr>
              <w:jc w:val="right"/>
              <w:ind w:right="386"/>
              <w:spacing w:after="0" w:line="138" w:lineRule="exact"/>
              <w:rPr>
                <w:sz w:val="20"/>
                <w:szCs w:val="20"/>
                <w:color w:val="auto"/>
              </w:rPr>
            </w:pPr>
            <w:r>
              <w:rPr>
                <w:rFonts w:ascii="Calibri" w:cs="Calibri" w:eastAsia="Calibri" w:hAnsi="Calibri"/>
                <w:sz w:val="12"/>
                <w:szCs w:val="12"/>
                <w:b w:val="1"/>
                <w:bCs w:val="1"/>
                <w:color w:val="auto"/>
              </w:rPr>
              <w:t>2022</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jc w:val="right"/>
              <w:ind w:right="386"/>
              <w:spacing w:after="0" w:line="138" w:lineRule="exact"/>
              <w:rPr>
                <w:sz w:val="20"/>
                <w:szCs w:val="20"/>
                <w:color w:val="auto"/>
              </w:rPr>
            </w:pPr>
            <w:r>
              <w:rPr>
                <w:rFonts w:ascii="Calibri" w:cs="Calibri" w:eastAsia="Calibri" w:hAnsi="Calibri"/>
                <w:sz w:val="12"/>
                <w:szCs w:val="12"/>
                <w:b w:val="1"/>
                <w:bCs w:val="1"/>
                <w:color w:val="auto"/>
              </w:rPr>
              <w:t>2021</w:t>
            </w:r>
          </w:p>
        </w:tc>
        <w:tc>
          <w:tcPr>
            <w:tcW w:w="100" w:type="dxa"/>
            <w:vAlign w:val="bottom"/>
          </w:tcPr>
          <w:p>
            <w:pPr>
              <w:spacing w:after="0"/>
              <w:rPr>
                <w:sz w:val="11"/>
                <w:szCs w:val="11"/>
                <w:color w:val="auto"/>
              </w:rPr>
            </w:pPr>
          </w:p>
        </w:tc>
      </w:tr>
      <w:tr>
        <w:trPr>
          <w:trHeight w:val="27"/>
        </w:trPr>
        <w:tc>
          <w:tcPr>
            <w:tcW w:w="59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79"/>
        </w:trPr>
        <w:tc>
          <w:tcPr>
            <w:tcW w:w="5960" w:type="dxa"/>
            <w:vAlign w:val="bottom"/>
            <w:tcBorders>
              <w:bottom w:val="single" w:sz="8" w:color="CFF0FC"/>
            </w:tcBorders>
            <w:shd w:val="clear" w:color="auto" w:fill="CFF0FC"/>
          </w:tcPr>
          <w:p>
            <w:pPr>
              <w:ind w:left="120"/>
              <w:spacing w:after="0" w:line="174" w:lineRule="exact"/>
              <w:rPr>
                <w:sz w:val="20"/>
                <w:szCs w:val="20"/>
                <w:color w:val="auto"/>
              </w:rPr>
            </w:pPr>
            <w:r>
              <w:rPr>
                <w:rFonts w:ascii="Calibri" w:cs="Calibri" w:eastAsia="Calibri" w:hAnsi="Calibri"/>
                <w:sz w:val="15"/>
                <w:szCs w:val="15"/>
                <w:color w:val="auto"/>
              </w:rPr>
              <w:t>Marketplace</w:t>
            </w:r>
          </w:p>
        </w:tc>
        <w:tc>
          <w:tcPr>
            <w:tcW w:w="280" w:type="dxa"/>
            <w:vAlign w:val="bottom"/>
            <w:tcBorders>
              <w:bottom w:val="single" w:sz="8" w:color="CFF0FC"/>
            </w:tcBorders>
            <w:shd w:val="clear" w:color="auto" w:fill="CFF0FC"/>
          </w:tcPr>
          <w:p>
            <w:pPr>
              <w:jc w:val="right"/>
              <w:ind w:right="103"/>
              <w:spacing w:after="0" w:line="174" w:lineRule="exact"/>
              <w:rPr>
                <w:sz w:val="20"/>
                <w:szCs w:val="20"/>
                <w:color w:val="auto"/>
              </w:rPr>
            </w:pPr>
            <w:r>
              <w:rPr>
                <w:rFonts w:ascii="Calibri" w:cs="Calibri" w:eastAsia="Calibri" w:hAnsi="Calibri"/>
                <w:sz w:val="15"/>
                <w:szCs w:val="15"/>
                <w:color w:val="auto"/>
              </w:rPr>
              <w:t>$</w:t>
            </w:r>
          </w:p>
        </w:tc>
        <w:tc>
          <w:tcPr>
            <w:tcW w:w="920" w:type="dxa"/>
            <w:vAlign w:val="bottom"/>
            <w:tcBorders>
              <w:bottom w:val="single" w:sz="8" w:color="CFF0FC"/>
            </w:tcBorders>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698,236</w:t>
            </w:r>
          </w:p>
        </w:tc>
        <w:tc>
          <w:tcPr>
            <w:tcW w:w="560" w:type="dxa"/>
            <w:vAlign w:val="bottom"/>
            <w:tcBorders>
              <w:bottom w:val="single" w:sz="8" w:color="CFF0FC"/>
            </w:tcBorders>
            <w:gridSpan w:val="2"/>
            <w:shd w:val="clear" w:color="auto" w:fill="CFF0FC"/>
          </w:tcPr>
          <w:p>
            <w:pPr>
              <w:jc w:val="right"/>
              <w:ind w:right="200"/>
              <w:spacing w:after="0" w:line="174" w:lineRule="exact"/>
              <w:rPr>
                <w:sz w:val="20"/>
                <w:szCs w:val="20"/>
                <w:color w:val="auto"/>
              </w:rPr>
            </w:pPr>
            <w:r>
              <w:rPr>
                <w:rFonts w:ascii="Calibri" w:cs="Calibri" w:eastAsia="Calibri" w:hAnsi="Calibri"/>
                <w:sz w:val="15"/>
                <w:szCs w:val="15"/>
                <w:color w:val="auto"/>
              </w:rPr>
              <w:t>$</w:t>
            </w:r>
          </w:p>
        </w:tc>
        <w:tc>
          <w:tcPr>
            <w:tcW w:w="900" w:type="dxa"/>
            <w:vAlign w:val="bottom"/>
            <w:tcBorders>
              <w:bottom w:val="single" w:sz="8" w:color="CFF0FC"/>
            </w:tcBorders>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658,771</w:t>
            </w:r>
          </w:p>
        </w:tc>
        <w:tc>
          <w:tcPr>
            <w:tcW w:w="24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jc w:val="right"/>
              <w:ind w:right="103"/>
              <w:spacing w:after="0" w:line="174" w:lineRule="exact"/>
              <w:rPr>
                <w:sz w:val="20"/>
                <w:szCs w:val="20"/>
                <w:color w:val="auto"/>
              </w:rPr>
            </w:pPr>
            <w:r>
              <w:rPr>
                <w:rFonts w:ascii="Calibri" w:cs="Calibri" w:eastAsia="Calibri" w:hAnsi="Calibri"/>
                <w:sz w:val="15"/>
                <w:szCs w:val="15"/>
                <w:color w:val="auto"/>
              </w:rPr>
              <w:t>$</w:t>
            </w:r>
          </w:p>
        </w:tc>
        <w:tc>
          <w:tcPr>
            <w:tcW w:w="900" w:type="dxa"/>
            <w:vAlign w:val="bottom"/>
            <w:tcBorders>
              <w:bottom w:val="single" w:sz="8" w:color="CFF0FC"/>
            </w:tcBorders>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636,942</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83"/>
        </w:trPr>
        <w:tc>
          <w:tcPr>
            <w:tcW w:w="5960" w:type="dxa"/>
            <w:vAlign w:val="bottom"/>
          </w:tcPr>
          <w:p>
            <w:pPr>
              <w:ind w:left="120"/>
              <w:spacing w:after="0"/>
              <w:rPr>
                <w:sz w:val="20"/>
                <w:szCs w:val="20"/>
                <w:color w:val="auto"/>
              </w:rPr>
            </w:pPr>
            <w:r>
              <w:rPr>
                <w:rFonts w:ascii="Calibri" w:cs="Calibri" w:eastAsia="Calibri" w:hAnsi="Calibri"/>
                <w:sz w:val="15"/>
                <w:szCs w:val="15"/>
                <w:color w:val="auto"/>
              </w:rPr>
              <w:t>Dealer-to-Dealer</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alibri" w:cs="Calibri" w:eastAsia="Calibri" w:hAnsi="Calibri"/>
                <w:sz w:val="15"/>
                <w:szCs w:val="15"/>
                <w:color w:val="auto"/>
              </w:rPr>
              <w:t>109,802</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alibri" w:cs="Calibri" w:eastAsia="Calibri" w:hAnsi="Calibri"/>
                <w:sz w:val="15"/>
                <w:szCs w:val="15"/>
                <w:color w:val="auto"/>
              </w:rPr>
              <w:t>320,119</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alibri" w:cs="Calibri" w:eastAsia="Calibri" w:hAnsi="Calibri"/>
                <w:sz w:val="15"/>
                <w:szCs w:val="15"/>
                <w:color w:val="auto"/>
              </w:rPr>
              <w:t>224,831</w:t>
            </w:r>
          </w:p>
        </w:tc>
        <w:tc>
          <w:tcPr>
            <w:tcW w:w="100" w:type="dxa"/>
            <w:vAlign w:val="bottom"/>
          </w:tcPr>
          <w:p>
            <w:pPr>
              <w:spacing w:after="0"/>
              <w:rPr>
                <w:sz w:val="15"/>
                <w:szCs w:val="15"/>
                <w:color w:val="auto"/>
              </w:rPr>
            </w:pPr>
          </w:p>
        </w:tc>
      </w:tr>
      <w:tr>
        <w:trPr>
          <w:trHeight w:val="24"/>
        </w:trPr>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9"/>
        </w:trPr>
        <w:tc>
          <w:tcPr>
            <w:tcW w:w="5960" w:type="dxa"/>
            <w:vAlign w:val="bottom"/>
            <w:tcBorders>
              <w:bottom w:val="single" w:sz="8" w:color="CFF0FC"/>
            </w:tcBorders>
            <w:shd w:val="clear" w:color="auto" w:fill="CFF0FC"/>
          </w:tcPr>
          <w:p>
            <w:pPr>
              <w:ind w:left="120"/>
              <w:spacing w:after="0"/>
              <w:rPr>
                <w:sz w:val="20"/>
                <w:szCs w:val="20"/>
                <w:color w:val="auto"/>
              </w:rPr>
            </w:pPr>
            <w:r>
              <w:rPr>
                <w:rFonts w:ascii="Calibri" w:cs="Calibri" w:eastAsia="Calibri" w:hAnsi="Calibri"/>
                <w:sz w:val="15"/>
                <w:szCs w:val="15"/>
                <w:color w:val="auto"/>
              </w:rPr>
              <w:t>Instant Max Cash Ofer</w:t>
            </w:r>
          </w:p>
        </w:tc>
        <w:tc>
          <w:tcPr>
            <w:tcW w:w="2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5"/>
                <w:szCs w:val="15"/>
                <w:color w:val="auto"/>
              </w:rPr>
              <w:t>106,204</w:t>
            </w:r>
          </w:p>
        </w:tc>
        <w:tc>
          <w:tcPr>
            <w:tcW w:w="2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5"/>
                <w:szCs w:val="15"/>
                <w:color w:val="auto"/>
              </w:rPr>
              <w:t>676,145</w:t>
            </w:r>
          </w:p>
        </w:tc>
        <w:tc>
          <w:tcPr>
            <w:tcW w:w="2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5"/>
                <w:szCs w:val="15"/>
                <w:color w:val="auto"/>
              </w:rPr>
              <w:t>89,600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07"/>
        </w:trPr>
        <w:tc>
          <w:tcPr>
            <w:tcW w:w="5960" w:type="dxa"/>
            <w:vAlign w:val="bottom"/>
          </w:tcPr>
          <w:p>
            <w:pPr>
              <w:ind w:left="200"/>
              <w:spacing w:after="0"/>
              <w:rPr>
                <w:sz w:val="20"/>
                <w:szCs w:val="20"/>
                <w:color w:val="auto"/>
              </w:rPr>
            </w:pPr>
            <w:r>
              <w:rPr>
                <w:rFonts w:ascii="Calibri" w:cs="Calibri" w:eastAsia="Calibri" w:hAnsi="Calibri"/>
                <w:sz w:val="15"/>
                <w:szCs w:val="15"/>
                <w:color w:val="auto"/>
              </w:rPr>
              <w:t>Total</w:t>
            </w:r>
          </w:p>
        </w:tc>
        <w:tc>
          <w:tcPr>
            <w:tcW w:w="280" w:type="dxa"/>
            <w:vAlign w:val="bottom"/>
          </w:tcPr>
          <w:p>
            <w:pPr>
              <w:jc w:val="right"/>
              <w:ind w:right="103"/>
              <w:spacing w:after="0"/>
              <w:rPr>
                <w:sz w:val="20"/>
                <w:szCs w:val="20"/>
                <w:color w:val="auto"/>
              </w:rPr>
            </w:pPr>
            <w:r>
              <w:rPr>
                <w:rFonts w:ascii="Calibri" w:cs="Calibri" w:eastAsia="Calibri" w:hAnsi="Calibri"/>
                <w:sz w:val="15"/>
                <w:szCs w:val="15"/>
                <w:color w:val="auto"/>
              </w:rPr>
              <w:t>$</w:t>
            </w:r>
          </w:p>
        </w:tc>
        <w:tc>
          <w:tcPr>
            <w:tcW w:w="920" w:type="dxa"/>
            <w:vAlign w:val="bottom"/>
          </w:tcPr>
          <w:p>
            <w:pPr>
              <w:jc w:val="right"/>
              <w:spacing w:after="0"/>
              <w:rPr>
                <w:sz w:val="20"/>
                <w:szCs w:val="20"/>
                <w:color w:val="auto"/>
              </w:rPr>
            </w:pPr>
            <w:r>
              <w:rPr>
                <w:rFonts w:ascii="Calibri" w:cs="Calibri" w:eastAsia="Calibri" w:hAnsi="Calibri"/>
                <w:sz w:val="15"/>
                <w:szCs w:val="15"/>
                <w:color w:val="auto"/>
              </w:rPr>
              <w:t>914,242</w:t>
            </w:r>
          </w:p>
        </w:tc>
        <w:tc>
          <w:tcPr>
            <w:tcW w:w="560" w:type="dxa"/>
            <w:vAlign w:val="bottom"/>
            <w:gridSpan w:val="2"/>
          </w:tcPr>
          <w:p>
            <w:pPr>
              <w:jc w:val="right"/>
              <w:ind w:right="200"/>
              <w:spacing w:after="0"/>
              <w:rPr>
                <w:sz w:val="20"/>
                <w:szCs w:val="20"/>
                <w:color w:val="auto"/>
              </w:rPr>
            </w:pPr>
            <w:r>
              <w:rPr>
                <w:rFonts w:ascii="Calibri" w:cs="Calibri" w:eastAsia="Calibri" w:hAnsi="Calibri"/>
                <w:sz w:val="15"/>
                <w:szCs w:val="15"/>
                <w:color w:val="auto"/>
              </w:rPr>
              <w:t>$</w:t>
            </w:r>
          </w:p>
        </w:tc>
        <w:tc>
          <w:tcPr>
            <w:tcW w:w="900" w:type="dxa"/>
            <w:vAlign w:val="bottom"/>
          </w:tcPr>
          <w:p>
            <w:pPr>
              <w:jc w:val="right"/>
              <w:spacing w:after="0"/>
              <w:rPr>
                <w:sz w:val="20"/>
                <w:szCs w:val="20"/>
                <w:color w:val="auto"/>
              </w:rPr>
            </w:pPr>
            <w:r>
              <w:rPr>
                <w:rFonts w:ascii="Calibri" w:cs="Calibri" w:eastAsia="Calibri" w:hAnsi="Calibri"/>
                <w:sz w:val="15"/>
                <w:szCs w:val="15"/>
                <w:color w:val="auto"/>
              </w:rPr>
              <w:t>1,655,035</w:t>
            </w:r>
          </w:p>
        </w:tc>
        <w:tc>
          <w:tcPr>
            <w:tcW w:w="240" w:type="dxa"/>
            <w:vAlign w:val="bottom"/>
          </w:tcPr>
          <w:p>
            <w:pPr>
              <w:spacing w:after="0"/>
              <w:rPr>
                <w:sz w:val="18"/>
                <w:szCs w:val="18"/>
                <w:color w:val="auto"/>
              </w:rPr>
            </w:pPr>
          </w:p>
        </w:tc>
        <w:tc>
          <w:tcPr>
            <w:tcW w:w="280" w:type="dxa"/>
            <w:vAlign w:val="bottom"/>
          </w:tcPr>
          <w:p>
            <w:pPr>
              <w:jc w:val="right"/>
              <w:ind w:right="103"/>
              <w:spacing w:after="0"/>
              <w:rPr>
                <w:sz w:val="20"/>
                <w:szCs w:val="20"/>
                <w:color w:val="auto"/>
              </w:rPr>
            </w:pPr>
            <w:r>
              <w:rPr>
                <w:rFonts w:ascii="Calibri" w:cs="Calibri" w:eastAsia="Calibri" w:hAnsi="Calibri"/>
                <w:sz w:val="15"/>
                <w:szCs w:val="15"/>
                <w:color w:val="auto"/>
              </w:rPr>
              <w:t>$</w:t>
            </w:r>
          </w:p>
        </w:tc>
        <w:tc>
          <w:tcPr>
            <w:tcW w:w="900" w:type="dxa"/>
            <w:vAlign w:val="bottom"/>
          </w:tcPr>
          <w:p>
            <w:pPr>
              <w:jc w:val="right"/>
              <w:spacing w:after="0"/>
              <w:rPr>
                <w:sz w:val="20"/>
                <w:szCs w:val="20"/>
                <w:color w:val="auto"/>
              </w:rPr>
            </w:pPr>
            <w:r>
              <w:rPr>
                <w:rFonts w:ascii="Calibri" w:cs="Calibri" w:eastAsia="Calibri" w:hAnsi="Calibri"/>
                <w:sz w:val="15"/>
                <w:szCs w:val="15"/>
                <w:color w:val="auto"/>
              </w:rPr>
              <w:t>951,373</w:t>
            </w:r>
          </w:p>
        </w:tc>
        <w:tc>
          <w:tcPr>
            <w:tcW w:w="100" w:type="dxa"/>
            <w:vAlign w:val="bottom"/>
          </w:tcPr>
          <w:p>
            <w:pPr>
              <w:spacing w:after="0"/>
              <w:rPr>
                <w:sz w:val="18"/>
                <w:szCs w:val="18"/>
                <w:color w:val="auto"/>
              </w:rPr>
            </w:pPr>
          </w:p>
        </w:tc>
      </w:tr>
      <w:tr>
        <w:trPr>
          <w:trHeight w:val="20"/>
        </w:trPr>
        <w:tc>
          <w:tcPr>
            <w:tcW w:w="59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4904740</wp:posOffset>
            </wp:positionH>
            <wp:positionV relativeFrom="paragraph">
              <wp:posOffset>-160020</wp:posOffset>
            </wp:positionV>
            <wp:extent cx="66040" cy="762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5832475</wp:posOffset>
            </wp:positionH>
            <wp:positionV relativeFrom="paragraph">
              <wp:posOffset>-160020</wp:posOffset>
            </wp:positionV>
            <wp:extent cx="58420" cy="762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8420" cy="7620"/>
                    </a:xfrm>
                    <a:prstGeom prst="rect">
                      <a:avLst/>
                    </a:prstGeom>
                    <a:noFill/>
                  </pic:spPr>
                </pic:pic>
              </a:graphicData>
            </a:graphic>
          </wp:anchor>
        </w:drawing>
        <w:drawing>
          <wp:anchor simplePos="0" relativeHeight="251657728" behindDoc="1" locked="0" layoutInCell="0" allowOverlap="1">
            <wp:simplePos x="0" y="0"/>
            <wp:positionH relativeFrom="column">
              <wp:posOffset>6731000</wp:posOffset>
            </wp:positionH>
            <wp:positionV relativeFrom="paragraph">
              <wp:posOffset>-160020</wp:posOffset>
            </wp:positionV>
            <wp:extent cx="58420" cy="762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8420" cy="7620"/>
                    </a:xfrm>
                    <a:prstGeom prst="rect">
                      <a:avLst/>
                    </a:prstGeom>
                    <a:noFill/>
                  </pic:spPr>
                </pic:pic>
              </a:graphicData>
            </a:graphic>
          </wp:anchor>
        </w:drawing>
      </w:r>
    </w:p>
    <w:p>
      <w:pPr>
        <w:spacing w:after="0" w:line="146" w:lineRule="exact"/>
        <w:rPr>
          <w:sz w:val="20"/>
          <w:szCs w:val="20"/>
          <w:color w:val="auto"/>
        </w:rPr>
      </w:pPr>
    </w:p>
    <w:p>
      <w:pPr>
        <w:ind w:left="500"/>
        <w:spacing w:after="0"/>
        <w:rPr>
          <w:sz w:val="20"/>
          <w:szCs w:val="20"/>
          <w:color w:val="auto"/>
        </w:rPr>
      </w:pPr>
      <w:r>
        <w:rPr>
          <w:rFonts w:ascii="Calibri" w:cs="Calibri" w:eastAsia="Calibri" w:hAnsi="Calibri"/>
          <w:sz w:val="15"/>
          <w:szCs w:val="15"/>
          <w:color w:val="auto"/>
        </w:rPr>
        <w:t>The Company provides disaggregaton of revenue by services and products, by income statement presentaton, by segment, and by geographic region.</w:t>
      </w:r>
    </w:p>
    <w:p>
      <w:pPr>
        <w:spacing w:after="0" w:line="185" w:lineRule="exact"/>
        <w:rPr>
          <w:sz w:val="20"/>
          <w:szCs w:val="20"/>
          <w:color w:val="auto"/>
        </w:rPr>
      </w:pPr>
    </w:p>
    <w:p>
      <w:pPr>
        <w:ind w:left="500"/>
        <w:spacing w:after="0"/>
        <w:rPr>
          <w:sz w:val="20"/>
          <w:szCs w:val="20"/>
          <w:color w:val="auto"/>
        </w:rPr>
      </w:pPr>
      <w:r>
        <w:rPr>
          <w:rFonts w:ascii="Calibri" w:cs="Calibri" w:eastAsia="Calibri" w:hAnsi="Calibri"/>
          <w:sz w:val="15"/>
          <w:szCs w:val="15"/>
          <w:color w:val="auto"/>
        </w:rPr>
        <w:t>Revenue by services and products is disaggregated by (i) marketplace services, (ii) Dealer-to-Dealer services and products, and (iii) IMCO services and products as disclosed</w:t>
      </w:r>
    </w:p>
    <w:p>
      <w:pPr>
        <w:spacing w:after="0" w:line="1" w:lineRule="exact"/>
        <w:rPr>
          <w:sz w:val="20"/>
          <w:szCs w:val="20"/>
          <w:color w:val="auto"/>
        </w:rPr>
      </w:pPr>
    </w:p>
    <w:p>
      <w:pPr>
        <w:spacing w:after="0"/>
        <w:rPr>
          <w:sz w:val="20"/>
          <w:szCs w:val="20"/>
          <w:color w:val="auto"/>
        </w:rPr>
      </w:pPr>
      <w:r>
        <w:rPr>
          <w:rFonts w:ascii="Calibri" w:cs="Calibri" w:eastAsia="Calibri" w:hAnsi="Calibri"/>
          <w:sz w:val="15"/>
          <w:szCs w:val="15"/>
          <w:color w:val="auto"/>
        </w:rPr>
        <w:t>above.</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Revenue by income statement presentaton is disaggregated by (i) marketplace, (ii) wholesale, and (iii) product revenue sources as disclosed in the consolidated income statements. Marketplace services are included within marketplace revenue in the consolidated income statements. Dealer-to-Dealer and IMCO services and products are included within both wholesale revenue and product revenue in the consolidated income statements.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Revenue by segment is disaggregated by (i) U.S. Marketplace and (ii) Digital Wholesale segments as disclosed in Note 14 of these consolidated fnancial statements. Marketplace services are included in the U.S. Marketplace segment and in the Other category of segment reportng. Dealer-to-Dealer and IMCO services and products are included in the Digital Wholesale segment.</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Revenue by geographic region is disaggregated by (i) U.S. and (ii) Internatonal regions as disclosed in Note 14 of these consolidated fnancial statements. Marketplace services are provided in the U.S. and Internatonal regions. Dealer-to-Dealer and IMCO services and products are provided in the U.S. region.</w:t>
      </w:r>
    </w:p>
    <w:p>
      <w:pPr>
        <w:spacing w:after="0" w:line="184" w:lineRule="exact"/>
        <w:rPr>
          <w:sz w:val="20"/>
          <w:szCs w:val="20"/>
          <w:color w:val="auto"/>
        </w:rPr>
      </w:pPr>
    </w:p>
    <w:p>
      <w:pPr>
        <w:ind w:left="500"/>
        <w:spacing w:after="0"/>
        <w:rPr>
          <w:sz w:val="20"/>
          <w:szCs w:val="20"/>
          <w:color w:val="auto"/>
        </w:rPr>
      </w:pPr>
      <w:r>
        <w:rPr>
          <w:rFonts w:ascii="Calibri" w:cs="Calibri" w:eastAsia="Calibri" w:hAnsi="Calibri"/>
          <w:sz w:val="15"/>
          <w:szCs w:val="15"/>
          <w:color w:val="auto"/>
        </w:rPr>
        <w:t>The Company believes these categories best depict how the nature, amount, tming, and uncertainty of revenue and cash fows are afected by economic factors.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ASC 606 requires that the Company disclose the aggregate amount of transacton price that is allocated to performance obligatons that have not yet been satsfed as of the relevant year end.</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For contracts with an original expected duraton greater than one year, the aggregate amount of the transacton price allocated to the performance obligatons that were unsatsfed as of December 31, 2023 was approximately $41.8 million, which the Company expects to recognize over the next twelve months.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For contracts with an original expected duraton of one year or less, the Company has applied the practcal expedient available under ASC 606 to not disclose the amount of transacton price allocated to unsatsfed performance obligatons as of December 31, 2023. For performance obligatons not satsfed as of December 31, 2023, and to which this expedient applies, the nature of the performance obligatons, the variable consideraton, and any consideraton from contracts with customers not included in the transacton price is consistent with performance obligatons satsfed as of December 31, 2023.</w:t>
      </w:r>
    </w:p>
    <w:p>
      <w:pPr>
        <w:spacing w:after="0" w:line="185" w:lineRule="exact"/>
        <w:rPr>
          <w:sz w:val="20"/>
          <w:szCs w:val="20"/>
          <w:color w:val="auto"/>
        </w:rPr>
      </w:pPr>
    </w:p>
    <w:p>
      <w:pPr>
        <w:jc w:val="both"/>
        <w:ind w:right="20" w:firstLine="511"/>
        <w:spacing w:after="0" w:line="241" w:lineRule="auto"/>
        <w:rPr>
          <w:sz w:val="20"/>
          <w:szCs w:val="20"/>
          <w:color w:val="auto"/>
        </w:rPr>
      </w:pPr>
      <w:r>
        <w:rPr>
          <w:rFonts w:ascii="Calibri" w:cs="Calibri" w:eastAsia="Calibri" w:hAnsi="Calibri"/>
          <w:sz w:val="15"/>
          <w:szCs w:val="15"/>
          <w:color w:val="auto"/>
        </w:rPr>
        <w:t>For the year ended December 31, 2023, 2022, and 2021, revenue recognized from amounts included in deferred revenue at the beginning of the period was $12,249, $12,784, and $9,137,respectvely.</w:t>
      </w:r>
    </w:p>
    <w:p>
      <w:pPr>
        <w:spacing w:after="0" w:line="184" w:lineRule="exact"/>
        <w:rPr>
          <w:sz w:val="20"/>
          <w:szCs w:val="20"/>
          <w:color w:val="auto"/>
        </w:rPr>
      </w:pPr>
    </w:p>
    <w:p>
      <w:pPr>
        <w:spacing w:after="0"/>
        <w:rPr>
          <w:sz w:val="20"/>
          <w:szCs w:val="20"/>
          <w:color w:val="auto"/>
        </w:rPr>
      </w:pPr>
      <w:r>
        <w:rPr>
          <w:rFonts w:ascii="Calibri" w:cs="Calibri" w:eastAsia="Calibri" w:hAnsi="Calibri"/>
          <w:sz w:val="15"/>
          <w:szCs w:val="15"/>
          <w:b w:val="1"/>
          <w:bCs w:val="1"/>
          <w:color w:val="auto"/>
        </w:rPr>
        <w:t>4. 2023 CarOfer Transacton</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i w:val="1"/>
          <w:iCs w:val="1"/>
          <w:color w:val="auto"/>
        </w:rPr>
        <w:t>Background</w:t>
      </w:r>
    </w:p>
    <w:p>
      <w:pPr>
        <w:spacing w:after="0" w:line="185" w:lineRule="exact"/>
        <w:rPr>
          <w:sz w:val="20"/>
          <w:szCs w:val="20"/>
          <w:color w:val="auto"/>
        </w:rPr>
      </w:pPr>
    </w:p>
    <w:p>
      <w:pPr>
        <w:jc w:val="center"/>
        <w:spacing w:after="0"/>
        <w:rPr>
          <w:sz w:val="20"/>
          <w:szCs w:val="20"/>
          <w:color w:val="auto"/>
        </w:rPr>
      </w:pPr>
      <w:r>
        <w:rPr>
          <w:rFonts w:ascii="Calibri" w:cs="Calibri" w:eastAsia="Calibri" w:hAnsi="Calibri"/>
          <w:sz w:val="15"/>
          <w:szCs w:val="15"/>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401320</wp:posOffset>
            </wp:positionV>
            <wp:extent cx="7178040" cy="4000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3" w:right="319" w:bottom="1440" w:gutter="0" w:footer="0" w:header="0"/>
        </w:sectPr>
      </w:pPr>
    </w:p>
    <w:bookmarkStart w:id="111" w:name="page112"/>
    <w:bookmarkEnd w:id="111"/>
    <w:p>
      <w:pPr>
        <w:ind w:left="500"/>
        <w:spacing w:after="0"/>
        <w:rPr>
          <w:sz w:val="20"/>
          <w:szCs w:val="20"/>
          <w:color w:val="auto"/>
        </w:rPr>
      </w:pPr>
      <w:r>
        <w:rPr>
          <w:rFonts w:ascii="Calibri" w:cs="Calibri" w:eastAsia="Calibri" w:hAnsi="Calibri"/>
          <w:sz w:val="15"/>
          <w:szCs w:val="15"/>
          <w:color w:val="auto"/>
        </w:rPr>
        <w:t>Pursuant to the 2021 Purchase Agreement, the Company acquired a 51% interest in CarOfer.</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Upon the 2021 Closing, the Company acquired a 51% interest in CarOfer for the 2021 Total Consideraton, which was an aggregate consideraton of $173,155 consistng of (a) the 2021 Stock Consideraton consistng of shares of Class A common stock in the aggregate amount of $103,645 and (b) the 2021 Cash Consideraton consistng of $69,510 in cash. The number of shares of Class A common stock issued following the 2021 Closing in connecton with the 2021 Stock Consideraton was 3,115,282, which was calculated by reference to a value of $22.51 per share, which equals the volume-weighted average closing price per share of Class A common stock on the Nasdaq Global Select Market for the 28 consecutve trading days ending on the third Business Day (as defned in the 2021 Purchase Agreement) preceding the 2021 Agreement Date.</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Pursuant to the 2021 Purchase Agreement, the Remaining Equity was retained by the then-current equity holders of CarOfer and subject to certain call and put arrangements discussed below. Pursuant to the 2021 Purchase Agreement, the Company established a retenton pool in an aggregate amount of $8,000 in the form of RSUs to be issued pursuant to the Company’s standard form of RSU agreement under the 2017 Plan, (i) $6,000 of which was granted to certain CarOfer employees following the 2021 Closing in accordance with the terms of the 2021 Purchase Agreement and (ii) $2,000 of which is available for issuance to future CarOfer employees in accordance with the terms of the 2021 Purchase Agreement. RSUs issued from the retenton pool will be subject to vestng based on rendering of future services.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As of December 31, 2023 and, 2022, the Company did not incur any transacton-related costs related to the 2021 CarOfer Transacton. As of December 31, 2021, the Company incurred total transacton-related costs of $2,647 related to the 2021 CarOfer Transacton, of which $709 was incurred for the year ended December 31, 2021, and recognized within general and administratve operatng expenses in the consolidated income statements. Transacton-related costs were excluded from the purchase price allocaton as they were primarily comprised of legal, professional, and consultng expenses.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The foregoing summary of the 2021 Purchase Agreement, the 2021 CarOfer Operatng Agreement, and the transactons contemplated thereby does not purport to be complete and is subject to, and qualifed in its entrety by, the full text of the 2021 Purchase Agreement and the 2021 CarOfer Operatng Agreement, which are fled as Exhibit 2.1 to the Annual Report on Form 10-K for the year ended December 31, 2020, fled on February 21, 2021, and Exhibit 10.27 to the Annual Report on Form 10-K for the year ended December 31, 2021, fled on February 25, 2022, respectvely.</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i w:val="1"/>
          <w:iCs w:val="1"/>
          <w:color w:val="auto"/>
        </w:rPr>
        <w:t>Completon of Acquisiton</w:t>
      </w:r>
    </w:p>
    <w:p>
      <w:pPr>
        <w:spacing w:after="0" w:line="185" w:lineRule="exact"/>
        <w:rPr>
          <w:sz w:val="20"/>
          <w:szCs w:val="20"/>
          <w:color w:val="auto"/>
        </w:rPr>
      </w:pPr>
    </w:p>
    <w:p>
      <w:pPr>
        <w:jc w:val="both"/>
        <w:ind w:right="20" w:firstLine="511"/>
        <w:spacing w:after="0" w:line="241" w:lineRule="auto"/>
        <w:rPr>
          <w:sz w:val="20"/>
          <w:szCs w:val="20"/>
          <w:color w:val="auto"/>
        </w:rPr>
      </w:pPr>
      <w:r>
        <w:rPr>
          <w:rFonts w:ascii="Calibri" w:cs="Calibri" w:eastAsia="Calibri" w:hAnsi="Calibri"/>
          <w:sz w:val="15"/>
          <w:szCs w:val="15"/>
          <w:color w:val="auto"/>
        </w:rPr>
        <w:t>On December 1, 2023, the Company completed its previously announced acquisiton of the remaining minority equity interests in CarOfer pursuant to the terms of the 2023 Purchase Agreement.</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Pursuant to the 2023 Purchase Agreement, the Company acquired the remaining minority equity interests in CarOfer for the 2023 Consideraton, consistng of an aggregate consideraton of $75.0 million in cash, subject to certain adjustments set forth in the 2023 Purchase Agreement. A porton of the 2023 Consideraton is held in escrow to secure certain payment and indemnifcaton obligatons of the Indirect Members in accordance with the terms of the 2023 Purchase Agreement.</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Upon completon of the 2023 CarOfer Transacton, the Company recorded approximately a $50 million stock-based compensaton charge, which consisted of payments for CO Incentve Units and Subject Units, and payments made to holders of noncontrolling interest ("Noncontrolling Interest Units"), resultng from the modifcaton of the 2021 Purchase Agreement. The completon of the transacton additonally relieved the redeemable noncontrolling interests on its consolidated balance sheets, reducing the remaining redeemable noncontrolling interest on its consolidated balance sheets to zero and recording excess cash paid to these unit holders as a deemed dividend of $5,838. Refer to Note 11 to these consolidated fnancial statements for further disclosure on impact of the modifcatons that resulted from the 2023 CarOfer Transacton.</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Following the 2023 CarOfer Transacton, CarOfer is a wholly-owned subsidiary and the Company entered into the 2023 CarOfer Operatng Agreement, pursuant to which, among other maters, the existng put and call rights were terminated.</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The foregoing summary of the 2023 Purchase Agreement and the transactons contemplated thereby does not purport to be complete and is subject to, and qualifed in its entrety by, the full text of the 2023 Purchase Agreement, which was fled as Exhibit 2.1 to the Company’s Current Report on Form 8-K, dated November 6, 2023, and fled on November 7, 2023.</w:t>
      </w:r>
    </w:p>
    <w:p>
      <w:pPr>
        <w:spacing w:after="0" w:line="185" w:lineRule="exact"/>
        <w:rPr>
          <w:sz w:val="20"/>
          <w:szCs w:val="20"/>
          <w:color w:val="auto"/>
        </w:rPr>
      </w:pPr>
    </w:p>
    <w:p>
      <w:pPr>
        <w:jc w:val="center"/>
        <w:spacing w:after="0"/>
        <w:rPr>
          <w:sz w:val="20"/>
          <w:szCs w:val="20"/>
          <w:color w:val="auto"/>
        </w:rPr>
      </w:pPr>
      <w:r>
        <w:rPr>
          <w:rFonts w:ascii="Calibri" w:cs="Calibri" w:eastAsia="Calibri" w:hAnsi="Calibri"/>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401320</wp:posOffset>
            </wp:positionV>
            <wp:extent cx="7178040" cy="4000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3" w:right="319" w:bottom="1440" w:gutter="0" w:footer="0" w:header="0"/>
        </w:sectPr>
      </w:pPr>
    </w:p>
    <w:bookmarkStart w:id="112" w:name="page113"/>
    <w:bookmarkEnd w:id="112"/>
    <w:p>
      <w:pPr>
        <w:jc w:val="both"/>
        <w:ind w:right="20" w:firstLine="511"/>
        <w:spacing w:after="0" w:line="241" w:lineRule="auto"/>
        <w:rPr>
          <w:sz w:val="20"/>
          <w:szCs w:val="20"/>
          <w:color w:val="auto"/>
        </w:rPr>
      </w:pPr>
      <w:r>
        <w:rPr>
          <w:rFonts w:ascii="Calibri" w:cs="Calibri" w:eastAsia="Calibri" w:hAnsi="Calibri"/>
          <w:sz w:val="15"/>
          <w:szCs w:val="15"/>
          <w:color w:val="auto"/>
        </w:rPr>
        <w:t>The Company has incurred $1,044 of transacton-related costs, recognized within general and administratve, sales and marketng, and product, technology and development operatng expenses in the consolidated income statements. These costs primarily consisted of legal and integraton expenses associated with the 2023 CarOfer Transacton. There was no gain associated with the 2023 CarOfer Transacton.</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Refer to Valuaton of Acquired Assets and Liabilites policy within Note 2 of these consolidated fnancial statements for the Company's policy on the inital valuaton of the assets and liabilites following the 2021 CarOfer Transacton. Refer to Stock-Based Compensaton policy within Note 2 of these consolidated fnancial statements for the Company's policy on valuaton of the liability-based awards that were accelerated and redeemed in connecton with the 2023 CarOfer Transacton.</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b w:val="1"/>
          <w:bCs w:val="1"/>
          <w:color w:val="auto"/>
        </w:rPr>
        <w:t>5. Fair Value of Financial Instruments</w:t>
      </w:r>
    </w:p>
    <w:p>
      <w:pPr>
        <w:spacing w:after="0" w:line="185" w:lineRule="exact"/>
        <w:rPr>
          <w:sz w:val="20"/>
          <w:szCs w:val="20"/>
          <w:color w:val="auto"/>
        </w:rPr>
      </w:pPr>
    </w:p>
    <w:p>
      <w:pPr>
        <w:ind w:left="500"/>
        <w:spacing w:after="0"/>
        <w:rPr>
          <w:sz w:val="20"/>
          <w:szCs w:val="20"/>
          <w:color w:val="auto"/>
        </w:rPr>
      </w:pPr>
      <w:r>
        <w:rPr>
          <w:rFonts w:ascii="Calibri" w:cs="Calibri" w:eastAsia="Calibri" w:hAnsi="Calibri"/>
          <w:sz w:val="15"/>
          <w:szCs w:val="15"/>
          <w:color w:val="auto"/>
        </w:rPr>
        <w:t>As of December 31, 2023 and 2022, assets measured at fair value on a recurring basis consist of the following:</w:t>
      </w:r>
    </w:p>
    <w:p>
      <w:pPr>
        <w:spacing w:after="0" w:line="294" w:lineRule="exact"/>
        <w:rPr>
          <w:sz w:val="20"/>
          <w:szCs w:val="20"/>
          <w:color w:val="auto"/>
        </w:rPr>
      </w:pPr>
    </w:p>
    <w:tbl>
      <w:tblPr>
        <w:tblLayout w:type="fixed"/>
        <w:tblInd w:w="560" w:type="dxa"/>
        <w:tblCellMar>
          <w:top w:w="0" w:type="dxa"/>
          <w:left w:w="0" w:type="dxa"/>
          <w:bottom w:w="0" w:type="dxa"/>
          <w:right w:w="0" w:type="dxa"/>
        </w:tblCellMar>
      </w:tblPr>
      <w:tr>
        <w:trPr>
          <w:trHeight w:val="146"/>
        </w:trPr>
        <w:tc>
          <w:tcPr>
            <w:tcW w:w="5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gridSpan w:val="4"/>
          </w:tcPr>
          <w:p>
            <w:pPr>
              <w:ind w:left="400"/>
              <w:spacing w:after="0"/>
              <w:rPr>
                <w:sz w:val="20"/>
                <w:szCs w:val="20"/>
                <w:color w:val="auto"/>
              </w:rPr>
            </w:pPr>
            <w:r>
              <w:rPr>
                <w:rFonts w:ascii="Calibri" w:cs="Calibri" w:eastAsia="Calibri" w:hAnsi="Calibri"/>
                <w:sz w:val="12"/>
                <w:szCs w:val="12"/>
                <w:b w:val="1"/>
                <w:bCs w:val="1"/>
                <w:color w:val="auto"/>
              </w:rPr>
              <w:t>As of December 31, 2023</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8"/>
        </w:trPr>
        <w:tc>
          <w:tcPr>
            <w:tcW w:w="5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37"/>
        </w:trPr>
        <w:tc>
          <w:tcPr>
            <w:tcW w:w="5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ind w:right="34"/>
              <w:spacing w:after="0" w:line="138" w:lineRule="exact"/>
              <w:rPr>
                <w:sz w:val="20"/>
                <w:szCs w:val="20"/>
                <w:color w:val="auto"/>
              </w:rPr>
            </w:pPr>
            <w:r>
              <w:rPr>
                <w:rFonts w:ascii="Calibri" w:cs="Calibri" w:eastAsia="Calibri" w:hAnsi="Calibri"/>
                <w:sz w:val="12"/>
                <w:szCs w:val="12"/>
                <w:b w:val="1"/>
                <w:bCs w:val="1"/>
                <w:color w:val="auto"/>
              </w:rPr>
              <w:t>Quoted Prices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5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34"/>
              <w:spacing w:after="0"/>
              <w:rPr>
                <w:sz w:val="20"/>
                <w:szCs w:val="20"/>
                <w:color w:val="auto"/>
              </w:rPr>
            </w:pPr>
            <w:r>
              <w:rPr>
                <w:rFonts w:ascii="Calibri" w:cs="Calibri" w:eastAsia="Calibri" w:hAnsi="Calibri"/>
                <w:sz w:val="12"/>
                <w:szCs w:val="12"/>
                <w:b w:val="1"/>
                <w:bCs w:val="1"/>
                <w:color w:val="auto"/>
              </w:rPr>
              <w:t>in Actve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34"/>
              <w:spacing w:after="0"/>
              <w:rPr>
                <w:sz w:val="20"/>
                <w:szCs w:val="20"/>
                <w:color w:val="auto"/>
              </w:rPr>
            </w:pPr>
            <w:r>
              <w:rPr>
                <w:rFonts w:ascii="Calibri" w:cs="Calibri" w:eastAsia="Calibri" w:hAnsi="Calibri"/>
                <w:sz w:val="12"/>
                <w:szCs w:val="12"/>
                <w:b w:val="1"/>
                <w:bCs w:val="1"/>
                <w:color w:val="auto"/>
              </w:rPr>
              <w:t>Signifcant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0"/>
        </w:trPr>
        <w:tc>
          <w:tcPr>
            <w:tcW w:w="5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center"/>
              <w:ind w:right="54"/>
              <w:spacing w:after="0"/>
              <w:rPr>
                <w:sz w:val="20"/>
                <w:szCs w:val="20"/>
                <w:color w:val="auto"/>
              </w:rPr>
            </w:pPr>
            <w:r>
              <w:rPr>
                <w:rFonts w:ascii="Calibri" w:cs="Calibri" w:eastAsia="Calibri" w:hAnsi="Calibri"/>
                <w:sz w:val="12"/>
                <w:szCs w:val="12"/>
                <w:b w:val="1"/>
                <w:bCs w:val="1"/>
                <w:color w:val="auto"/>
              </w:rPr>
              <w:t>Markets</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center"/>
              <w:ind w:right="54"/>
              <w:spacing w:after="0"/>
              <w:rPr>
                <w:sz w:val="20"/>
                <w:szCs w:val="20"/>
                <w:color w:val="auto"/>
              </w:rPr>
            </w:pPr>
            <w:r>
              <w:rPr>
                <w:rFonts w:ascii="Calibri" w:cs="Calibri" w:eastAsia="Calibri" w:hAnsi="Calibri"/>
                <w:sz w:val="12"/>
                <w:szCs w:val="12"/>
                <w:b w:val="1"/>
                <w:bCs w:val="1"/>
                <w:color w:val="auto"/>
              </w:rPr>
              <w:t>Other</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center"/>
              <w:ind w:right="33"/>
              <w:spacing w:after="0"/>
              <w:rPr>
                <w:sz w:val="20"/>
                <w:szCs w:val="20"/>
                <w:color w:val="auto"/>
              </w:rPr>
            </w:pPr>
            <w:r>
              <w:rPr>
                <w:rFonts w:ascii="Calibri" w:cs="Calibri" w:eastAsia="Calibri" w:hAnsi="Calibri"/>
                <w:sz w:val="12"/>
                <w:szCs w:val="12"/>
                <w:b w:val="1"/>
                <w:bCs w:val="1"/>
                <w:color w:val="auto"/>
              </w:rPr>
              <w:t>Signifcant</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0"/>
        </w:trPr>
        <w:tc>
          <w:tcPr>
            <w:tcW w:w="5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center"/>
              <w:ind w:right="34"/>
              <w:spacing w:after="0"/>
              <w:rPr>
                <w:sz w:val="20"/>
                <w:szCs w:val="20"/>
                <w:color w:val="auto"/>
              </w:rPr>
            </w:pPr>
            <w:r>
              <w:rPr>
                <w:rFonts w:ascii="Calibri" w:cs="Calibri" w:eastAsia="Calibri" w:hAnsi="Calibri"/>
                <w:sz w:val="12"/>
                <w:szCs w:val="12"/>
                <w:b w:val="1"/>
                <w:bCs w:val="1"/>
                <w:color w:val="auto"/>
              </w:rPr>
              <w:t>for Identcal</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center"/>
              <w:ind w:right="54"/>
              <w:spacing w:after="0"/>
              <w:rPr>
                <w:sz w:val="20"/>
                <w:szCs w:val="20"/>
                <w:color w:val="auto"/>
              </w:rPr>
            </w:pPr>
            <w:r>
              <w:rPr>
                <w:rFonts w:ascii="Calibri" w:cs="Calibri" w:eastAsia="Calibri" w:hAnsi="Calibri"/>
                <w:sz w:val="12"/>
                <w:szCs w:val="12"/>
                <w:b w:val="1"/>
                <w:bCs w:val="1"/>
                <w:color w:val="auto"/>
              </w:rPr>
              <w:t>Observable</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center"/>
              <w:ind w:right="33"/>
              <w:spacing w:after="0"/>
              <w:rPr>
                <w:sz w:val="20"/>
                <w:szCs w:val="20"/>
                <w:color w:val="auto"/>
              </w:rPr>
            </w:pPr>
            <w:r>
              <w:rPr>
                <w:rFonts w:ascii="Calibri" w:cs="Calibri" w:eastAsia="Calibri" w:hAnsi="Calibri"/>
                <w:sz w:val="12"/>
                <w:szCs w:val="12"/>
                <w:b w:val="1"/>
                <w:bCs w:val="1"/>
                <w:color w:val="auto"/>
              </w:rPr>
              <w:t>Unobservable</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0"/>
        </w:trPr>
        <w:tc>
          <w:tcPr>
            <w:tcW w:w="5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center"/>
              <w:ind w:right="34"/>
              <w:spacing w:after="0"/>
              <w:rPr>
                <w:sz w:val="20"/>
                <w:szCs w:val="20"/>
                <w:color w:val="auto"/>
              </w:rPr>
            </w:pPr>
            <w:r>
              <w:rPr>
                <w:rFonts w:ascii="Calibri" w:cs="Calibri" w:eastAsia="Calibri" w:hAnsi="Calibri"/>
                <w:sz w:val="12"/>
                <w:szCs w:val="12"/>
                <w:b w:val="1"/>
                <w:bCs w:val="1"/>
                <w:color w:val="auto"/>
              </w:rPr>
              <w:t>Assets</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center"/>
              <w:ind w:right="34"/>
              <w:spacing w:after="0"/>
              <w:rPr>
                <w:sz w:val="20"/>
                <w:szCs w:val="20"/>
                <w:color w:val="auto"/>
              </w:rPr>
            </w:pPr>
            <w:r>
              <w:rPr>
                <w:rFonts w:ascii="Calibri" w:cs="Calibri" w:eastAsia="Calibri" w:hAnsi="Calibri"/>
                <w:sz w:val="12"/>
                <w:szCs w:val="12"/>
                <w:b w:val="1"/>
                <w:bCs w:val="1"/>
                <w:color w:val="auto"/>
              </w:rPr>
              <w:t>Inputs</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center"/>
              <w:ind w:right="13"/>
              <w:spacing w:after="0"/>
              <w:rPr>
                <w:sz w:val="20"/>
                <w:szCs w:val="20"/>
                <w:color w:val="auto"/>
              </w:rPr>
            </w:pPr>
            <w:r>
              <w:rPr>
                <w:rFonts w:ascii="Calibri" w:cs="Calibri" w:eastAsia="Calibri" w:hAnsi="Calibri"/>
                <w:sz w:val="12"/>
                <w:szCs w:val="12"/>
                <w:b w:val="1"/>
                <w:bCs w:val="1"/>
                <w:color w:val="auto"/>
              </w:rPr>
              <w:t>Inputs</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0"/>
        </w:trPr>
        <w:tc>
          <w:tcPr>
            <w:tcW w:w="5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center"/>
              <w:ind w:right="54"/>
              <w:spacing w:after="0"/>
              <w:rPr>
                <w:sz w:val="20"/>
                <w:szCs w:val="20"/>
                <w:color w:val="auto"/>
              </w:rPr>
            </w:pPr>
            <w:r>
              <w:rPr>
                <w:rFonts w:ascii="Calibri" w:cs="Calibri" w:eastAsia="Calibri" w:hAnsi="Calibri"/>
                <w:sz w:val="12"/>
                <w:szCs w:val="12"/>
                <w:b w:val="1"/>
                <w:bCs w:val="1"/>
                <w:color w:val="auto"/>
              </w:rPr>
              <w:t>(Level 1 Inputs)</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center"/>
              <w:ind w:right="54"/>
              <w:spacing w:after="0"/>
              <w:rPr>
                <w:sz w:val="20"/>
                <w:szCs w:val="20"/>
                <w:color w:val="auto"/>
              </w:rPr>
            </w:pPr>
            <w:r>
              <w:rPr>
                <w:rFonts w:ascii="Calibri" w:cs="Calibri" w:eastAsia="Calibri" w:hAnsi="Calibri"/>
                <w:sz w:val="12"/>
                <w:szCs w:val="12"/>
                <w:b w:val="1"/>
                <w:bCs w:val="1"/>
                <w:color w:val="auto"/>
              </w:rPr>
              <w:t>(Level 2 Inputs)</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center"/>
              <w:ind w:right="33"/>
              <w:spacing w:after="0"/>
              <w:rPr>
                <w:sz w:val="20"/>
                <w:szCs w:val="20"/>
                <w:color w:val="auto"/>
              </w:rPr>
            </w:pPr>
            <w:r>
              <w:rPr>
                <w:rFonts w:ascii="Calibri" w:cs="Calibri" w:eastAsia="Calibri" w:hAnsi="Calibri"/>
                <w:sz w:val="12"/>
                <w:szCs w:val="12"/>
                <w:b w:val="1"/>
                <w:bCs w:val="1"/>
                <w:color w:val="auto"/>
              </w:rPr>
              <w:t>(Level 3 Inputs)</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gridSpan w:val="2"/>
          </w:tcPr>
          <w:p>
            <w:pPr>
              <w:ind w:left="140"/>
              <w:spacing w:after="0"/>
              <w:rPr>
                <w:sz w:val="20"/>
                <w:szCs w:val="20"/>
                <w:color w:val="auto"/>
              </w:rPr>
            </w:pPr>
            <w:r>
              <w:rPr>
                <w:rFonts w:ascii="Calibri" w:cs="Calibri" w:eastAsia="Calibri" w:hAnsi="Calibri"/>
                <w:sz w:val="12"/>
                <w:szCs w:val="12"/>
                <w:b w:val="1"/>
                <w:bCs w:val="1"/>
                <w:color w:val="auto"/>
              </w:rPr>
              <w:t>Total</w:t>
            </w:r>
          </w:p>
        </w:tc>
      </w:tr>
      <w:tr>
        <w:trPr>
          <w:trHeight w:val="28"/>
        </w:trPr>
        <w:tc>
          <w:tcPr>
            <w:tcW w:w="5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79"/>
        </w:trPr>
        <w:tc>
          <w:tcPr>
            <w:tcW w:w="5220" w:type="dxa"/>
            <w:vAlign w:val="bottom"/>
            <w:tcBorders>
              <w:bottom w:val="single" w:sz="8" w:color="CFF0FC"/>
              <w:right w:val="single" w:sz="8" w:color="CFF0FC"/>
            </w:tcBorders>
            <w:shd w:val="clear" w:color="auto" w:fill="CFF0FC"/>
          </w:tcPr>
          <w:p>
            <w:pPr>
              <w:spacing w:after="0" w:line="174" w:lineRule="exact"/>
              <w:rPr>
                <w:sz w:val="20"/>
                <w:szCs w:val="20"/>
                <w:color w:val="auto"/>
              </w:rPr>
            </w:pPr>
            <w:r>
              <w:rPr>
                <w:rFonts w:ascii="Calibri" w:cs="Calibri" w:eastAsia="Calibri" w:hAnsi="Calibri"/>
                <w:sz w:val="15"/>
                <w:szCs w:val="15"/>
                <w:color w:val="auto"/>
              </w:rPr>
              <w:t>Cash equivalents:</w:t>
            </w:r>
          </w:p>
        </w:tc>
        <w:tc>
          <w:tcPr>
            <w:tcW w:w="100" w:type="dxa"/>
            <w:vAlign w:val="bottom"/>
            <w:tcBorders>
              <w:bottom w:val="single" w:sz="8" w:color="CFF0FC"/>
            </w:tcBorders>
            <w:shd w:val="clear" w:color="auto" w:fill="CFF0FC"/>
          </w:tcPr>
          <w:p>
            <w:pPr>
              <w:spacing w:after="0"/>
              <w:rPr>
                <w:sz w:val="15"/>
                <w:szCs w:val="15"/>
                <w:color w:val="auto"/>
              </w:rPr>
            </w:pPr>
          </w:p>
        </w:tc>
        <w:tc>
          <w:tcPr>
            <w:tcW w:w="940" w:type="dxa"/>
            <w:vAlign w:val="bottom"/>
            <w:tcBorders>
              <w:bottom w:val="single" w:sz="8" w:color="CFF0FC"/>
              <w:right w:val="single" w:sz="8" w:color="CFF0FC"/>
            </w:tcBorders>
            <w:shd w:val="clear" w:color="auto" w:fill="CFF0FC"/>
          </w:tcPr>
          <w:p>
            <w:pPr>
              <w:spacing w:after="0"/>
              <w:rPr>
                <w:sz w:val="15"/>
                <w:szCs w:val="15"/>
                <w:color w:val="auto"/>
              </w:rPr>
            </w:pPr>
          </w:p>
        </w:tc>
        <w:tc>
          <w:tcPr>
            <w:tcW w:w="240" w:type="dxa"/>
            <w:vAlign w:val="bottom"/>
            <w:tcBorders>
              <w:bottom w:val="single" w:sz="8" w:color="CFF0FC"/>
              <w:right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940" w:type="dxa"/>
            <w:vAlign w:val="bottom"/>
            <w:tcBorders>
              <w:bottom w:val="single" w:sz="8" w:color="CFF0FC"/>
              <w:right w:val="single" w:sz="8" w:color="CFF0FC"/>
            </w:tcBorders>
            <w:shd w:val="clear" w:color="auto" w:fill="CFF0FC"/>
          </w:tcPr>
          <w:p>
            <w:pPr>
              <w:spacing w:after="0"/>
              <w:rPr>
                <w:sz w:val="15"/>
                <w:szCs w:val="15"/>
                <w:color w:val="auto"/>
              </w:rPr>
            </w:pPr>
          </w:p>
        </w:tc>
        <w:tc>
          <w:tcPr>
            <w:tcW w:w="240" w:type="dxa"/>
            <w:vAlign w:val="bottom"/>
            <w:tcBorders>
              <w:bottom w:val="single" w:sz="8" w:color="CFF0FC"/>
              <w:right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7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r>
      <w:tr>
        <w:trPr>
          <w:trHeight w:val="183"/>
        </w:trPr>
        <w:tc>
          <w:tcPr>
            <w:tcW w:w="5220" w:type="dxa"/>
            <w:vAlign w:val="bottom"/>
          </w:tcPr>
          <w:p>
            <w:pPr>
              <w:ind w:left="160"/>
              <w:spacing w:after="0"/>
              <w:rPr>
                <w:sz w:val="20"/>
                <w:szCs w:val="20"/>
                <w:color w:val="auto"/>
              </w:rPr>
            </w:pPr>
            <w:r>
              <w:rPr>
                <w:rFonts w:ascii="Calibri" w:cs="Calibri" w:eastAsia="Calibri" w:hAnsi="Calibri"/>
                <w:sz w:val="15"/>
                <w:szCs w:val="15"/>
                <w:color w:val="auto"/>
              </w:rPr>
              <w:t>Mutual Funds</w:t>
            </w:r>
          </w:p>
        </w:tc>
        <w:tc>
          <w:tcPr>
            <w:tcW w:w="100" w:type="dxa"/>
            <w:vAlign w:val="bottom"/>
          </w:tcPr>
          <w:p>
            <w:pPr>
              <w:jc w:val="right"/>
              <w:spacing w:after="0"/>
              <w:rPr>
                <w:sz w:val="20"/>
                <w:szCs w:val="20"/>
                <w:color w:val="auto"/>
              </w:rPr>
            </w:pPr>
            <w:r>
              <w:rPr>
                <w:rFonts w:ascii="Calibri" w:cs="Calibri" w:eastAsia="Calibri" w:hAnsi="Calibri"/>
                <w:sz w:val="15"/>
                <w:szCs w:val="15"/>
                <w:color w:val="auto"/>
                <w:w w:val="78"/>
              </w:rPr>
              <w:t>$</w:t>
            </w:r>
          </w:p>
        </w:tc>
        <w:tc>
          <w:tcPr>
            <w:tcW w:w="940" w:type="dxa"/>
            <w:vAlign w:val="bottom"/>
          </w:tcPr>
          <w:p>
            <w:pPr>
              <w:jc w:val="right"/>
              <w:spacing w:after="0"/>
              <w:rPr>
                <w:sz w:val="20"/>
                <w:szCs w:val="20"/>
                <w:color w:val="auto"/>
              </w:rPr>
            </w:pPr>
            <w:r>
              <w:rPr>
                <w:rFonts w:ascii="Calibri" w:cs="Calibri" w:eastAsia="Calibri" w:hAnsi="Calibri"/>
                <w:sz w:val="15"/>
                <w:szCs w:val="15"/>
                <w:color w:val="auto"/>
              </w:rPr>
              <w:t>73,449</w:t>
            </w:r>
          </w:p>
        </w:tc>
        <w:tc>
          <w:tcPr>
            <w:tcW w:w="340" w:type="dxa"/>
            <w:vAlign w:val="bottom"/>
            <w:gridSpan w:val="2"/>
          </w:tcPr>
          <w:p>
            <w:pPr>
              <w:jc w:val="right"/>
              <w:ind w:right="20"/>
              <w:spacing w:after="0"/>
              <w:rPr>
                <w:sz w:val="20"/>
                <w:szCs w:val="20"/>
                <w:color w:val="auto"/>
              </w:rPr>
            </w:pPr>
            <w:r>
              <w:rPr>
                <w:rFonts w:ascii="Calibri" w:cs="Calibri" w:eastAsia="Calibri" w:hAnsi="Calibri"/>
                <w:sz w:val="15"/>
                <w:szCs w:val="15"/>
                <w:color w:val="auto"/>
              </w:rPr>
              <w:t>$</w:t>
            </w:r>
          </w:p>
        </w:tc>
        <w:tc>
          <w:tcPr>
            <w:tcW w:w="940" w:type="dxa"/>
            <w:vAlign w:val="bottom"/>
          </w:tcPr>
          <w:p>
            <w:pPr>
              <w:ind w:left="780"/>
              <w:spacing w:after="0"/>
              <w:rPr>
                <w:sz w:val="20"/>
                <w:szCs w:val="20"/>
                <w:color w:val="auto"/>
              </w:rPr>
            </w:pPr>
            <w:r>
              <w:rPr>
                <w:rFonts w:ascii="Calibri" w:cs="Calibri" w:eastAsia="Calibri" w:hAnsi="Calibri"/>
                <w:sz w:val="15"/>
                <w:szCs w:val="15"/>
                <w:color w:val="auto"/>
                <w:w w:val="88"/>
              </w:rPr>
              <w:t>—</w:t>
            </w:r>
          </w:p>
        </w:tc>
        <w:tc>
          <w:tcPr>
            <w:tcW w:w="340" w:type="dxa"/>
            <w:vAlign w:val="bottom"/>
            <w:gridSpan w:val="2"/>
          </w:tcPr>
          <w:p>
            <w:pPr>
              <w:jc w:val="right"/>
              <w:ind w:right="20"/>
              <w:spacing w:after="0"/>
              <w:rPr>
                <w:sz w:val="20"/>
                <w:szCs w:val="20"/>
                <w:color w:val="auto"/>
              </w:rPr>
            </w:pPr>
            <w:r>
              <w:rPr>
                <w:rFonts w:ascii="Calibri" w:cs="Calibri" w:eastAsia="Calibri" w:hAnsi="Calibri"/>
                <w:sz w:val="15"/>
                <w:szCs w:val="15"/>
                <w:color w:val="auto"/>
              </w:rPr>
              <w:t>$</w:t>
            </w:r>
          </w:p>
        </w:tc>
        <w:tc>
          <w:tcPr>
            <w:tcW w:w="920" w:type="dxa"/>
            <w:vAlign w:val="bottom"/>
          </w:tcPr>
          <w:p>
            <w:pPr>
              <w:ind w:left="780"/>
              <w:spacing w:after="0"/>
              <w:rPr>
                <w:sz w:val="20"/>
                <w:szCs w:val="20"/>
                <w:color w:val="auto"/>
              </w:rPr>
            </w:pPr>
            <w:r>
              <w:rPr>
                <w:rFonts w:ascii="Calibri" w:cs="Calibri" w:eastAsia="Calibri" w:hAnsi="Calibri"/>
                <w:sz w:val="15"/>
                <w:szCs w:val="15"/>
                <w:color w:val="auto"/>
                <w:w w:val="88"/>
              </w:rPr>
              <w:t>—</w:t>
            </w:r>
          </w:p>
        </w:tc>
        <w:tc>
          <w:tcPr>
            <w:tcW w:w="46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c>
          <w:tcPr>
            <w:tcW w:w="780" w:type="dxa"/>
            <w:vAlign w:val="bottom"/>
          </w:tcPr>
          <w:p>
            <w:pPr>
              <w:jc w:val="right"/>
              <w:spacing w:after="0"/>
              <w:rPr>
                <w:sz w:val="20"/>
                <w:szCs w:val="20"/>
                <w:color w:val="auto"/>
              </w:rPr>
            </w:pPr>
            <w:r>
              <w:rPr>
                <w:rFonts w:ascii="Calibri" w:cs="Calibri" w:eastAsia="Calibri" w:hAnsi="Calibri"/>
                <w:sz w:val="15"/>
                <w:szCs w:val="15"/>
                <w:color w:val="auto"/>
              </w:rPr>
              <w:t>73,449</w:t>
            </w:r>
          </w:p>
        </w:tc>
        <w:tc>
          <w:tcPr>
            <w:tcW w:w="100" w:type="dxa"/>
            <w:vAlign w:val="bottom"/>
          </w:tcPr>
          <w:p>
            <w:pPr>
              <w:spacing w:after="0"/>
              <w:rPr>
                <w:sz w:val="15"/>
                <w:szCs w:val="15"/>
                <w:color w:val="auto"/>
              </w:rPr>
            </w:pPr>
          </w:p>
        </w:tc>
      </w:tr>
      <w:tr>
        <w:trPr>
          <w:trHeight w:val="24"/>
        </w:trPr>
        <w:tc>
          <w:tcPr>
            <w:tcW w:w="5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7"/>
        </w:trPr>
        <w:tc>
          <w:tcPr>
            <w:tcW w:w="5220" w:type="dxa"/>
            <w:vAlign w:val="bottom"/>
            <w:tcBorders>
              <w:bottom w:val="single" w:sz="8" w:color="CFF0FC"/>
              <w:right w:val="single" w:sz="8" w:color="CFF0FC"/>
            </w:tcBorders>
            <w:shd w:val="clear" w:color="auto" w:fill="CFF0FC"/>
          </w:tcPr>
          <w:p>
            <w:pPr>
              <w:spacing w:after="0"/>
              <w:rPr>
                <w:sz w:val="20"/>
                <w:szCs w:val="20"/>
                <w:color w:val="auto"/>
              </w:rPr>
            </w:pPr>
            <w:r>
              <w:rPr>
                <w:rFonts w:ascii="Calibri" w:cs="Calibri" w:eastAsia="Calibri" w:hAnsi="Calibri"/>
                <w:sz w:val="15"/>
                <w:szCs w:val="15"/>
                <w:color w:val="auto"/>
              </w:rPr>
              <w:t>Short-term investments:</w:t>
            </w:r>
          </w:p>
        </w:tc>
        <w:tc>
          <w:tcPr>
            <w:tcW w:w="100" w:type="dxa"/>
            <w:vAlign w:val="bottom"/>
            <w:tcBorders>
              <w:bottom w:val="single" w:sz="8" w:color="CFF0FC"/>
            </w:tcBorders>
            <w:shd w:val="clear" w:color="auto" w:fill="CFF0FC"/>
          </w:tcPr>
          <w:p>
            <w:pPr>
              <w:spacing w:after="0"/>
              <w:rPr>
                <w:sz w:val="16"/>
                <w:szCs w:val="16"/>
                <w:color w:val="auto"/>
              </w:rPr>
            </w:pPr>
          </w:p>
        </w:tc>
        <w:tc>
          <w:tcPr>
            <w:tcW w:w="940" w:type="dxa"/>
            <w:vAlign w:val="bottom"/>
            <w:tcBorders>
              <w:bottom w:val="single" w:sz="8" w:color="CFF0FC"/>
              <w:right w:val="single" w:sz="8" w:color="CFF0FC"/>
            </w:tcBorders>
            <w:shd w:val="clear" w:color="auto" w:fill="CFF0FC"/>
          </w:tcPr>
          <w:p>
            <w:pPr>
              <w:spacing w:after="0"/>
              <w:rPr>
                <w:sz w:val="16"/>
                <w:szCs w:val="16"/>
                <w:color w:val="auto"/>
              </w:rPr>
            </w:pPr>
          </w:p>
        </w:tc>
        <w:tc>
          <w:tcPr>
            <w:tcW w:w="240" w:type="dxa"/>
            <w:vAlign w:val="bottom"/>
            <w:tcBorders>
              <w:bottom w:val="single" w:sz="8" w:color="CFF0FC"/>
              <w:right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940" w:type="dxa"/>
            <w:vAlign w:val="bottom"/>
            <w:tcBorders>
              <w:bottom w:val="single" w:sz="8" w:color="CFF0FC"/>
              <w:right w:val="single" w:sz="8" w:color="CFF0FC"/>
            </w:tcBorders>
            <w:shd w:val="clear" w:color="auto" w:fill="CFF0FC"/>
          </w:tcPr>
          <w:p>
            <w:pPr>
              <w:spacing w:after="0"/>
              <w:rPr>
                <w:sz w:val="16"/>
                <w:szCs w:val="16"/>
                <w:color w:val="auto"/>
              </w:rPr>
            </w:pPr>
          </w:p>
        </w:tc>
        <w:tc>
          <w:tcPr>
            <w:tcW w:w="240" w:type="dxa"/>
            <w:vAlign w:val="bottom"/>
            <w:tcBorders>
              <w:bottom w:val="single" w:sz="8" w:color="CFF0FC"/>
              <w:right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92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7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5220" w:type="dxa"/>
            <w:vAlign w:val="bottom"/>
          </w:tcPr>
          <w:p>
            <w:pPr>
              <w:ind w:left="160"/>
              <w:spacing w:after="0"/>
              <w:rPr>
                <w:sz w:val="20"/>
                <w:szCs w:val="20"/>
                <w:color w:val="auto"/>
              </w:rPr>
            </w:pPr>
            <w:r>
              <w:rPr>
                <w:rFonts w:ascii="Calibri" w:cs="Calibri" w:eastAsia="Calibri" w:hAnsi="Calibri"/>
                <w:sz w:val="15"/>
                <w:szCs w:val="15"/>
                <w:color w:val="auto"/>
              </w:rPr>
              <w:t>Mutual Funds</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alibri" w:cs="Calibri" w:eastAsia="Calibri" w:hAnsi="Calibri"/>
                <w:sz w:val="15"/>
                <w:szCs w:val="15"/>
                <w:color w:val="auto"/>
              </w:rPr>
              <w:t>20,724</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ind w:left="780"/>
              <w:spacing w:after="0"/>
              <w:rPr>
                <w:sz w:val="20"/>
                <w:szCs w:val="20"/>
                <w:color w:val="auto"/>
              </w:rPr>
            </w:pPr>
            <w:r>
              <w:rPr>
                <w:rFonts w:ascii="Calibri" w:cs="Calibri" w:eastAsia="Calibri" w:hAnsi="Calibri"/>
                <w:sz w:val="15"/>
                <w:szCs w:val="15"/>
                <w:color w:val="auto"/>
                <w:w w:val="88"/>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ind w:left="780"/>
              <w:spacing w:after="0"/>
              <w:rPr>
                <w:sz w:val="20"/>
                <w:szCs w:val="20"/>
                <w:color w:val="auto"/>
              </w:rPr>
            </w:pPr>
            <w:r>
              <w:rPr>
                <w:rFonts w:ascii="Calibri" w:cs="Calibri" w:eastAsia="Calibri" w:hAnsi="Calibri"/>
                <w:sz w:val="15"/>
                <w:szCs w:val="15"/>
                <w:color w:val="auto"/>
                <w:w w:val="88"/>
              </w:rPr>
              <w:t>—</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alibri" w:cs="Calibri" w:eastAsia="Calibri" w:hAnsi="Calibri"/>
                <w:sz w:val="15"/>
                <w:szCs w:val="15"/>
                <w:color w:val="auto"/>
              </w:rPr>
              <w:t>20,724</w:t>
            </w:r>
          </w:p>
        </w:tc>
        <w:tc>
          <w:tcPr>
            <w:tcW w:w="100" w:type="dxa"/>
            <w:vAlign w:val="bottom"/>
          </w:tcPr>
          <w:p>
            <w:pPr>
              <w:spacing w:after="0"/>
              <w:rPr>
                <w:sz w:val="15"/>
                <w:szCs w:val="15"/>
                <w:color w:val="auto"/>
              </w:rPr>
            </w:pPr>
          </w:p>
        </w:tc>
      </w:tr>
      <w:tr>
        <w:trPr>
          <w:trHeight w:val="24"/>
        </w:trPr>
        <w:tc>
          <w:tcPr>
            <w:tcW w:w="5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24"/>
        </w:trPr>
        <w:tc>
          <w:tcPr>
            <w:tcW w:w="5220" w:type="dxa"/>
            <w:vAlign w:val="bottom"/>
            <w:tcBorders>
              <w:bottom w:val="single" w:sz="8" w:color="CFF0FC"/>
              <w:right w:val="single" w:sz="8" w:color="CFF0FC"/>
            </w:tcBorders>
            <w:shd w:val="clear" w:color="auto" w:fill="CFF0FC"/>
          </w:tcPr>
          <w:p>
            <w:pPr>
              <w:spacing w:after="0" w:line="174" w:lineRule="exact"/>
              <w:rPr>
                <w:sz w:val="20"/>
                <w:szCs w:val="20"/>
                <w:color w:val="auto"/>
              </w:rPr>
            </w:pPr>
            <w:r>
              <w:rPr>
                <w:rFonts w:ascii="Calibri" w:cs="Calibri" w:eastAsia="Calibri" w:hAnsi="Calibri"/>
                <w:sz w:val="15"/>
                <w:szCs w:val="15"/>
                <w:color w:val="auto"/>
              </w:rPr>
              <w:t>Total</w:t>
            </w:r>
          </w:p>
        </w:tc>
        <w:tc>
          <w:tcPr>
            <w:tcW w:w="100" w:type="dxa"/>
            <w:vAlign w:val="bottom"/>
            <w:tcBorders>
              <w:bottom w:val="single" w:sz="8" w:color="CFF0FC"/>
            </w:tcBorders>
            <w:shd w:val="clear" w:color="auto" w:fill="CFF0FC"/>
          </w:tcPr>
          <w:p>
            <w:pPr>
              <w:jc w:val="right"/>
              <w:spacing w:after="0" w:line="174" w:lineRule="exact"/>
              <w:rPr>
                <w:sz w:val="20"/>
                <w:szCs w:val="20"/>
                <w:color w:val="auto"/>
              </w:rPr>
            </w:pPr>
            <w:r>
              <w:rPr>
                <w:rFonts w:ascii="Calibri" w:cs="Calibri" w:eastAsia="Calibri" w:hAnsi="Calibri"/>
                <w:sz w:val="15"/>
                <w:szCs w:val="15"/>
                <w:color w:val="auto"/>
                <w:w w:val="78"/>
              </w:rPr>
              <w:t>$</w:t>
            </w:r>
          </w:p>
        </w:tc>
        <w:tc>
          <w:tcPr>
            <w:tcW w:w="940" w:type="dxa"/>
            <w:vAlign w:val="bottom"/>
            <w:tcBorders>
              <w:bottom w:val="single" w:sz="8" w:color="CFF0FC"/>
              <w:right w:val="single" w:sz="8" w:color="CFF0FC"/>
            </w:tcBorders>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94,173</w:t>
            </w:r>
          </w:p>
        </w:tc>
        <w:tc>
          <w:tcPr>
            <w:tcW w:w="340" w:type="dxa"/>
            <w:vAlign w:val="bottom"/>
            <w:tcBorders>
              <w:bottom w:val="single" w:sz="8" w:color="CFF0FC"/>
            </w:tcBorders>
            <w:gridSpan w:val="2"/>
            <w:shd w:val="clear" w:color="auto" w:fill="CFF0FC"/>
          </w:tcPr>
          <w:p>
            <w:pPr>
              <w:jc w:val="right"/>
              <w:ind w:right="20"/>
              <w:spacing w:after="0" w:line="174" w:lineRule="exact"/>
              <w:rPr>
                <w:sz w:val="20"/>
                <w:szCs w:val="20"/>
                <w:color w:val="auto"/>
              </w:rPr>
            </w:pPr>
            <w:r>
              <w:rPr>
                <w:rFonts w:ascii="Calibri" w:cs="Calibri" w:eastAsia="Calibri" w:hAnsi="Calibri"/>
                <w:sz w:val="15"/>
                <w:szCs w:val="15"/>
                <w:color w:val="auto"/>
              </w:rPr>
              <w:t>$</w:t>
            </w:r>
          </w:p>
        </w:tc>
        <w:tc>
          <w:tcPr>
            <w:tcW w:w="940" w:type="dxa"/>
            <w:vAlign w:val="bottom"/>
            <w:tcBorders>
              <w:bottom w:val="single" w:sz="8" w:color="CFF0FC"/>
              <w:right w:val="single" w:sz="8" w:color="CFF0FC"/>
            </w:tcBorders>
            <w:shd w:val="clear" w:color="auto" w:fill="CFF0FC"/>
          </w:tcPr>
          <w:p>
            <w:pPr>
              <w:ind w:left="780"/>
              <w:spacing w:after="0" w:line="174" w:lineRule="exact"/>
              <w:rPr>
                <w:sz w:val="20"/>
                <w:szCs w:val="20"/>
                <w:color w:val="auto"/>
              </w:rPr>
            </w:pPr>
            <w:r>
              <w:rPr>
                <w:rFonts w:ascii="Calibri" w:cs="Calibri" w:eastAsia="Calibri" w:hAnsi="Calibri"/>
                <w:sz w:val="15"/>
                <w:szCs w:val="15"/>
                <w:color w:val="auto"/>
                <w:w w:val="88"/>
              </w:rPr>
              <w:t>—</w:t>
            </w:r>
          </w:p>
        </w:tc>
        <w:tc>
          <w:tcPr>
            <w:tcW w:w="340" w:type="dxa"/>
            <w:vAlign w:val="bottom"/>
            <w:tcBorders>
              <w:bottom w:val="single" w:sz="8" w:color="CFF0FC"/>
            </w:tcBorders>
            <w:gridSpan w:val="2"/>
            <w:shd w:val="clear" w:color="auto" w:fill="CFF0FC"/>
          </w:tcPr>
          <w:p>
            <w:pPr>
              <w:jc w:val="right"/>
              <w:ind w:right="20"/>
              <w:spacing w:after="0" w:line="174" w:lineRule="exact"/>
              <w:rPr>
                <w:sz w:val="20"/>
                <w:szCs w:val="20"/>
                <w:color w:val="auto"/>
              </w:rPr>
            </w:pPr>
            <w:r>
              <w:rPr>
                <w:rFonts w:ascii="Calibri" w:cs="Calibri" w:eastAsia="Calibri" w:hAnsi="Calibri"/>
                <w:sz w:val="15"/>
                <w:szCs w:val="15"/>
                <w:color w:val="auto"/>
              </w:rPr>
              <w:t>$</w:t>
            </w:r>
          </w:p>
        </w:tc>
        <w:tc>
          <w:tcPr>
            <w:tcW w:w="920" w:type="dxa"/>
            <w:vAlign w:val="bottom"/>
            <w:tcBorders>
              <w:bottom w:val="single" w:sz="8" w:color="CFF0FC"/>
            </w:tcBorders>
            <w:shd w:val="clear" w:color="auto" w:fill="CFF0FC"/>
          </w:tcPr>
          <w:p>
            <w:pPr>
              <w:ind w:left="780"/>
              <w:spacing w:after="0" w:line="174" w:lineRule="exact"/>
              <w:rPr>
                <w:sz w:val="20"/>
                <w:szCs w:val="20"/>
                <w:color w:val="auto"/>
              </w:rPr>
            </w:pPr>
            <w:r>
              <w:rPr>
                <w:rFonts w:ascii="Calibri" w:cs="Calibri" w:eastAsia="Calibri" w:hAnsi="Calibri"/>
                <w:sz w:val="15"/>
                <w:szCs w:val="15"/>
                <w:color w:val="auto"/>
                <w:w w:val="88"/>
              </w:rPr>
              <w:t>—</w:t>
            </w:r>
          </w:p>
        </w:tc>
        <w:tc>
          <w:tcPr>
            <w:tcW w:w="460" w:type="dxa"/>
            <w:vAlign w:val="bottom"/>
            <w:tcBorders>
              <w:bottom w:val="single" w:sz="8" w:color="CFF0FC"/>
            </w:tcBorders>
            <w:gridSpan w:val="2"/>
            <w:shd w:val="clear" w:color="auto" w:fill="CFF0FC"/>
          </w:tcPr>
          <w:p>
            <w:pPr>
              <w:jc w:val="right"/>
              <w:ind w:right="140"/>
              <w:spacing w:after="0" w:line="174" w:lineRule="exact"/>
              <w:rPr>
                <w:sz w:val="20"/>
                <w:szCs w:val="20"/>
                <w:color w:val="auto"/>
              </w:rPr>
            </w:pPr>
            <w:r>
              <w:rPr>
                <w:rFonts w:ascii="Calibri" w:cs="Calibri" w:eastAsia="Calibri" w:hAnsi="Calibri"/>
                <w:sz w:val="15"/>
                <w:szCs w:val="15"/>
                <w:color w:val="auto"/>
              </w:rPr>
              <w:t>$</w:t>
            </w:r>
          </w:p>
        </w:tc>
        <w:tc>
          <w:tcPr>
            <w:tcW w:w="780" w:type="dxa"/>
            <w:vAlign w:val="bottom"/>
            <w:tcBorders>
              <w:bottom w:val="single" w:sz="8" w:color="CFF0FC"/>
            </w:tcBorders>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94,173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488"/>
        </w:trPr>
        <w:tc>
          <w:tcPr>
            <w:tcW w:w="5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gridSpan w:val="4"/>
          </w:tcPr>
          <w:p>
            <w:pPr>
              <w:ind w:left="400"/>
              <w:spacing w:after="0"/>
              <w:rPr>
                <w:sz w:val="20"/>
                <w:szCs w:val="20"/>
                <w:color w:val="auto"/>
              </w:rPr>
            </w:pPr>
            <w:r>
              <w:rPr>
                <w:rFonts w:ascii="Calibri" w:cs="Calibri" w:eastAsia="Calibri" w:hAnsi="Calibri"/>
                <w:sz w:val="12"/>
                <w:szCs w:val="12"/>
                <w:b w:val="1"/>
                <w:bCs w:val="1"/>
                <w:color w:val="auto"/>
              </w:rPr>
              <w:t>As of December 31, 2022</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8"/>
        </w:trPr>
        <w:tc>
          <w:tcPr>
            <w:tcW w:w="5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37"/>
        </w:trPr>
        <w:tc>
          <w:tcPr>
            <w:tcW w:w="5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ind w:right="74"/>
              <w:spacing w:after="0" w:line="138" w:lineRule="exact"/>
              <w:rPr>
                <w:sz w:val="20"/>
                <w:szCs w:val="20"/>
                <w:color w:val="auto"/>
              </w:rPr>
            </w:pPr>
            <w:r>
              <w:rPr>
                <w:rFonts w:ascii="Calibri" w:cs="Calibri" w:eastAsia="Calibri" w:hAnsi="Calibri"/>
                <w:sz w:val="12"/>
                <w:szCs w:val="12"/>
                <w:b w:val="1"/>
                <w:bCs w:val="1"/>
                <w:color w:val="auto"/>
              </w:rPr>
              <w:t>Quoted Prices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5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74"/>
              <w:spacing w:after="0"/>
              <w:rPr>
                <w:sz w:val="20"/>
                <w:szCs w:val="20"/>
                <w:color w:val="auto"/>
              </w:rPr>
            </w:pPr>
            <w:r>
              <w:rPr>
                <w:rFonts w:ascii="Calibri" w:cs="Calibri" w:eastAsia="Calibri" w:hAnsi="Calibri"/>
                <w:sz w:val="12"/>
                <w:szCs w:val="12"/>
                <w:b w:val="1"/>
                <w:bCs w:val="1"/>
                <w:color w:val="auto"/>
              </w:rPr>
              <w:t>in Actve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74"/>
              <w:spacing w:after="0"/>
              <w:rPr>
                <w:sz w:val="20"/>
                <w:szCs w:val="20"/>
                <w:color w:val="auto"/>
              </w:rPr>
            </w:pPr>
            <w:r>
              <w:rPr>
                <w:rFonts w:ascii="Calibri" w:cs="Calibri" w:eastAsia="Calibri" w:hAnsi="Calibri"/>
                <w:sz w:val="12"/>
                <w:szCs w:val="12"/>
                <w:b w:val="1"/>
                <w:bCs w:val="1"/>
                <w:color w:val="auto"/>
              </w:rPr>
              <w:t>Signifcant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0"/>
        </w:trPr>
        <w:tc>
          <w:tcPr>
            <w:tcW w:w="5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center"/>
              <w:ind w:right="54"/>
              <w:spacing w:after="0"/>
              <w:rPr>
                <w:sz w:val="20"/>
                <w:szCs w:val="20"/>
                <w:color w:val="auto"/>
              </w:rPr>
            </w:pPr>
            <w:r>
              <w:rPr>
                <w:rFonts w:ascii="Calibri" w:cs="Calibri" w:eastAsia="Calibri" w:hAnsi="Calibri"/>
                <w:sz w:val="12"/>
                <w:szCs w:val="12"/>
                <w:b w:val="1"/>
                <w:bCs w:val="1"/>
                <w:color w:val="auto"/>
              </w:rPr>
              <w:t>Markets</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center"/>
              <w:ind w:right="54"/>
              <w:spacing w:after="0"/>
              <w:rPr>
                <w:sz w:val="20"/>
                <w:szCs w:val="20"/>
                <w:color w:val="auto"/>
              </w:rPr>
            </w:pPr>
            <w:r>
              <w:rPr>
                <w:rFonts w:ascii="Calibri" w:cs="Calibri" w:eastAsia="Calibri" w:hAnsi="Calibri"/>
                <w:sz w:val="12"/>
                <w:szCs w:val="12"/>
                <w:b w:val="1"/>
                <w:bCs w:val="1"/>
                <w:color w:val="auto"/>
              </w:rPr>
              <w:t>Other</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center"/>
              <w:ind w:right="53"/>
              <w:spacing w:after="0"/>
              <w:rPr>
                <w:sz w:val="20"/>
                <w:szCs w:val="20"/>
                <w:color w:val="auto"/>
              </w:rPr>
            </w:pPr>
            <w:r>
              <w:rPr>
                <w:rFonts w:ascii="Calibri" w:cs="Calibri" w:eastAsia="Calibri" w:hAnsi="Calibri"/>
                <w:sz w:val="12"/>
                <w:szCs w:val="12"/>
                <w:b w:val="1"/>
                <w:bCs w:val="1"/>
                <w:color w:val="auto"/>
              </w:rPr>
              <w:t>Signifcant</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0"/>
        </w:trPr>
        <w:tc>
          <w:tcPr>
            <w:tcW w:w="5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center"/>
              <w:ind w:right="54"/>
              <w:spacing w:after="0"/>
              <w:rPr>
                <w:sz w:val="20"/>
                <w:szCs w:val="20"/>
                <w:color w:val="auto"/>
              </w:rPr>
            </w:pPr>
            <w:r>
              <w:rPr>
                <w:rFonts w:ascii="Calibri" w:cs="Calibri" w:eastAsia="Calibri" w:hAnsi="Calibri"/>
                <w:sz w:val="12"/>
                <w:szCs w:val="12"/>
                <w:b w:val="1"/>
                <w:bCs w:val="1"/>
                <w:color w:val="auto"/>
              </w:rPr>
              <w:t>for Identcal</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center"/>
              <w:ind w:right="54"/>
              <w:spacing w:after="0"/>
              <w:rPr>
                <w:sz w:val="20"/>
                <w:szCs w:val="20"/>
                <w:color w:val="auto"/>
              </w:rPr>
            </w:pPr>
            <w:r>
              <w:rPr>
                <w:rFonts w:ascii="Calibri" w:cs="Calibri" w:eastAsia="Calibri" w:hAnsi="Calibri"/>
                <w:sz w:val="12"/>
                <w:szCs w:val="12"/>
                <w:b w:val="1"/>
                <w:bCs w:val="1"/>
                <w:color w:val="auto"/>
              </w:rPr>
              <w:t>Observable</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center"/>
              <w:ind w:right="53"/>
              <w:spacing w:after="0"/>
              <w:rPr>
                <w:sz w:val="20"/>
                <w:szCs w:val="20"/>
                <w:color w:val="auto"/>
              </w:rPr>
            </w:pPr>
            <w:r>
              <w:rPr>
                <w:rFonts w:ascii="Calibri" w:cs="Calibri" w:eastAsia="Calibri" w:hAnsi="Calibri"/>
                <w:sz w:val="12"/>
                <w:szCs w:val="12"/>
                <w:b w:val="1"/>
                <w:bCs w:val="1"/>
                <w:color w:val="auto"/>
              </w:rPr>
              <w:t>Unobservable</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0"/>
        </w:trPr>
        <w:tc>
          <w:tcPr>
            <w:tcW w:w="5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center"/>
              <w:ind w:right="74"/>
              <w:spacing w:after="0"/>
              <w:rPr>
                <w:sz w:val="20"/>
                <w:szCs w:val="20"/>
                <w:color w:val="auto"/>
              </w:rPr>
            </w:pPr>
            <w:r>
              <w:rPr>
                <w:rFonts w:ascii="Calibri" w:cs="Calibri" w:eastAsia="Calibri" w:hAnsi="Calibri"/>
                <w:sz w:val="12"/>
                <w:szCs w:val="12"/>
                <w:b w:val="1"/>
                <w:bCs w:val="1"/>
                <w:color w:val="auto"/>
              </w:rPr>
              <w:t>Assets</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center"/>
              <w:ind w:right="74"/>
              <w:spacing w:after="0"/>
              <w:rPr>
                <w:sz w:val="20"/>
                <w:szCs w:val="20"/>
                <w:color w:val="auto"/>
              </w:rPr>
            </w:pPr>
            <w:r>
              <w:rPr>
                <w:rFonts w:ascii="Calibri" w:cs="Calibri" w:eastAsia="Calibri" w:hAnsi="Calibri"/>
                <w:sz w:val="12"/>
                <w:szCs w:val="12"/>
                <w:b w:val="1"/>
                <w:bCs w:val="1"/>
                <w:color w:val="auto"/>
              </w:rPr>
              <w:t>Inputs</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center"/>
              <w:ind w:right="53"/>
              <w:spacing w:after="0"/>
              <w:rPr>
                <w:sz w:val="20"/>
                <w:szCs w:val="20"/>
                <w:color w:val="auto"/>
              </w:rPr>
            </w:pPr>
            <w:r>
              <w:rPr>
                <w:rFonts w:ascii="Calibri" w:cs="Calibri" w:eastAsia="Calibri" w:hAnsi="Calibri"/>
                <w:sz w:val="12"/>
                <w:szCs w:val="12"/>
                <w:b w:val="1"/>
                <w:bCs w:val="1"/>
                <w:color w:val="auto"/>
              </w:rPr>
              <w:t>Inputs</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0"/>
        </w:trPr>
        <w:tc>
          <w:tcPr>
            <w:tcW w:w="5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center"/>
              <w:ind w:right="54"/>
              <w:spacing w:after="0"/>
              <w:rPr>
                <w:sz w:val="20"/>
                <w:szCs w:val="20"/>
                <w:color w:val="auto"/>
              </w:rPr>
            </w:pPr>
            <w:r>
              <w:rPr>
                <w:rFonts w:ascii="Calibri" w:cs="Calibri" w:eastAsia="Calibri" w:hAnsi="Calibri"/>
                <w:sz w:val="12"/>
                <w:szCs w:val="12"/>
                <w:b w:val="1"/>
                <w:bCs w:val="1"/>
                <w:color w:val="auto"/>
              </w:rPr>
              <w:t>(Level 1 Inputs)</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center"/>
              <w:ind w:right="54"/>
              <w:spacing w:after="0"/>
              <w:rPr>
                <w:sz w:val="20"/>
                <w:szCs w:val="20"/>
                <w:color w:val="auto"/>
              </w:rPr>
            </w:pPr>
            <w:r>
              <w:rPr>
                <w:rFonts w:ascii="Calibri" w:cs="Calibri" w:eastAsia="Calibri" w:hAnsi="Calibri"/>
                <w:sz w:val="12"/>
                <w:szCs w:val="12"/>
                <w:b w:val="1"/>
                <w:bCs w:val="1"/>
                <w:color w:val="auto"/>
              </w:rPr>
              <w:t>(Level 2 Inputs)</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center"/>
              <w:ind w:right="53"/>
              <w:spacing w:after="0"/>
              <w:rPr>
                <w:sz w:val="20"/>
                <w:szCs w:val="20"/>
                <w:color w:val="auto"/>
              </w:rPr>
            </w:pPr>
            <w:r>
              <w:rPr>
                <w:rFonts w:ascii="Calibri" w:cs="Calibri" w:eastAsia="Calibri" w:hAnsi="Calibri"/>
                <w:sz w:val="12"/>
                <w:szCs w:val="12"/>
                <w:b w:val="1"/>
                <w:bCs w:val="1"/>
                <w:color w:val="auto"/>
                <w:w w:val="99"/>
              </w:rPr>
              <w:t>(Level 3 Inputs)</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gridSpan w:val="2"/>
          </w:tcPr>
          <w:p>
            <w:pPr>
              <w:ind w:left="140"/>
              <w:spacing w:after="0"/>
              <w:rPr>
                <w:sz w:val="20"/>
                <w:szCs w:val="20"/>
                <w:color w:val="auto"/>
              </w:rPr>
            </w:pPr>
            <w:r>
              <w:rPr>
                <w:rFonts w:ascii="Calibri" w:cs="Calibri" w:eastAsia="Calibri" w:hAnsi="Calibri"/>
                <w:sz w:val="12"/>
                <w:szCs w:val="12"/>
                <w:b w:val="1"/>
                <w:bCs w:val="1"/>
                <w:color w:val="auto"/>
              </w:rPr>
              <w:t>Total</w:t>
            </w:r>
          </w:p>
        </w:tc>
      </w:tr>
      <w:tr>
        <w:trPr>
          <w:trHeight w:val="28"/>
        </w:trPr>
        <w:tc>
          <w:tcPr>
            <w:tcW w:w="5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79"/>
        </w:trPr>
        <w:tc>
          <w:tcPr>
            <w:tcW w:w="5220" w:type="dxa"/>
            <w:vAlign w:val="bottom"/>
            <w:tcBorders>
              <w:bottom w:val="single" w:sz="8" w:color="CFF0FC"/>
              <w:right w:val="single" w:sz="8" w:color="CFF0FC"/>
            </w:tcBorders>
            <w:shd w:val="clear" w:color="auto" w:fill="CFF0FC"/>
          </w:tcPr>
          <w:p>
            <w:pPr>
              <w:spacing w:after="0" w:line="174" w:lineRule="exact"/>
              <w:rPr>
                <w:sz w:val="20"/>
                <w:szCs w:val="20"/>
                <w:color w:val="auto"/>
              </w:rPr>
            </w:pPr>
            <w:r>
              <w:rPr>
                <w:rFonts w:ascii="Calibri" w:cs="Calibri" w:eastAsia="Calibri" w:hAnsi="Calibri"/>
                <w:sz w:val="15"/>
                <w:szCs w:val="15"/>
                <w:color w:val="auto"/>
              </w:rPr>
              <w:t>Cash equivalents:</w:t>
            </w:r>
          </w:p>
        </w:tc>
        <w:tc>
          <w:tcPr>
            <w:tcW w:w="100" w:type="dxa"/>
            <w:vAlign w:val="bottom"/>
            <w:tcBorders>
              <w:bottom w:val="single" w:sz="8" w:color="CFF0FC"/>
            </w:tcBorders>
            <w:shd w:val="clear" w:color="auto" w:fill="CFF0FC"/>
          </w:tcPr>
          <w:p>
            <w:pPr>
              <w:spacing w:after="0"/>
              <w:rPr>
                <w:sz w:val="15"/>
                <w:szCs w:val="15"/>
                <w:color w:val="auto"/>
              </w:rPr>
            </w:pPr>
          </w:p>
        </w:tc>
        <w:tc>
          <w:tcPr>
            <w:tcW w:w="940" w:type="dxa"/>
            <w:vAlign w:val="bottom"/>
            <w:tcBorders>
              <w:bottom w:val="single" w:sz="8" w:color="CFF0FC"/>
              <w:right w:val="single" w:sz="8" w:color="CFF0FC"/>
            </w:tcBorders>
            <w:shd w:val="clear" w:color="auto" w:fill="CFF0FC"/>
          </w:tcPr>
          <w:p>
            <w:pPr>
              <w:spacing w:after="0"/>
              <w:rPr>
                <w:sz w:val="15"/>
                <w:szCs w:val="15"/>
                <w:color w:val="auto"/>
              </w:rPr>
            </w:pPr>
          </w:p>
        </w:tc>
        <w:tc>
          <w:tcPr>
            <w:tcW w:w="240" w:type="dxa"/>
            <w:vAlign w:val="bottom"/>
            <w:tcBorders>
              <w:bottom w:val="single" w:sz="8" w:color="CFF0FC"/>
              <w:right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940" w:type="dxa"/>
            <w:vAlign w:val="bottom"/>
            <w:tcBorders>
              <w:bottom w:val="single" w:sz="8" w:color="CFF0FC"/>
              <w:right w:val="single" w:sz="8" w:color="CFF0FC"/>
            </w:tcBorders>
            <w:shd w:val="clear" w:color="auto" w:fill="CFF0FC"/>
          </w:tcPr>
          <w:p>
            <w:pPr>
              <w:spacing w:after="0"/>
              <w:rPr>
                <w:sz w:val="15"/>
                <w:szCs w:val="15"/>
                <w:color w:val="auto"/>
              </w:rPr>
            </w:pPr>
          </w:p>
        </w:tc>
        <w:tc>
          <w:tcPr>
            <w:tcW w:w="240" w:type="dxa"/>
            <w:vAlign w:val="bottom"/>
            <w:tcBorders>
              <w:bottom w:val="single" w:sz="8" w:color="CFF0FC"/>
              <w:right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7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r>
      <w:tr>
        <w:trPr>
          <w:trHeight w:val="183"/>
        </w:trPr>
        <w:tc>
          <w:tcPr>
            <w:tcW w:w="5220" w:type="dxa"/>
            <w:vAlign w:val="bottom"/>
          </w:tcPr>
          <w:p>
            <w:pPr>
              <w:ind w:left="160"/>
              <w:spacing w:after="0"/>
              <w:rPr>
                <w:sz w:val="20"/>
                <w:szCs w:val="20"/>
                <w:color w:val="auto"/>
              </w:rPr>
            </w:pPr>
            <w:r>
              <w:rPr>
                <w:rFonts w:ascii="Calibri" w:cs="Calibri" w:eastAsia="Calibri" w:hAnsi="Calibri"/>
                <w:sz w:val="15"/>
                <w:szCs w:val="15"/>
                <w:color w:val="auto"/>
              </w:rPr>
              <w:t>Mutual funds</w:t>
            </w:r>
          </w:p>
        </w:tc>
        <w:tc>
          <w:tcPr>
            <w:tcW w:w="100" w:type="dxa"/>
            <w:vAlign w:val="bottom"/>
          </w:tcPr>
          <w:p>
            <w:pPr>
              <w:jc w:val="right"/>
              <w:spacing w:after="0"/>
              <w:rPr>
                <w:sz w:val="20"/>
                <w:szCs w:val="20"/>
                <w:color w:val="auto"/>
              </w:rPr>
            </w:pPr>
            <w:r>
              <w:rPr>
                <w:rFonts w:ascii="Calibri" w:cs="Calibri" w:eastAsia="Calibri" w:hAnsi="Calibri"/>
                <w:sz w:val="15"/>
                <w:szCs w:val="15"/>
                <w:color w:val="auto"/>
                <w:w w:val="78"/>
              </w:rPr>
              <w:t>$</w:t>
            </w:r>
          </w:p>
        </w:tc>
        <w:tc>
          <w:tcPr>
            <w:tcW w:w="940" w:type="dxa"/>
            <w:vAlign w:val="bottom"/>
          </w:tcPr>
          <w:p>
            <w:pPr>
              <w:jc w:val="right"/>
              <w:spacing w:after="0"/>
              <w:rPr>
                <w:sz w:val="20"/>
                <w:szCs w:val="20"/>
                <w:color w:val="auto"/>
              </w:rPr>
            </w:pPr>
            <w:r>
              <w:rPr>
                <w:rFonts w:ascii="Calibri" w:cs="Calibri" w:eastAsia="Calibri" w:hAnsi="Calibri"/>
                <w:sz w:val="15"/>
                <w:szCs w:val="15"/>
                <w:color w:val="auto"/>
              </w:rPr>
              <w:t>175,486</w:t>
            </w:r>
          </w:p>
        </w:tc>
        <w:tc>
          <w:tcPr>
            <w:tcW w:w="340" w:type="dxa"/>
            <w:vAlign w:val="bottom"/>
            <w:gridSpan w:val="2"/>
          </w:tcPr>
          <w:p>
            <w:pPr>
              <w:jc w:val="right"/>
              <w:ind w:right="20"/>
              <w:spacing w:after="0"/>
              <w:rPr>
                <w:sz w:val="20"/>
                <w:szCs w:val="20"/>
                <w:color w:val="auto"/>
              </w:rPr>
            </w:pPr>
            <w:r>
              <w:rPr>
                <w:rFonts w:ascii="Calibri" w:cs="Calibri" w:eastAsia="Calibri" w:hAnsi="Calibri"/>
                <w:sz w:val="15"/>
                <w:szCs w:val="15"/>
                <w:color w:val="auto"/>
              </w:rPr>
              <w:t>$</w:t>
            </w:r>
          </w:p>
        </w:tc>
        <w:tc>
          <w:tcPr>
            <w:tcW w:w="940" w:type="dxa"/>
            <w:vAlign w:val="bottom"/>
          </w:tcPr>
          <w:p>
            <w:pPr>
              <w:ind w:left="780"/>
              <w:spacing w:after="0"/>
              <w:rPr>
                <w:sz w:val="20"/>
                <w:szCs w:val="20"/>
                <w:color w:val="auto"/>
              </w:rPr>
            </w:pPr>
            <w:r>
              <w:rPr>
                <w:rFonts w:ascii="Calibri" w:cs="Calibri" w:eastAsia="Calibri" w:hAnsi="Calibri"/>
                <w:sz w:val="15"/>
                <w:szCs w:val="15"/>
                <w:color w:val="auto"/>
                <w:w w:val="88"/>
              </w:rPr>
              <w:t>—</w:t>
            </w:r>
          </w:p>
        </w:tc>
        <w:tc>
          <w:tcPr>
            <w:tcW w:w="340" w:type="dxa"/>
            <w:vAlign w:val="bottom"/>
            <w:gridSpan w:val="2"/>
          </w:tcPr>
          <w:p>
            <w:pPr>
              <w:jc w:val="right"/>
              <w:ind w:right="20"/>
              <w:spacing w:after="0"/>
              <w:rPr>
                <w:sz w:val="20"/>
                <w:szCs w:val="20"/>
                <w:color w:val="auto"/>
              </w:rPr>
            </w:pPr>
            <w:r>
              <w:rPr>
                <w:rFonts w:ascii="Calibri" w:cs="Calibri" w:eastAsia="Calibri" w:hAnsi="Calibri"/>
                <w:sz w:val="15"/>
                <w:szCs w:val="15"/>
                <w:color w:val="auto"/>
              </w:rPr>
              <w:t>$</w:t>
            </w:r>
          </w:p>
        </w:tc>
        <w:tc>
          <w:tcPr>
            <w:tcW w:w="920" w:type="dxa"/>
            <w:vAlign w:val="bottom"/>
          </w:tcPr>
          <w:p>
            <w:pPr>
              <w:ind w:left="780"/>
              <w:spacing w:after="0"/>
              <w:rPr>
                <w:sz w:val="20"/>
                <w:szCs w:val="20"/>
                <w:color w:val="auto"/>
              </w:rPr>
            </w:pPr>
            <w:r>
              <w:rPr>
                <w:rFonts w:ascii="Calibri" w:cs="Calibri" w:eastAsia="Calibri" w:hAnsi="Calibri"/>
                <w:sz w:val="15"/>
                <w:szCs w:val="15"/>
                <w:color w:val="auto"/>
                <w:w w:val="88"/>
              </w:rPr>
              <w:t>—</w:t>
            </w:r>
          </w:p>
        </w:tc>
        <w:tc>
          <w:tcPr>
            <w:tcW w:w="460" w:type="dxa"/>
            <w:vAlign w:val="bottom"/>
            <w:gridSpan w:val="2"/>
          </w:tcPr>
          <w:p>
            <w:pPr>
              <w:jc w:val="right"/>
              <w:ind w:right="140"/>
              <w:spacing w:after="0"/>
              <w:rPr>
                <w:sz w:val="20"/>
                <w:szCs w:val="20"/>
                <w:color w:val="auto"/>
              </w:rPr>
            </w:pPr>
            <w:r>
              <w:rPr>
                <w:rFonts w:ascii="Calibri" w:cs="Calibri" w:eastAsia="Calibri" w:hAnsi="Calibri"/>
                <w:sz w:val="15"/>
                <w:szCs w:val="15"/>
                <w:color w:val="auto"/>
              </w:rPr>
              <w:t>$</w:t>
            </w:r>
          </w:p>
        </w:tc>
        <w:tc>
          <w:tcPr>
            <w:tcW w:w="780" w:type="dxa"/>
            <w:vAlign w:val="bottom"/>
          </w:tcPr>
          <w:p>
            <w:pPr>
              <w:jc w:val="right"/>
              <w:spacing w:after="0"/>
              <w:rPr>
                <w:sz w:val="20"/>
                <w:szCs w:val="20"/>
                <w:color w:val="auto"/>
              </w:rPr>
            </w:pPr>
            <w:r>
              <w:rPr>
                <w:rFonts w:ascii="Calibri" w:cs="Calibri" w:eastAsia="Calibri" w:hAnsi="Calibri"/>
                <w:sz w:val="15"/>
                <w:szCs w:val="15"/>
                <w:color w:val="auto"/>
              </w:rPr>
              <w:t>175,486</w:t>
            </w:r>
          </w:p>
        </w:tc>
        <w:tc>
          <w:tcPr>
            <w:tcW w:w="100" w:type="dxa"/>
            <w:vAlign w:val="bottom"/>
          </w:tcPr>
          <w:p>
            <w:pPr>
              <w:spacing w:after="0"/>
              <w:rPr>
                <w:sz w:val="15"/>
                <w:szCs w:val="15"/>
                <w:color w:val="auto"/>
              </w:rPr>
            </w:pPr>
          </w:p>
        </w:tc>
      </w:tr>
      <w:tr>
        <w:trPr>
          <w:trHeight w:val="24"/>
        </w:trPr>
        <w:tc>
          <w:tcPr>
            <w:tcW w:w="5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24"/>
        </w:trPr>
        <w:tc>
          <w:tcPr>
            <w:tcW w:w="5220" w:type="dxa"/>
            <w:vAlign w:val="bottom"/>
            <w:tcBorders>
              <w:bottom w:val="single" w:sz="8" w:color="CFF0FC"/>
              <w:right w:val="single" w:sz="8" w:color="CFF0FC"/>
            </w:tcBorders>
            <w:shd w:val="clear" w:color="auto" w:fill="CFF0FC"/>
          </w:tcPr>
          <w:p>
            <w:pPr>
              <w:spacing w:after="0" w:line="174" w:lineRule="exact"/>
              <w:rPr>
                <w:sz w:val="20"/>
                <w:szCs w:val="20"/>
                <w:color w:val="auto"/>
              </w:rPr>
            </w:pPr>
            <w:r>
              <w:rPr>
                <w:rFonts w:ascii="Calibri" w:cs="Calibri" w:eastAsia="Calibri" w:hAnsi="Calibri"/>
                <w:sz w:val="15"/>
                <w:szCs w:val="15"/>
                <w:color w:val="auto"/>
              </w:rPr>
              <w:t>Total</w:t>
            </w:r>
          </w:p>
        </w:tc>
        <w:tc>
          <w:tcPr>
            <w:tcW w:w="100" w:type="dxa"/>
            <w:vAlign w:val="bottom"/>
            <w:tcBorders>
              <w:bottom w:val="single" w:sz="8" w:color="CFF0FC"/>
            </w:tcBorders>
            <w:shd w:val="clear" w:color="auto" w:fill="CFF0FC"/>
          </w:tcPr>
          <w:p>
            <w:pPr>
              <w:jc w:val="right"/>
              <w:spacing w:after="0" w:line="174" w:lineRule="exact"/>
              <w:rPr>
                <w:sz w:val="20"/>
                <w:szCs w:val="20"/>
                <w:color w:val="auto"/>
              </w:rPr>
            </w:pPr>
            <w:r>
              <w:rPr>
                <w:rFonts w:ascii="Calibri" w:cs="Calibri" w:eastAsia="Calibri" w:hAnsi="Calibri"/>
                <w:sz w:val="15"/>
                <w:szCs w:val="15"/>
                <w:color w:val="auto"/>
                <w:w w:val="78"/>
              </w:rPr>
              <w:t>$</w:t>
            </w:r>
          </w:p>
        </w:tc>
        <w:tc>
          <w:tcPr>
            <w:tcW w:w="940" w:type="dxa"/>
            <w:vAlign w:val="bottom"/>
            <w:tcBorders>
              <w:bottom w:val="single" w:sz="8" w:color="CFF0FC"/>
              <w:right w:val="single" w:sz="8" w:color="CFF0FC"/>
            </w:tcBorders>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175,486</w:t>
            </w:r>
          </w:p>
        </w:tc>
        <w:tc>
          <w:tcPr>
            <w:tcW w:w="340" w:type="dxa"/>
            <w:vAlign w:val="bottom"/>
            <w:tcBorders>
              <w:bottom w:val="single" w:sz="8" w:color="CFF0FC"/>
            </w:tcBorders>
            <w:gridSpan w:val="2"/>
            <w:shd w:val="clear" w:color="auto" w:fill="CFF0FC"/>
          </w:tcPr>
          <w:p>
            <w:pPr>
              <w:jc w:val="right"/>
              <w:ind w:right="20"/>
              <w:spacing w:after="0" w:line="174" w:lineRule="exact"/>
              <w:rPr>
                <w:sz w:val="20"/>
                <w:szCs w:val="20"/>
                <w:color w:val="auto"/>
              </w:rPr>
            </w:pPr>
            <w:r>
              <w:rPr>
                <w:rFonts w:ascii="Calibri" w:cs="Calibri" w:eastAsia="Calibri" w:hAnsi="Calibri"/>
                <w:sz w:val="15"/>
                <w:szCs w:val="15"/>
                <w:color w:val="auto"/>
              </w:rPr>
              <w:t>$</w:t>
            </w:r>
          </w:p>
        </w:tc>
        <w:tc>
          <w:tcPr>
            <w:tcW w:w="940" w:type="dxa"/>
            <w:vAlign w:val="bottom"/>
            <w:tcBorders>
              <w:bottom w:val="single" w:sz="8" w:color="CFF0FC"/>
              <w:right w:val="single" w:sz="8" w:color="CFF0FC"/>
            </w:tcBorders>
            <w:shd w:val="clear" w:color="auto" w:fill="CFF0FC"/>
          </w:tcPr>
          <w:p>
            <w:pPr>
              <w:ind w:left="780"/>
              <w:spacing w:after="0" w:line="174" w:lineRule="exact"/>
              <w:rPr>
                <w:sz w:val="20"/>
                <w:szCs w:val="20"/>
                <w:color w:val="auto"/>
              </w:rPr>
            </w:pPr>
            <w:r>
              <w:rPr>
                <w:rFonts w:ascii="Calibri" w:cs="Calibri" w:eastAsia="Calibri" w:hAnsi="Calibri"/>
                <w:sz w:val="15"/>
                <w:szCs w:val="15"/>
                <w:color w:val="auto"/>
                <w:w w:val="88"/>
              </w:rPr>
              <w:t>—</w:t>
            </w:r>
          </w:p>
        </w:tc>
        <w:tc>
          <w:tcPr>
            <w:tcW w:w="340" w:type="dxa"/>
            <w:vAlign w:val="bottom"/>
            <w:tcBorders>
              <w:bottom w:val="single" w:sz="8" w:color="CFF0FC"/>
            </w:tcBorders>
            <w:gridSpan w:val="2"/>
            <w:shd w:val="clear" w:color="auto" w:fill="CFF0FC"/>
          </w:tcPr>
          <w:p>
            <w:pPr>
              <w:jc w:val="right"/>
              <w:ind w:right="20"/>
              <w:spacing w:after="0" w:line="174" w:lineRule="exact"/>
              <w:rPr>
                <w:sz w:val="20"/>
                <w:szCs w:val="20"/>
                <w:color w:val="auto"/>
              </w:rPr>
            </w:pPr>
            <w:r>
              <w:rPr>
                <w:rFonts w:ascii="Calibri" w:cs="Calibri" w:eastAsia="Calibri" w:hAnsi="Calibri"/>
                <w:sz w:val="15"/>
                <w:szCs w:val="15"/>
                <w:color w:val="auto"/>
              </w:rPr>
              <w:t>$</w:t>
            </w:r>
          </w:p>
        </w:tc>
        <w:tc>
          <w:tcPr>
            <w:tcW w:w="920" w:type="dxa"/>
            <w:vAlign w:val="bottom"/>
            <w:tcBorders>
              <w:bottom w:val="single" w:sz="8" w:color="CFF0FC"/>
            </w:tcBorders>
            <w:shd w:val="clear" w:color="auto" w:fill="CFF0FC"/>
          </w:tcPr>
          <w:p>
            <w:pPr>
              <w:ind w:left="780"/>
              <w:spacing w:after="0" w:line="174" w:lineRule="exact"/>
              <w:rPr>
                <w:sz w:val="20"/>
                <w:szCs w:val="20"/>
                <w:color w:val="auto"/>
              </w:rPr>
            </w:pPr>
            <w:r>
              <w:rPr>
                <w:rFonts w:ascii="Calibri" w:cs="Calibri" w:eastAsia="Calibri" w:hAnsi="Calibri"/>
                <w:sz w:val="15"/>
                <w:szCs w:val="15"/>
                <w:color w:val="auto"/>
                <w:w w:val="88"/>
              </w:rPr>
              <w:t>—</w:t>
            </w:r>
          </w:p>
        </w:tc>
        <w:tc>
          <w:tcPr>
            <w:tcW w:w="460" w:type="dxa"/>
            <w:vAlign w:val="bottom"/>
            <w:tcBorders>
              <w:bottom w:val="single" w:sz="8" w:color="CFF0FC"/>
            </w:tcBorders>
            <w:gridSpan w:val="2"/>
            <w:shd w:val="clear" w:color="auto" w:fill="CFF0FC"/>
          </w:tcPr>
          <w:p>
            <w:pPr>
              <w:jc w:val="right"/>
              <w:ind w:right="140"/>
              <w:spacing w:after="0" w:line="174" w:lineRule="exact"/>
              <w:rPr>
                <w:sz w:val="20"/>
                <w:szCs w:val="20"/>
                <w:color w:val="auto"/>
              </w:rPr>
            </w:pPr>
            <w:r>
              <w:rPr>
                <w:rFonts w:ascii="Calibri" w:cs="Calibri" w:eastAsia="Calibri" w:hAnsi="Calibri"/>
                <w:sz w:val="15"/>
                <w:szCs w:val="15"/>
                <w:color w:val="auto"/>
              </w:rPr>
              <w:t>$</w:t>
            </w:r>
          </w:p>
        </w:tc>
        <w:tc>
          <w:tcPr>
            <w:tcW w:w="780" w:type="dxa"/>
            <w:vAlign w:val="bottom"/>
            <w:tcBorders>
              <w:bottom w:val="single" w:sz="8" w:color="CFF0FC"/>
            </w:tcBorders>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175,486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2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4327525</wp:posOffset>
            </wp:positionH>
            <wp:positionV relativeFrom="paragraph">
              <wp:posOffset>-1387475</wp:posOffset>
            </wp:positionV>
            <wp:extent cx="66040" cy="762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4327525</wp:posOffset>
            </wp:positionH>
            <wp:positionV relativeFrom="paragraph">
              <wp:posOffset>-1372870</wp:posOffset>
            </wp:positionV>
            <wp:extent cx="66040" cy="762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5138420</wp:posOffset>
            </wp:positionH>
            <wp:positionV relativeFrom="paragraph">
              <wp:posOffset>-1387475</wp:posOffset>
            </wp:positionV>
            <wp:extent cx="66040" cy="762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5138420</wp:posOffset>
            </wp:positionH>
            <wp:positionV relativeFrom="paragraph">
              <wp:posOffset>-1372870</wp:posOffset>
            </wp:positionV>
            <wp:extent cx="66040" cy="762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5949315</wp:posOffset>
            </wp:positionH>
            <wp:positionV relativeFrom="paragraph">
              <wp:posOffset>-1387475</wp:posOffset>
            </wp:positionV>
            <wp:extent cx="58420" cy="762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8420" cy="7620"/>
                    </a:xfrm>
                    <a:prstGeom prst="rect">
                      <a:avLst/>
                    </a:prstGeom>
                    <a:noFill/>
                  </pic:spPr>
                </pic:pic>
              </a:graphicData>
            </a:graphic>
          </wp:anchor>
        </w:drawing>
        <w:drawing>
          <wp:anchor simplePos="0" relativeHeight="251657728" behindDoc="1" locked="0" layoutInCell="0" allowOverlap="1">
            <wp:simplePos x="0" y="0"/>
            <wp:positionH relativeFrom="column">
              <wp:posOffset>5949315</wp:posOffset>
            </wp:positionH>
            <wp:positionV relativeFrom="paragraph">
              <wp:posOffset>-1372870</wp:posOffset>
            </wp:positionV>
            <wp:extent cx="58420" cy="762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8420" cy="7620"/>
                    </a:xfrm>
                    <a:prstGeom prst="rect">
                      <a:avLst/>
                    </a:prstGeom>
                    <a:noFill/>
                  </pic:spPr>
                </pic:pic>
              </a:graphicData>
            </a:graphic>
          </wp:anchor>
        </w:drawing>
        <w:drawing>
          <wp:anchor simplePos="0" relativeHeight="251657728" behindDoc="1" locked="0" layoutInCell="0" allowOverlap="1">
            <wp:simplePos x="0" y="0"/>
            <wp:positionH relativeFrom="column">
              <wp:posOffset>6731000</wp:posOffset>
            </wp:positionH>
            <wp:positionV relativeFrom="paragraph">
              <wp:posOffset>-1387475</wp:posOffset>
            </wp:positionV>
            <wp:extent cx="58420" cy="762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8420" cy="7620"/>
                    </a:xfrm>
                    <a:prstGeom prst="rect">
                      <a:avLst/>
                    </a:prstGeom>
                    <a:noFill/>
                  </pic:spPr>
                </pic:pic>
              </a:graphicData>
            </a:graphic>
          </wp:anchor>
        </w:drawing>
        <w:drawing>
          <wp:anchor simplePos="0" relativeHeight="251657728" behindDoc="1" locked="0" layoutInCell="0" allowOverlap="1">
            <wp:simplePos x="0" y="0"/>
            <wp:positionH relativeFrom="column">
              <wp:posOffset>6731000</wp:posOffset>
            </wp:positionH>
            <wp:positionV relativeFrom="paragraph">
              <wp:posOffset>-1372870</wp:posOffset>
            </wp:positionV>
            <wp:extent cx="58420" cy="762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8420" cy="7620"/>
                    </a:xfrm>
                    <a:prstGeom prst="rect">
                      <a:avLst/>
                    </a:prstGeom>
                    <a:noFill/>
                  </pic:spPr>
                </pic:pic>
              </a:graphicData>
            </a:graphic>
          </wp:anchor>
        </w:drawing>
        <w:drawing>
          <wp:anchor simplePos="0" relativeHeight="251657728" behindDoc="1" locked="0" layoutInCell="0" allowOverlap="1">
            <wp:simplePos x="0" y="0"/>
            <wp:positionH relativeFrom="column">
              <wp:posOffset>4319905</wp:posOffset>
            </wp:positionH>
            <wp:positionV relativeFrom="paragraph">
              <wp:posOffset>-21590</wp:posOffset>
            </wp:positionV>
            <wp:extent cx="66040" cy="762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4319905</wp:posOffset>
            </wp:positionH>
            <wp:positionV relativeFrom="paragraph">
              <wp:posOffset>-6985</wp:posOffset>
            </wp:positionV>
            <wp:extent cx="66040" cy="762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5130800</wp:posOffset>
            </wp:positionH>
            <wp:positionV relativeFrom="paragraph">
              <wp:posOffset>-21590</wp:posOffset>
            </wp:positionV>
            <wp:extent cx="66040" cy="762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5130800</wp:posOffset>
            </wp:positionH>
            <wp:positionV relativeFrom="paragraph">
              <wp:posOffset>-6985</wp:posOffset>
            </wp:positionV>
            <wp:extent cx="66040" cy="762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5942330</wp:posOffset>
            </wp:positionH>
            <wp:positionV relativeFrom="paragraph">
              <wp:posOffset>-21590</wp:posOffset>
            </wp:positionV>
            <wp:extent cx="66040" cy="762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5942330</wp:posOffset>
            </wp:positionH>
            <wp:positionV relativeFrom="paragraph">
              <wp:posOffset>-6985</wp:posOffset>
            </wp:positionV>
            <wp:extent cx="66040" cy="762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6731000</wp:posOffset>
            </wp:positionH>
            <wp:positionV relativeFrom="paragraph">
              <wp:posOffset>-21590</wp:posOffset>
            </wp:positionV>
            <wp:extent cx="58420" cy="762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8420" cy="7620"/>
                    </a:xfrm>
                    <a:prstGeom prst="rect">
                      <a:avLst/>
                    </a:prstGeom>
                    <a:noFill/>
                  </pic:spPr>
                </pic:pic>
              </a:graphicData>
            </a:graphic>
          </wp:anchor>
        </w:drawing>
        <w:drawing>
          <wp:anchor simplePos="0" relativeHeight="251657728" behindDoc="1" locked="0" layoutInCell="0" allowOverlap="1">
            <wp:simplePos x="0" y="0"/>
            <wp:positionH relativeFrom="column">
              <wp:posOffset>6731000</wp:posOffset>
            </wp:positionH>
            <wp:positionV relativeFrom="paragraph">
              <wp:posOffset>-6985</wp:posOffset>
            </wp:positionV>
            <wp:extent cx="58420" cy="762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8420" cy="7620"/>
                    </a:xfrm>
                    <a:prstGeom prst="rect">
                      <a:avLst/>
                    </a:prstGeom>
                    <a:noFill/>
                  </pic:spPr>
                </pic:pic>
              </a:graphicData>
            </a:graphic>
          </wp:anchor>
        </w:drawing>
      </w:r>
    </w:p>
    <w:p>
      <w:pPr>
        <w:spacing w:after="0" w:line="146" w:lineRule="exact"/>
        <w:rPr>
          <w:sz w:val="20"/>
          <w:szCs w:val="20"/>
          <w:color w:val="auto"/>
        </w:rPr>
      </w:pPr>
    </w:p>
    <w:p>
      <w:pPr>
        <w:ind w:firstLine="511"/>
        <w:spacing w:after="0" w:line="241" w:lineRule="auto"/>
        <w:rPr>
          <w:sz w:val="20"/>
          <w:szCs w:val="20"/>
          <w:color w:val="auto"/>
        </w:rPr>
      </w:pPr>
      <w:r>
        <w:rPr>
          <w:rFonts w:ascii="Calibri" w:cs="Calibri" w:eastAsia="Calibri" w:hAnsi="Calibri"/>
          <w:sz w:val="15"/>
          <w:szCs w:val="15"/>
          <w:color w:val="auto"/>
        </w:rPr>
        <w:t>As of December 31, 2023, the Company received $3,075 in dividend income from the investments, recognized within interest income on the consolidated income statements. As of December 31, 2023, unrealized gain on short-term investments in equity securites was immaterial.</w:t>
      </w:r>
    </w:p>
    <w:p>
      <w:pPr>
        <w:spacing w:after="0" w:line="184" w:lineRule="exact"/>
        <w:rPr>
          <w:sz w:val="20"/>
          <w:szCs w:val="20"/>
          <w:color w:val="auto"/>
        </w:rPr>
      </w:pPr>
    </w:p>
    <w:p>
      <w:pPr>
        <w:ind w:left="500"/>
        <w:spacing w:after="0"/>
        <w:rPr>
          <w:sz w:val="20"/>
          <w:szCs w:val="20"/>
          <w:color w:val="auto"/>
        </w:rPr>
      </w:pPr>
      <w:r>
        <w:rPr>
          <w:rFonts w:ascii="Calibri" w:cs="Calibri" w:eastAsia="Calibri" w:hAnsi="Calibri"/>
          <w:sz w:val="15"/>
          <w:szCs w:val="15"/>
          <w:color w:val="auto"/>
        </w:rPr>
        <w:t>As of December 31, 2022, the Company did not hold any investments.</w:t>
      </w:r>
    </w:p>
    <w:p>
      <w:pPr>
        <w:spacing w:after="0" w:line="369" w:lineRule="exact"/>
        <w:rPr>
          <w:sz w:val="20"/>
          <w:szCs w:val="20"/>
          <w:color w:val="auto"/>
        </w:rPr>
      </w:pPr>
    </w:p>
    <w:p>
      <w:pPr>
        <w:jc w:val="center"/>
        <w:spacing w:after="0"/>
        <w:rPr>
          <w:sz w:val="20"/>
          <w:szCs w:val="20"/>
          <w:color w:val="auto"/>
        </w:rPr>
      </w:pPr>
      <w:r>
        <w:rPr>
          <w:rFonts w:ascii="Calibri" w:cs="Calibri" w:eastAsia="Calibri" w:hAnsi="Calibri"/>
          <w:sz w:val="15"/>
          <w:szCs w:val="15"/>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408940</wp:posOffset>
            </wp:positionV>
            <wp:extent cx="7178040" cy="4000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3" w:right="319" w:bottom="1440" w:gutter="0" w:footer="0" w:header="0"/>
        </w:sectPr>
      </w:pPr>
    </w:p>
    <w:bookmarkStart w:id="113" w:name="page114"/>
    <w:bookmarkEnd w:id="113"/>
    <w:p>
      <w:pPr>
        <w:spacing w:after="0"/>
        <w:rPr>
          <w:sz w:val="20"/>
          <w:szCs w:val="20"/>
          <w:color w:val="auto"/>
        </w:rPr>
      </w:pPr>
      <w:r>
        <w:rPr>
          <w:rFonts w:ascii="Calibri" w:cs="Calibri" w:eastAsia="Calibri" w:hAnsi="Calibri"/>
          <w:sz w:val="15"/>
          <w:szCs w:val="15"/>
          <w:b w:val="1"/>
          <w:bCs w:val="1"/>
          <w:color w:val="auto"/>
        </w:rPr>
        <w:t>6. Property and Equipment, Net</w:t>
      </w:r>
    </w:p>
    <w:p>
      <w:pPr>
        <w:spacing w:after="0" w:line="185" w:lineRule="exact"/>
        <w:rPr>
          <w:sz w:val="20"/>
          <w:szCs w:val="20"/>
          <w:color w:val="auto"/>
        </w:rPr>
      </w:pPr>
    </w:p>
    <w:p>
      <w:pPr>
        <w:ind w:left="500"/>
        <w:spacing w:after="0"/>
        <w:rPr>
          <w:sz w:val="20"/>
          <w:szCs w:val="20"/>
          <w:color w:val="auto"/>
        </w:rPr>
      </w:pPr>
      <w:r>
        <w:rPr>
          <w:rFonts w:ascii="Calibri" w:cs="Calibri" w:eastAsia="Calibri" w:hAnsi="Calibri"/>
          <w:sz w:val="15"/>
          <w:szCs w:val="15"/>
          <w:color w:val="auto"/>
        </w:rPr>
        <w:t>As of December 31, 2023 and 2022, property and equipment, net consist of the following:</w:t>
      </w:r>
    </w:p>
    <w:p>
      <w:pPr>
        <w:spacing w:after="0" w:line="294" w:lineRule="exact"/>
        <w:rPr>
          <w:sz w:val="20"/>
          <w:szCs w:val="20"/>
          <w:color w:val="auto"/>
        </w:rPr>
      </w:pPr>
    </w:p>
    <w:tbl>
      <w:tblPr>
        <w:tblLayout w:type="fixed"/>
        <w:tblInd w:w="560" w:type="dxa"/>
        <w:tblCellMar>
          <w:top w:w="0" w:type="dxa"/>
          <w:left w:w="0" w:type="dxa"/>
          <w:bottom w:w="0" w:type="dxa"/>
          <w:right w:w="0" w:type="dxa"/>
        </w:tblCellMar>
      </w:tblPr>
      <w:tr>
        <w:trPr>
          <w:trHeight w:val="146"/>
        </w:trPr>
        <w:tc>
          <w:tcPr>
            <w:tcW w:w="6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20" w:type="dxa"/>
            <w:vAlign w:val="bottom"/>
            <w:gridSpan w:val="3"/>
          </w:tcPr>
          <w:p>
            <w:pPr>
              <w:jc w:val="right"/>
              <w:ind w:right="43"/>
              <w:spacing w:after="0"/>
              <w:rPr>
                <w:sz w:val="20"/>
                <w:szCs w:val="20"/>
                <w:color w:val="auto"/>
              </w:rPr>
            </w:pPr>
            <w:r>
              <w:rPr>
                <w:rFonts w:ascii="Calibri" w:cs="Calibri" w:eastAsia="Calibri" w:hAnsi="Calibri"/>
                <w:sz w:val="12"/>
                <w:szCs w:val="12"/>
                <w:b w:val="1"/>
                <w:bCs w:val="1"/>
                <w:color w:val="auto"/>
              </w:rPr>
              <w:t>As of December 31,</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8"/>
        </w:trPr>
        <w:tc>
          <w:tcPr>
            <w:tcW w:w="69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37"/>
        </w:trPr>
        <w:tc>
          <w:tcPr>
            <w:tcW w:w="69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jc w:val="right"/>
              <w:ind w:right="506"/>
              <w:spacing w:after="0" w:line="138" w:lineRule="exact"/>
              <w:rPr>
                <w:sz w:val="20"/>
                <w:szCs w:val="20"/>
                <w:color w:val="auto"/>
              </w:rPr>
            </w:pPr>
            <w:r>
              <w:rPr>
                <w:rFonts w:ascii="Calibri" w:cs="Calibri" w:eastAsia="Calibri" w:hAnsi="Calibri"/>
                <w:sz w:val="12"/>
                <w:szCs w:val="12"/>
                <w:b w:val="1"/>
                <w:bCs w:val="1"/>
                <w:color w:val="auto"/>
              </w:rPr>
              <w:t>2023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40" w:type="dxa"/>
            <w:vAlign w:val="bottom"/>
          </w:tcPr>
          <w:p>
            <w:pPr>
              <w:jc w:val="right"/>
              <w:ind w:right="505"/>
              <w:spacing w:after="0" w:line="138" w:lineRule="exact"/>
              <w:rPr>
                <w:sz w:val="20"/>
                <w:szCs w:val="20"/>
                <w:color w:val="auto"/>
              </w:rPr>
            </w:pPr>
            <w:r>
              <w:rPr>
                <w:rFonts w:ascii="Calibri" w:cs="Calibri" w:eastAsia="Calibri" w:hAnsi="Calibri"/>
                <w:sz w:val="12"/>
                <w:szCs w:val="12"/>
                <w:b w:val="1"/>
                <w:bCs w:val="1"/>
                <w:color w:val="auto"/>
              </w:rPr>
              <w:t>2022</w:t>
            </w:r>
          </w:p>
        </w:tc>
        <w:tc>
          <w:tcPr>
            <w:tcW w:w="100" w:type="dxa"/>
            <w:vAlign w:val="bottom"/>
          </w:tcPr>
          <w:p>
            <w:pPr>
              <w:spacing w:after="0"/>
              <w:rPr>
                <w:sz w:val="11"/>
                <w:szCs w:val="11"/>
                <w:color w:val="auto"/>
              </w:rPr>
            </w:pPr>
          </w:p>
        </w:tc>
      </w:tr>
      <w:tr>
        <w:trPr>
          <w:trHeight w:val="27"/>
        </w:trPr>
        <w:tc>
          <w:tcPr>
            <w:tcW w:w="69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79"/>
        </w:trPr>
        <w:tc>
          <w:tcPr>
            <w:tcW w:w="6940" w:type="dxa"/>
            <w:vAlign w:val="bottom"/>
            <w:tcBorders>
              <w:bottom w:val="single" w:sz="8" w:color="CFF0FC"/>
            </w:tcBorders>
            <w:shd w:val="clear" w:color="auto" w:fill="CFF0FC"/>
          </w:tcPr>
          <w:p>
            <w:pPr>
              <w:spacing w:after="0" w:line="174" w:lineRule="exact"/>
              <w:rPr>
                <w:sz w:val="20"/>
                <w:szCs w:val="20"/>
                <w:color w:val="auto"/>
              </w:rPr>
            </w:pPr>
            <w:r>
              <w:rPr>
                <w:rFonts w:ascii="Calibri" w:cs="Calibri" w:eastAsia="Calibri" w:hAnsi="Calibri"/>
                <w:sz w:val="15"/>
                <w:szCs w:val="15"/>
                <w:color w:val="auto"/>
              </w:rPr>
              <w:t>Capitalized equipment</w:t>
            </w:r>
          </w:p>
        </w:tc>
        <w:tc>
          <w:tcPr>
            <w:tcW w:w="340" w:type="dxa"/>
            <w:vAlign w:val="bottom"/>
            <w:tcBorders>
              <w:bottom w:val="single" w:sz="8" w:color="CFF0FC"/>
            </w:tcBorders>
            <w:shd w:val="clear" w:color="auto" w:fill="CFF0FC"/>
          </w:tcPr>
          <w:p>
            <w:pPr>
              <w:jc w:val="right"/>
              <w:ind w:right="163"/>
              <w:spacing w:after="0" w:line="174" w:lineRule="exact"/>
              <w:rPr>
                <w:sz w:val="20"/>
                <w:szCs w:val="20"/>
                <w:color w:val="auto"/>
              </w:rPr>
            </w:pPr>
            <w:r>
              <w:rPr>
                <w:rFonts w:ascii="Calibri" w:cs="Calibri" w:eastAsia="Calibri" w:hAnsi="Calibri"/>
                <w:sz w:val="15"/>
                <w:szCs w:val="15"/>
                <w:color w:val="auto"/>
              </w:rPr>
              <w:t>$</w:t>
            </w:r>
          </w:p>
        </w:tc>
        <w:tc>
          <w:tcPr>
            <w:tcW w:w="1080" w:type="dxa"/>
            <w:vAlign w:val="bottom"/>
            <w:tcBorders>
              <w:bottom w:val="single" w:sz="8" w:color="CFF0FC"/>
            </w:tcBorders>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1,326</w:t>
            </w:r>
          </w:p>
        </w:tc>
        <w:tc>
          <w:tcPr>
            <w:tcW w:w="280" w:type="dxa"/>
            <w:vAlign w:val="bottom"/>
            <w:tcBorders>
              <w:bottom w:val="single" w:sz="8" w:color="CFF0FC"/>
            </w:tcBorders>
            <w:shd w:val="clear" w:color="auto" w:fill="CFF0FC"/>
          </w:tcPr>
          <w:p>
            <w:pPr>
              <w:spacing w:after="0"/>
              <w:rPr>
                <w:sz w:val="15"/>
                <w:szCs w:val="15"/>
                <w:color w:val="auto"/>
              </w:rPr>
            </w:pPr>
          </w:p>
        </w:tc>
        <w:tc>
          <w:tcPr>
            <w:tcW w:w="460" w:type="dxa"/>
            <w:vAlign w:val="bottom"/>
            <w:tcBorders>
              <w:bottom w:val="single" w:sz="8" w:color="CFF0FC"/>
            </w:tcBorders>
            <w:shd w:val="clear" w:color="auto" w:fill="CFF0FC"/>
          </w:tcPr>
          <w:p>
            <w:pPr>
              <w:jc w:val="right"/>
              <w:ind w:right="283"/>
              <w:spacing w:after="0" w:line="174" w:lineRule="exact"/>
              <w:rPr>
                <w:sz w:val="20"/>
                <w:szCs w:val="20"/>
                <w:color w:val="auto"/>
              </w:rPr>
            </w:pPr>
            <w:r>
              <w:rPr>
                <w:rFonts w:ascii="Calibri" w:cs="Calibri" w:eastAsia="Calibri" w:hAnsi="Calibri"/>
                <w:sz w:val="15"/>
                <w:szCs w:val="15"/>
                <w:color w:val="auto"/>
              </w:rPr>
              <w:t>$</w:t>
            </w:r>
          </w:p>
        </w:tc>
        <w:tc>
          <w:tcPr>
            <w:tcW w:w="940" w:type="dxa"/>
            <w:vAlign w:val="bottom"/>
            <w:tcBorders>
              <w:bottom w:val="single" w:sz="8" w:color="CFF0FC"/>
            </w:tcBorders>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7,877</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83"/>
        </w:trPr>
        <w:tc>
          <w:tcPr>
            <w:tcW w:w="6940" w:type="dxa"/>
            <w:vAlign w:val="bottom"/>
          </w:tcPr>
          <w:p>
            <w:pPr>
              <w:spacing w:after="0"/>
              <w:rPr>
                <w:sz w:val="20"/>
                <w:szCs w:val="20"/>
                <w:color w:val="auto"/>
              </w:rPr>
            </w:pPr>
            <w:r>
              <w:rPr>
                <w:rFonts w:ascii="Calibri" w:cs="Calibri" w:eastAsia="Calibri" w:hAnsi="Calibri"/>
                <w:sz w:val="15"/>
                <w:szCs w:val="15"/>
                <w:color w:val="auto"/>
              </w:rPr>
              <w:t>Capitalized internal-use sofware</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alibri" w:cs="Calibri" w:eastAsia="Calibri" w:hAnsi="Calibri"/>
                <w:sz w:val="15"/>
                <w:szCs w:val="15"/>
                <w:color w:val="auto"/>
              </w:rPr>
              <w:t>12,279</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alibri" w:cs="Calibri" w:eastAsia="Calibri" w:hAnsi="Calibri"/>
                <w:sz w:val="15"/>
                <w:szCs w:val="15"/>
                <w:color w:val="auto"/>
              </w:rPr>
              <w:t>7,429</w:t>
            </w:r>
          </w:p>
        </w:tc>
        <w:tc>
          <w:tcPr>
            <w:tcW w:w="100" w:type="dxa"/>
            <w:vAlign w:val="bottom"/>
          </w:tcPr>
          <w:p>
            <w:pPr>
              <w:spacing w:after="0"/>
              <w:rPr>
                <w:sz w:val="15"/>
                <w:szCs w:val="15"/>
                <w:color w:val="auto"/>
              </w:rPr>
            </w:pPr>
          </w:p>
        </w:tc>
      </w:tr>
      <w:tr>
        <w:trPr>
          <w:trHeight w:val="24"/>
        </w:trPr>
        <w:tc>
          <w:tcPr>
            <w:tcW w:w="6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7"/>
        </w:trPr>
        <w:tc>
          <w:tcPr>
            <w:tcW w:w="694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5"/>
                <w:szCs w:val="15"/>
                <w:color w:val="auto"/>
              </w:rPr>
              <w:t>Capitalized website development</w:t>
            </w:r>
          </w:p>
        </w:tc>
        <w:tc>
          <w:tcPr>
            <w:tcW w:w="340" w:type="dxa"/>
            <w:vAlign w:val="bottom"/>
            <w:tcBorders>
              <w:bottom w:val="single" w:sz="8" w:color="CFF0FC"/>
            </w:tcBorders>
            <w:shd w:val="clear" w:color="auto" w:fill="CFF0FC"/>
          </w:tcPr>
          <w:p>
            <w:pPr>
              <w:spacing w:after="0"/>
              <w:rPr>
                <w:sz w:val="16"/>
                <w:szCs w:val="16"/>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57,158</w:t>
            </w:r>
          </w:p>
        </w:tc>
        <w:tc>
          <w:tcPr>
            <w:tcW w:w="280" w:type="dxa"/>
            <w:vAlign w:val="bottom"/>
            <w:tcBorders>
              <w:bottom w:val="single" w:sz="8" w:color="CFF0FC"/>
            </w:tcBorders>
            <w:shd w:val="clear" w:color="auto" w:fill="CFF0FC"/>
          </w:tcPr>
          <w:p>
            <w:pPr>
              <w:spacing w:after="0"/>
              <w:rPr>
                <w:sz w:val="16"/>
                <w:szCs w:val="16"/>
                <w:color w:val="auto"/>
              </w:rPr>
            </w:pPr>
          </w:p>
        </w:tc>
        <w:tc>
          <w:tcPr>
            <w:tcW w:w="460" w:type="dxa"/>
            <w:vAlign w:val="bottom"/>
            <w:tcBorders>
              <w:bottom w:val="single" w:sz="8" w:color="CFF0FC"/>
            </w:tcBorders>
            <w:shd w:val="clear" w:color="auto" w:fill="CFF0FC"/>
          </w:tcPr>
          <w:p>
            <w:pPr>
              <w:spacing w:after="0"/>
              <w:rPr>
                <w:sz w:val="16"/>
                <w:szCs w:val="16"/>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36,369</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6940" w:type="dxa"/>
            <w:vAlign w:val="bottom"/>
          </w:tcPr>
          <w:p>
            <w:pPr>
              <w:spacing w:after="0"/>
              <w:rPr>
                <w:sz w:val="20"/>
                <w:szCs w:val="20"/>
                <w:color w:val="auto"/>
              </w:rPr>
            </w:pPr>
            <w:r>
              <w:rPr>
                <w:rFonts w:ascii="Calibri" w:cs="Calibri" w:eastAsia="Calibri" w:hAnsi="Calibri"/>
                <w:sz w:val="15"/>
                <w:szCs w:val="15"/>
                <w:color w:val="auto"/>
              </w:rPr>
              <w:t>Furniture and fxtures</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alibri" w:cs="Calibri" w:eastAsia="Calibri" w:hAnsi="Calibri"/>
                <w:sz w:val="15"/>
                <w:szCs w:val="15"/>
                <w:color w:val="auto"/>
              </w:rPr>
              <w:t>8,149</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alibri" w:cs="Calibri" w:eastAsia="Calibri" w:hAnsi="Calibri"/>
                <w:sz w:val="15"/>
                <w:szCs w:val="15"/>
                <w:color w:val="auto"/>
              </w:rPr>
              <w:t>8,615</w:t>
            </w:r>
          </w:p>
        </w:tc>
        <w:tc>
          <w:tcPr>
            <w:tcW w:w="100" w:type="dxa"/>
            <w:vAlign w:val="bottom"/>
          </w:tcPr>
          <w:p>
            <w:pPr>
              <w:spacing w:after="0"/>
              <w:rPr>
                <w:sz w:val="15"/>
                <w:szCs w:val="15"/>
                <w:color w:val="auto"/>
              </w:rPr>
            </w:pPr>
          </w:p>
        </w:tc>
      </w:tr>
      <w:tr>
        <w:trPr>
          <w:trHeight w:val="24"/>
        </w:trPr>
        <w:tc>
          <w:tcPr>
            <w:tcW w:w="6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7"/>
        </w:trPr>
        <w:tc>
          <w:tcPr>
            <w:tcW w:w="694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5"/>
                <w:szCs w:val="15"/>
                <w:color w:val="auto"/>
              </w:rPr>
              <w:t>Leasehold improvements</w:t>
            </w:r>
          </w:p>
        </w:tc>
        <w:tc>
          <w:tcPr>
            <w:tcW w:w="340" w:type="dxa"/>
            <w:vAlign w:val="bottom"/>
            <w:tcBorders>
              <w:bottom w:val="single" w:sz="8" w:color="CFF0FC"/>
            </w:tcBorders>
            <w:shd w:val="clear" w:color="auto" w:fill="CFF0FC"/>
          </w:tcPr>
          <w:p>
            <w:pPr>
              <w:spacing w:after="0"/>
              <w:rPr>
                <w:sz w:val="16"/>
                <w:szCs w:val="16"/>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23,308</w:t>
            </w:r>
          </w:p>
        </w:tc>
        <w:tc>
          <w:tcPr>
            <w:tcW w:w="280" w:type="dxa"/>
            <w:vAlign w:val="bottom"/>
            <w:tcBorders>
              <w:bottom w:val="single" w:sz="8" w:color="CFF0FC"/>
            </w:tcBorders>
            <w:shd w:val="clear" w:color="auto" w:fill="CFF0FC"/>
          </w:tcPr>
          <w:p>
            <w:pPr>
              <w:spacing w:after="0"/>
              <w:rPr>
                <w:sz w:val="16"/>
                <w:szCs w:val="16"/>
                <w:color w:val="auto"/>
              </w:rPr>
            </w:pPr>
          </w:p>
        </w:tc>
        <w:tc>
          <w:tcPr>
            <w:tcW w:w="460" w:type="dxa"/>
            <w:vAlign w:val="bottom"/>
            <w:tcBorders>
              <w:bottom w:val="single" w:sz="8" w:color="CFF0FC"/>
            </w:tcBorders>
            <w:shd w:val="clear" w:color="auto" w:fill="CFF0FC"/>
          </w:tcPr>
          <w:p>
            <w:pPr>
              <w:spacing w:after="0"/>
              <w:rPr>
                <w:sz w:val="16"/>
                <w:szCs w:val="16"/>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24,225</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6940" w:type="dxa"/>
            <w:vAlign w:val="bottom"/>
          </w:tcPr>
          <w:p>
            <w:pPr>
              <w:spacing w:after="0"/>
              <w:rPr>
                <w:sz w:val="20"/>
                <w:szCs w:val="20"/>
                <w:color w:val="auto"/>
              </w:rPr>
            </w:pPr>
            <w:r>
              <w:rPr>
                <w:rFonts w:ascii="Calibri" w:cs="Calibri" w:eastAsia="Calibri" w:hAnsi="Calibri"/>
                <w:sz w:val="15"/>
                <w:szCs w:val="15"/>
                <w:color w:val="auto"/>
              </w:rPr>
              <w:t>Constructon in progress</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alibri" w:cs="Calibri" w:eastAsia="Calibri" w:hAnsi="Calibri"/>
                <w:sz w:val="15"/>
                <w:szCs w:val="15"/>
                <w:color w:val="auto"/>
              </w:rPr>
              <w:t>39,835</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alibri" w:cs="Calibri" w:eastAsia="Calibri" w:hAnsi="Calibri"/>
                <w:sz w:val="15"/>
                <w:szCs w:val="15"/>
                <w:color w:val="auto"/>
              </w:rPr>
              <w:t>4,161</w:t>
            </w:r>
          </w:p>
        </w:tc>
        <w:tc>
          <w:tcPr>
            <w:tcW w:w="100" w:type="dxa"/>
            <w:vAlign w:val="bottom"/>
          </w:tcPr>
          <w:p>
            <w:pPr>
              <w:spacing w:after="0"/>
              <w:rPr>
                <w:sz w:val="15"/>
                <w:szCs w:val="15"/>
                <w:color w:val="auto"/>
              </w:rPr>
            </w:pPr>
          </w:p>
        </w:tc>
      </w:tr>
      <w:tr>
        <w:trPr>
          <w:trHeight w:val="24"/>
        </w:trPr>
        <w:tc>
          <w:tcPr>
            <w:tcW w:w="6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2"/>
        </w:trPr>
        <w:tc>
          <w:tcPr>
            <w:tcW w:w="694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5"/>
                <w:szCs w:val="15"/>
                <w:color w:val="auto"/>
              </w:rPr>
              <w:t>Finance lease right-of-use assets</w:t>
            </w:r>
          </w:p>
        </w:tc>
        <w:tc>
          <w:tcPr>
            <w:tcW w:w="34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288</w:t>
            </w:r>
          </w:p>
        </w:tc>
        <w:tc>
          <w:tcPr>
            <w:tcW w:w="2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420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75"/>
        </w:trPr>
        <w:tc>
          <w:tcPr>
            <w:tcW w:w="6940" w:type="dxa"/>
            <w:vAlign w:val="bottom"/>
            <w:tcBorders>
              <w:top w:val="single" w:sz="8" w:color="CFF0FC"/>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line="174" w:lineRule="exact"/>
              <w:rPr>
                <w:sz w:val="20"/>
                <w:szCs w:val="20"/>
                <w:color w:val="auto"/>
              </w:rPr>
            </w:pPr>
            <w:r>
              <w:rPr>
                <w:rFonts w:ascii="Calibri" w:cs="Calibri" w:eastAsia="Calibri" w:hAnsi="Calibri"/>
                <w:sz w:val="15"/>
                <w:szCs w:val="15"/>
                <w:color w:val="auto"/>
              </w:rPr>
              <w:t>142,343</w:t>
            </w:r>
          </w:p>
        </w:tc>
        <w:tc>
          <w:tcPr>
            <w:tcW w:w="280" w:type="dxa"/>
            <w:vAlign w:val="bottom"/>
            <w:tcBorders>
              <w:top w:val="single" w:sz="8" w:color="CFF0FC"/>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line="174" w:lineRule="exact"/>
              <w:rPr>
                <w:sz w:val="20"/>
                <w:szCs w:val="20"/>
                <w:color w:val="auto"/>
              </w:rPr>
            </w:pPr>
            <w:r>
              <w:rPr>
                <w:rFonts w:ascii="Calibri" w:cs="Calibri" w:eastAsia="Calibri" w:hAnsi="Calibri"/>
                <w:sz w:val="15"/>
                <w:szCs w:val="15"/>
                <w:color w:val="auto"/>
              </w:rPr>
              <w:t>89,096</w:t>
            </w:r>
          </w:p>
        </w:tc>
        <w:tc>
          <w:tcPr>
            <w:tcW w:w="100" w:type="dxa"/>
            <w:vAlign w:val="bottom"/>
            <w:tcBorders>
              <w:top w:val="single" w:sz="8" w:color="CFF0FC"/>
            </w:tcBorders>
          </w:tcPr>
          <w:p>
            <w:pPr>
              <w:spacing w:after="0"/>
              <w:rPr>
                <w:sz w:val="15"/>
                <w:szCs w:val="15"/>
                <w:color w:val="auto"/>
              </w:rPr>
            </w:pPr>
          </w:p>
        </w:tc>
      </w:tr>
      <w:tr>
        <w:trPr>
          <w:trHeight w:val="24"/>
        </w:trPr>
        <w:tc>
          <w:tcPr>
            <w:tcW w:w="6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2"/>
        </w:trPr>
        <w:tc>
          <w:tcPr>
            <w:tcW w:w="694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5"/>
                <w:szCs w:val="15"/>
                <w:color w:val="auto"/>
              </w:rPr>
              <w:t>Less accumulated depreciaton and amortzaton</w:t>
            </w:r>
          </w:p>
        </w:tc>
        <w:tc>
          <w:tcPr>
            <w:tcW w:w="34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Calibri" w:cs="Calibri" w:eastAsia="Calibri" w:hAnsi="Calibri"/>
                <w:sz w:val="15"/>
                <w:szCs w:val="15"/>
                <w:color w:val="auto"/>
              </w:rPr>
              <w:t>(58,973 )</w:t>
            </w:r>
          </w:p>
        </w:tc>
        <w:tc>
          <w:tcPr>
            <w:tcW w:w="46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gridSpan w:val="2"/>
            <w:shd w:val="clear" w:color="auto" w:fill="CFF0FC"/>
          </w:tcPr>
          <w:p>
            <w:pPr>
              <w:jc w:val="right"/>
              <w:ind w:right="40"/>
              <w:spacing w:after="0"/>
              <w:rPr>
                <w:sz w:val="20"/>
                <w:szCs w:val="20"/>
                <w:color w:val="auto"/>
              </w:rPr>
            </w:pPr>
            <w:r>
              <w:rPr>
                <w:rFonts w:ascii="Calibri" w:cs="Calibri" w:eastAsia="Calibri" w:hAnsi="Calibri"/>
                <w:sz w:val="15"/>
                <w:szCs w:val="15"/>
                <w:color w:val="auto"/>
              </w:rPr>
              <w:t>(48,968 )</w:t>
            </w:r>
          </w:p>
        </w:tc>
      </w:tr>
      <w:tr>
        <w:trPr>
          <w:trHeight w:val="175"/>
        </w:trPr>
        <w:tc>
          <w:tcPr>
            <w:tcW w:w="6940" w:type="dxa"/>
            <w:vAlign w:val="bottom"/>
            <w:tcBorders>
              <w:top w:val="single" w:sz="8" w:color="CFF0FC"/>
            </w:tcBorders>
          </w:tcPr>
          <w:p>
            <w:pPr>
              <w:ind w:left="80"/>
              <w:spacing w:after="0" w:line="174" w:lineRule="exact"/>
              <w:rPr>
                <w:sz w:val="20"/>
                <w:szCs w:val="20"/>
                <w:color w:val="auto"/>
              </w:rPr>
            </w:pPr>
            <w:r>
              <w:rPr>
                <w:rFonts w:ascii="Calibri" w:cs="Calibri" w:eastAsia="Calibri" w:hAnsi="Calibri"/>
                <w:sz w:val="15"/>
                <w:szCs w:val="15"/>
                <w:color w:val="auto"/>
              </w:rPr>
              <w:t>Total</w:t>
            </w:r>
          </w:p>
        </w:tc>
        <w:tc>
          <w:tcPr>
            <w:tcW w:w="340" w:type="dxa"/>
            <w:vAlign w:val="bottom"/>
            <w:tcBorders>
              <w:top w:val="single" w:sz="8" w:color="auto"/>
            </w:tcBorders>
          </w:tcPr>
          <w:p>
            <w:pPr>
              <w:jc w:val="right"/>
              <w:ind w:right="163"/>
              <w:spacing w:after="0" w:line="174" w:lineRule="exact"/>
              <w:rPr>
                <w:sz w:val="20"/>
                <w:szCs w:val="20"/>
                <w:color w:val="auto"/>
              </w:rPr>
            </w:pPr>
            <w:r>
              <w:rPr>
                <w:rFonts w:ascii="Calibri" w:cs="Calibri" w:eastAsia="Calibri" w:hAnsi="Calibri"/>
                <w:sz w:val="15"/>
                <w:szCs w:val="15"/>
                <w:color w:val="auto"/>
              </w:rPr>
              <w:t>$</w:t>
            </w:r>
          </w:p>
        </w:tc>
        <w:tc>
          <w:tcPr>
            <w:tcW w:w="1080" w:type="dxa"/>
            <w:vAlign w:val="bottom"/>
            <w:tcBorders>
              <w:top w:val="single" w:sz="8" w:color="auto"/>
            </w:tcBorders>
          </w:tcPr>
          <w:p>
            <w:pPr>
              <w:jc w:val="right"/>
              <w:spacing w:after="0" w:line="174" w:lineRule="exact"/>
              <w:rPr>
                <w:sz w:val="20"/>
                <w:szCs w:val="20"/>
                <w:color w:val="auto"/>
              </w:rPr>
            </w:pPr>
            <w:r>
              <w:rPr>
                <w:rFonts w:ascii="Calibri" w:cs="Calibri" w:eastAsia="Calibri" w:hAnsi="Calibri"/>
                <w:sz w:val="15"/>
                <w:szCs w:val="15"/>
                <w:color w:val="auto"/>
              </w:rPr>
              <w:t>83,370</w:t>
            </w:r>
          </w:p>
        </w:tc>
        <w:tc>
          <w:tcPr>
            <w:tcW w:w="280" w:type="dxa"/>
            <w:vAlign w:val="bottom"/>
            <w:tcBorders>
              <w:top w:val="single" w:sz="8" w:color="CFF0FC"/>
            </w:tcBorders>
          </w:tcPr>
          <w:p>
            <w:pPr>
              <w:spacing w:after="0"/>
              <w:rPr>
                <w:sz w:val="15"/>
                <w:szCs w:val="15"/>
                <w:color w:val="auto"/>
              </w:rPr>
            </w:pPr>
          </w:p>
        </w:tc>
        <w:tc>
          <w:tcPr>
            <w:tcW w:w="460" w:type="dxa"/>
            <w:vAlign w:val="bottom"/>
            <w:tcBorders>
              <w:top w:val="single" w:sz="8" w:color="auto"/>
            </w:tcBorders>
          </w:tcPr>
          <w:p>
            <w:pPr>
              <w:jc w:val="right"/>
              <w:ind w:right="283"/>
              <w:spacing w:after="0" w:line="174" w:lineRule="exact"/>
              <w:rPr>
                <w:sz w:val="20"/>
                <w:szCs w:val="20"/>
                <w:color w:val="auto"/>
              </w:rPr>
            </w:pPr>
            <w:r>
              <w:rPr>
                <w:rFonts w:ascii="Calibri" w:cs="Calibri" w:eastAsia="Calibri" w:hAnsi="Calibri"/>
                <w:sz w:val="15"/>
                <w:szCs w:val="15"/>
                <w:color w:val="auto"/>
              </w:rPr>
              <w:t>$</w:t>
            </w:r>
          </w:p>
        </w:tc>
        <w:tc>
          <w:tcPr>
            <w:tcW w:w="940" w:type="dxa"/>
            <w:vAlign w:val="bottom"/>
            <w:tcBorders>
              <w:top w:val="single" w:sz="8" w:color="auto"/>
            </w:tcBorders>
          </w:tcPr>
          <w:p>
            <w:pPr>
              <w:jc w:val="right"/>
              <w:spacing w:after="0" w:line="174" w:lineRule="exact"/>
              <w:rPr>
                <w:sz w:val="20"/>
                <w:szCs w:val="20"/>
                <w:color w:val="auto"/>
              </w:rPr>
            </w:pPr>
            <w:r>
              <w:rPr>
                <w:rFonts w:ascii="Calibri" w:cs="Calibri" w:eastAsia="Calibri" w:hAnsi="Calibri"/>
                <w:sz w:val="15"/>
                <w:szCs w:val="15"/>
                <w:color w:val="auto"/>
              </w:rPr>
              <w:t>40,128</w:t>
            </w:r>
          </w:p>
        </w:tc>
        <w:tc>
          <w:tcPr>
            <w:tcW w:w="100" w:type="dxa"/>
            <w:vAlign w:val="bottom"/>
            <w:tcBorders>
              <w:top w:val="single" w:sz="8" w:color="CFF0FC"/>
            </w:tcBorders>
          </w:tcPr>
          <w:p>
            <w:pPr>
              <w:spacing w:after="0"/>
              <w:rPr>
                <w:sz w:val="15"/>
                <w:szCs w:val="15"/>
                <w:color w:val="auto"/>
              </w:rPr>
            </w:pPr>
          </w:p>
        </w:tc>
      </w:tr>
      <w:tr>
        <w:trPr>
          <w:trHeight w:val="24"/>
        </w:trPr>
        <w:tc>
          <w:tcPr>
            <w:tcW w:w="69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
        </w:trPr>
        <w:tc>
          <w:tcPr>
            <w:tcW w:w="6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5664200</wp:posOffset>
            </wp:positionH>
            <wp:positionV relativeFrom="paragraph">
              <wp:posOffset>-430530</wp:posOffset>
            </wp:positionV>
            <wp:extent cx="66040" cy="762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6731000</wp:posOffset>
            </wp:positionH>
            <wp:positionV relativeFrom="paragraph">
              <wp:posOffset>-430530</wp:posOffset>
            </wp:positionV>
            <wp:extent cx="58420" cy="762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8420" cy="7620"/>
                    </a:xfrm>
                    <a:prstGeom prst="rect">
                      <a:avLst/>
                    </a:prstGeom>
                    <a:noFill/>
                  </pic:spPr>
                </pic:pic>
              </a:graphicData>
            </a:graphic>
          </wp:anchor>
        </w:drawing>
        <w:drawing>
          <wp:anchor simplePos="0" relativeHeight="251657728" behindDoc="1" locked="0" layoutInCell="0" allowOverlap="1">
            <wp:simplePos x="0" y="0"/>
            <wp:positionH relativeFrom="column">
              <wp:posOffset>5664200</wp:posOffset>
            </wp:positionH>
            <wp:positionV relativeFrom="paragraph">
              <wp:posOffset>-160020</wp:posOffset>
            </wp:positionV>
            <wp:extent cx="66040" cy="762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6731000</wp:posOffset>
            </wp:positionH>
            <wp:positionV relativeFrom="paragraph">
              <wp:posOffset>-160020</wp:posOffset>
            </wp:positionV>
            <wp:extent cx="58420" cy="762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8420" cy="7620"/>
                    </a:xfrm>
                    <a:prstGeom prst="rect">
                      <a:avLst/>
                    </a:prstGeom>
                    <a:noFill/>
                  </pic:spPr>
                </pic:pic>
              </a:graphicData>
            </a:graphic>
          </wp:anchor>
        </w:drawing>
      </w:r>
    </w:p>
    <w:p>
      <w:pPr>
        <w:spacing w:after="0" w:line="146"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For the year ended December 31, 2023, 2022, and 2021, depreciaton and amortzaton expense, excluding amortzaton of intangible assets, amortzaton of capitalized hostng arrangements, and write ofs, was $18,412, $14,618 and $10,324, respectvely.</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For the year ended December 31, 2023, the Company wrote of $184, consistng of $175 of Digital Wholesale and $8 of U.S. Marketplace capitalized website development costs within wholesale and marketplace cost of revenue, respectvely, in the consolidated income statements related to certain developed technology in which the Company decided to cease investment. For the year ended December 31, 2022, the Company wrote of $165 of U.S. Marketplace segment of capitalized website development costs within operatng expense in the consolidated income statements related to certain developed technology in which the Company decided to cease investment. For the year ended December 31, 2021, the Company wrote of $2,481 of U.S. Marketplace segment of capitalized website development costs within operatng expense in the consolidated income statements related to certain developed technology in which the Company decided to cease investment.</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During the year ended December 31, 2023, capitalized equipment decreased $6,551 due primarily to the disposal of the data center assets as a result of the Company's migraton onto a cloud-based hostng platorm. The disposal of the data center assets resulted in a $460 gain on sale in our U.S. Marketplace segment, recognized within other (expense) income, net on the consolidated income statements.</w:t>
      </w:r>
    </w:p>
    <w:p>
      <w:pPr>
        <w:spacing w:after="0" w:line="185" w:lineRule="exact"/>
        <w:rPr>
          <w:sz w:val="20"/>
          <w:szCs w:val="20"/>
          <w:color w:val="auto"/>
        </w:rPr>
      </w:pPr>
    </w:p>
    <w:p>
      <w:pPr>
        <w:ind w:left="500"/>
        <w:spacing w:after="0"/>
        <w:rPr>
          <w:sz w:val="20"/>
          <w:szCs w:val="20"/>
          <w:color w:val="auto"/>
        </w:rPr>
      </w:pPr>
      <w:r>
        <w:rPr>
          <w:rFonts w:ascii="Calibri" w:cs="Calibri" w:eastAsia="Calibri" w:hAnsi="Calibri"/>
          <w:sz w:val="15"/>
          <w:szCs w:val="15"/>
          <w:color w:val="auto"/>
        </w:rPr>
        <w:t>During the year ended December 31, 2023, capitalized website development costs increased $20,789 due to contnued net investment in the Company's product oferings.</w:t>
      </w:r>
    </w:p>
    <w:p>
      <w:pPr>
        <w:spacing w:after="0" w:line="185" w:lineRule="exact"/>
        <w:rPr>
          <w:sz w:val="20"/>
          <w:szCs w:val="20"/>
          <w:color w:val="auto"/>
        </w:rPr>
      </w:pPr>
    </w:p>
    <w:p>
      <w:pPr>
        <w:ind w:left="500"/>
        <w:spacing w:after="0"/>
        <w:rPr>
          <w:sz w:val="20"/>
          <w:szCs w:val="20"/>
          <w:color w:val="auto"/>
        </w:rPr>
      </w:pPr>
      <w:r>
        <w:rPr>
          <w:rFonts w:ascii="Calibri" w:cs="Calibri" w:eastAsia="Calibri" w:hAnsi="Calibri"/>
          <w:sz w:val="15"/>
          <w:szCs w:val="15"/>
          <w:color w:val="auto"/>
        </w:rPr>
        <w:t>During the year ended December 31, 2023, capitalized internal-use sofware costs increased $4,850 due to additons related to internal engineering and development tools.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During the year ended December 31, 2023, constructon in progress increased $35,674 due to the buildout of the Company's future headquarters at 1001 Boylston Street, as discussed in Note 10 of these consolidated fnancial statements.</w:t>
      </w:r>
    </w:p>
    <w:p>
      <w:pPr>
        <w:spacing w:after="0" w:line="184" w:lineRule="exact"/>
        <w:rPr>
          <w:sz w:val="20"/>
          <w:szCs w:val="20"/>
          <w:color w:val="auto"/>
        </w:rPr>
      </w:pPr>
    </w:p>
    <w:p>
      <w:pPr>
        <w:jc w:val="center"/>
        <w:spacing w:after="0"/>
        <w:rPr>
          <w:sz w:val="20"/>
          <w:szCs w:val="20"/>
          <w:color w:val="auto"/>
        </w:rPr>
      </w:pPr>
      <w:r>
        <w:rPr>
          <w:rFonts w:ascii="Calibri" w:cs="Calibri" w:eastAsia="Calibri" w:hAnsi="Calibri"/>
          <w:sz w:val="15"/>
          <w:szCs w:val="15"/>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408940</wp:posOffset>
            </wp:positionV>
            <wp:extent cx="7178040" cy="4000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3" w:right="319" w:bottom="1440" w:gutter="0" w:footer="0" w:header="0"/>
        </w:sectPr>
      </w:pPr>
    </w:p>
    <w:bookmarkStart w:id="114" w:name="page115"/>
    <w:bookmarkEnd w:id="114"/>
    <w:p>
      <w:pPr>
        <w:spacing w:after="0"/>
        <w:rPr>
          <w:sz w:val="20"/>
          <w:szCs w:val="20"/>
          <w:color w:val="auto"/>
        </w:rPr>
      </w:pPr>
      <w:r>
        <w:rPr>
          <w:rFonts w:ascii="Calibri" w:cs="Calibri" w:eastAsia="Calibri" w:hAnsi="Calibri"/>
          <w:sz w:val="15"/>
          <w:szCs w:val="15"/>
          <w:b w:val="1"/>
          <w:bCs w:val="1"/>
          <w:color w:val="auto"/>
        </w:rPr>
        <w:t>7. Goodwill and Other Intangible Assets</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i w:val="1"/>
          <w:iCs w:val="1"/>
          <w:color w:val="auto"/>
        </w:rPr>
        <w:t>Goodwill</w:t>
      </w:r>
    </w:p>
    <w:p>
      <w:pPr>
        <w:spacing w:after="0" w:line="185" w:lineRule="exact"/>
        <w:rPr>
          <w:sz w:val="20"/>
          <w:szCs w:val="20"/>
          <w:color w:val="auto"/>
        </w:rPr>
      </w:pPr>
    </w:p>
    <w:p>
      <w:pPr>
        <w:ind w:left="500"/>
        <w:spacing w:after="0"/>
        <w:rPr>
          <w:sz w:val="20"/>
          <w:szCs w:val="20"/>
          <w:color w:val="auto"/>
        </w:rPr>
      </w:pPr>
      <w:r>
        <w:rPr>
          <w:rFonts w:ascii="Calibri" w:cs="Calibri" w:eastAsia="Calibri" w:hAnsi="Calibri"/>
          <w:sz w:val="15"/>
          <w:szCs w:val="15"/>
          <w:color w:val="auto"/>
        </w:rPr>
        <w:t>As of December 31, 2023, changes in the carrying value of goodwill are as follows:</w:t>
      </w:r>
    </w:p>
    <w:p>
      <w:pPr>
        <w:spacing w:after="0" w:line="317" w:lineRule="exact"/>
        <w:rPr>
          <w:sz w:val="20"/>
          <w:szCs w:val="20"/>
          <w:color w:val="auto"/>
        </w:rPr>
      </w:pPr>
    </w:p>
    <w:tbl>
      <w:tblPr>
        <w:tblLayout w:type="fixed"/>
        <w:tblInd w:w="560" w:type="dxa"/>
        <w:tblCellMar>
          <w:top w:w="0" w:type="dxa"/>
          <w:left w:w="0" w:type="dxa"/>
          <w:bottom w:w="0" w:type="dxa"/>
          <w:right w:w="0" w:type="dxa"/>
        </w:tblCellMar>
      </w:tblPr>
      <w:tr>
        <w:trPr>
          <w:trHeight w:val="146"/>
        </w:trPr>
        <w:tc>
          <w:tcPr>
            <w:tcW w:w="5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ind w:right="27"/>
              <w:spacing w:after="0"/>
              <w:rPr>
                <w:sz w:val="20"/>
                <w:szCs w:val="20"/>
                <w:color w:val="auto"/>
              </w:rPr>
            </w:pPr>
            <w:r>
              <w:rPr>
                <w:rFonts w:ascii="Calibri" w:cs="Calibri" w:eastAsia="Calibri" w:hAnsi="Calibri"/>
                <w:sz w:val="12"/>
                <w:szCs w:val="12"/>
                <w:b w:val="1"/>
                <w:bCs w:val="1"/>
                <w:color w:val="auto"/>
                <w:w w:val="98"/>
              </w:rPr>
              <w:t>U.S. Marketplace</w:t>
            </w:r>
          </w:p>
        </w:tc>
        <w:tc>
          <w:tcPr>
            <w:tcW w:w="240" w:type="dxa"/>
            <w:vAlign w:val="bottom"/>
          </w:tcPr>
          <w:p>
            <w:pPr>
              <w:spacing w:after="0"/>
              <w:rPr>
                <w:sz w:val="12"/>
                <w:szCs w:val="12"/>
                <w:color w:val="auto"/>
              </w:rPr>
            </w:pPr>
          </w:p>
        </w:tc>
        <w:tc>
          <w:tcPr>
            <w:tcW w:w="1060" w:type="dxa"/>
            <w:vAlign w:val="bottom"/>
            <w:gridSpan w:val="2"/>
          </w:tcPr>
          <w:p>
            <w:pPr>
              <w:jc w:val="right"/>
              <w:ind w:right="3"/>
              <w:spacing w:after="0"/>
              <w:rPr>
                <w:sz w:val="20"/>
                <w:szCs w:val="20"/>
                <w:color w:val="auto"/>
              </w:rPr>
            </w:pPr>
            <w:r>
              <w:rPr>
                <w:rFonts w:ascii="Calibri" w:cs="Calibri" w:eastAsia="Calibri" w:hAnsi="Calibri"/>
                <w:sz w:val="12"/>
                <w:szCs w:val="12"/>
                <w:b w:val="1"/>
                <w:bCs w:val="1"/>
                <w:color w:val="auto"/>
              </w:rPr>
              <w:t>Digital Wholesale</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287"/>
              <w:spacing w:after="0"/>
              <w:rPr>
                <w:sz w:val="20"/>
                <w:szCs w:val="20"/>
                <w:color w:val="auto"/>
              </w:rPr>
            </w:pPr>
            <w:r>
              <w:rPr>
                <w:rFonts w:ascii="Calibri" w:cs="Calibri" w:eastAsia="Calibri" w:hAnsi="Calibri"/>
                <w:sz w:val="12"/>
                <w:szCs w:val="12"/>
                <w:b w:val="1"/>
                <w:bCs w:val="1"/>
                <w:color w:val="auto"/>
              </w:rPr>
              <w:t>Other</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ind w:left="160"/>
              <w:spacing w:after="0"/>
              <w:rPr>
                <w:sz w:val="20"/>
                <w:szCs w:val="20"/>
                <w:color w:val="auto"/>
              </w:rPr>
            </w:pPr>
            <w:r>
              <w:rPr>
                <w:rFonts w:ascii="Calibri" w:cs="Calibri" w:eastAsia="Calibri" w:hAnsi="Calibri"/>
                <w:sz w:val="12"/>
                <w:szCs w:val="12"/>
                <w:b w:val="1"/>
                <w:bCs w:val="1"/>
                <w:color w:val="auto"/>
              </w:rPr>
              <w:t>Total</w:t>
            </w:r>
          </w:p>
        </w:tc>
      </w:tr>
      <w:tr>
        <w:trPr>
          <w:trHeight w:val="28"/>
        </w:trPr>
        <w:tc>
          <w:tcPr>
            <w:tcW w:w="5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79"/>
        </w:trPr>
        <w:tc>
          <w:tcPr>
            <w:tcW w:w="5140" w:type="dxa"/>
            <w:vAlign w:val="bottom"/>
            <w:tcBorders>
              <w:bottom w:val="single" w:sz="8" w:color="CFF0FC"/>
            </w:tcBorders>
            <w:shd w:val="clear" w:color="auto" w:fill="CFF0FC"/>
          </w:tcPr>
          <w:p>
            <w:pPr>
              <w:spacing w:after="0" w:line="174" w:lineRule="exact"/>
              <w:rPr>
                <w:sz w:val="20"/>
                <w:szCs w:val="20"/>
                <w:color w:val="auto"/>
              </w:rPr>
            </w:pPr>
            <w:r>
              <w:rPr>
                <w:rFonts w:ascii="Calibri" w:cs="Calibri" w:eastAsia="Calibri" w:hAnsi="Calibri"/>
                <w:sz w:val="15"/>
                <w:szCs w:val="15"/>
                <w:color w:val="auto"/>
              </w:rPr>
              <w:t>Balance as of December 31, 2022</w:t>
            </w:r>
          </w:p>
        </w:tc>
        <w:tc>
          <w:tcPr>
            <w:tcW w:w="100" w:type="dxa"/>
            <w:vAlign w:val="bottom"/>
            <w:tcBorders>
              <w:bottom w:val="single" w:sz="8" w:color="CFF0FC"/>
            </w:tcBorders>
            <w:shd w:val="clear" w:color="auto" w:fill="CFF0FC"/>
          </w:tcPr>
          <w:p>
            <w:pPr>
              <w:jc w:val="right"/>
              <w:spacing w:after="0" w:line="174" w:lineRule="exact"/>
              <w:rPr>
                <w:sz w:val="20"/>
                <w:szCs w:val="20"/>
                <w:color w:val="auto"/>
              </w:rPr>
            </w:pPr>
            <w:r>
              <w:rPr>
                <w:rFonts w:ascii="Calibri" w:cs="Calibri" w:eastAsia="Calibri" w:hAnsi="Calibri"/>
                <w:sz w:val="15"/>
                <w:szCs w:val="15"/>
                <w:color w:val="auto"/>
                <w:w w:val="78"/>
              </w:rPr>
              <w:t>$</w:t>
            </w:r>
          </w:p>
        </w:tc>
        <w:tc>
          <w:tcPr>
            <w:tcW w:w="960" w:type="dxa"/>
            <w:vAlign w:val="bottom"/>
            <w:tcBorders>
              <w:bottom w:val="single" w:sz="8" w:color="CFF0FC"/>
            </w:tcBorders>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12,477</w:t>
            </w:r>
          </w:p>
        </w:tc>
        <w:tc>
          <w:tcPr>
            <w:tcW w:w="560" w:type="dxa"/>
            <w:vAlign w:val="bottom"/>
            <w:tcBorders>
              <w:bottom w:val="single" w:sz="8" w:color="CFF0FC"/>
            </w:tcBorders>
            <w:gridSpan w:val="2"/>
            <w:shd w:val="clear" w:color="auto" w:fill="CFF0FC"/>
          </w:tcPr>
          <w:p>
            <w:pPr>
              <w:jc w:val="right"/>
              <w:ind w:right="179"/>
              <w:spacing w:after="0" w:line="174" w:lineRule="exact"/>
              <w:rPr>
                <w:sz w:val="20"/>
                <w:szCs w:val="20"/>
                <w:color w:val="auto"/>
              </w:rPr>
            </w:pPr>
            <w:r>
              <w:rPr>
                <w:rFonts w:ascii="Calibri" w:cs="Calibri" w:eastAsia="Calibri" w:hAnsi="Calibri"/>
                <w:sz w:val="15"/>
                <w:szCs w:val="15"/>
                <w:color w:val="auto"/>
              </w:rPr>
              <w:t>$</w:t>
            </w:r>
          </w:p>
        </w:tc>
        <w:tc>
          <w:tcPr>
            <w:tcW w:w="740" w:type="dxa"/>
            <w:vAlign w:val="bottom"/>
            <w:tcBorders>
              <w:bottom w:val="single" w:sz="8" w:color="CFF0FC"/>
            </w:tcBorders>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130,451</w:t>
            </w:r>
          </w:p>
        </w:tc>
        <w:tc>
          <w:tcPr>
            <w:tcW w:w="480" w:type="dxa"/>
            <w:vAlign w:val="bottom"/>
            <w:tcBorders>
              <w:bottom w:val="single" w:sz="8" w:color="CFF0FC"/>
            </w:tcBorders>
            <w:gridSpan w:val="2"/>
            <w:shd w:val="clear" w:color="auto" w:fill="CFF0FC"/>
          </w:tcPr>
          <w:p>
            <w:pPr>
              <w:jc w:val="right"/>
              <w:ind w:right="160"/>
              <w:spacing w:after="0" w:line="174" w:lineRule="exact"/>
              <w:rPr>
                <w:sz w:val="20"/>
                <w:szCs w:val="20"/>
                <w:color w:val="auto"/>
              </w:rPr>
            </w:pPr>
            <w:r>
              <w:rPr>
                <w:rFonts w:ascii="Calibri" w:cs="Calibri" w:eastAsia="Calibri" w:hAnsi="Calibri"/>
                <w:sz w:val="15"/>
                <w:szCs w:val="15"/>
                <w:color w:val="auto"/>
              </w:rPr>
              <w:t>$</w:t>
            </w:r>
          </w:p>
        </w:tc>
        <w:tc>
          <w:tcPr>
            <w:tcW w:w="800" w:type="dxa"/>
            <w:vAlign w:val="bottom"/>
            <w:tcBorders>
              <w:bottom w:val="single" w:sz="8" w:color="CFF0FC"/>
            </w:tcBorders>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14,539</w:t>
            </w:r>
          </w:p>
        </w:tc>
        <w:tc>
          <w:tcPr>
            <w:tcW w:w="460" w:type="dxa"/>
            <w:vAlign w:val="bottom"/>
            <w:tcBorders>
              <w:bottom w:val="single" w:sz="8" w:color="CFF0FC"/>
            </w:tcBorders>
            <w:gridSpan w:val="2"/>
            <w:shd w:val="clear" w:color="auto" w:fill="CFF0FC"/>
          </w:tcPr>
          <w:p>
            <w:pPr>
              <w:jc w:val="right"/>
              <w:ind w:right="140"/>
              <w:spacing w:after="0" w:line="174" w:lineRule="exact"/>
              <w:rPr>
                <w:sz w:val="20"/>
                <w:szCs w:val="20"/>
                <w:color w:val="auto"/>
              </w:rPr>
            </w:pPr>
            <w:r>
              <w:rPr>
                <w:rFonts w:ascii="Calibri" w:cs="Calibri" w:eastAsia="Calibri" w:hAnsi="Calibri"/>
                <w:sz w:val="15"/>
                <w:szCs w:val="15"/>
                <w:color w:val="auto"/>
              </w:rPr>
              <w:t>$</w:t>
            </w:r>
          </w:p>
        </w:tc>
        <w:tc>
          <w:tcPr>
            <w:tcW w:w="800" w:type="dxa"/>
            <w:vAlign w:val="bottom"/>
            <w:tcBorders>
              <w:bottom w:val="single" w:sz="8" w:color="CFF0FC"/>
            </w:tcBorders>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157,467</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83"/>
        </w:trPr>
        <w:tc>
          <w:tcPr>
            <w:tcW w:w="5140" w:type="dxa"/>
            <w:vAlign w:val="bottom"/>
          </w:tcPr>
          <w:p>
            <w:pPr>
              <w:ind w:left="160"/>
              <w:spacing w:after="0"/>
              <w:rPr>
                <w:sz w:val="20"/>
                <w:szCs w:val="20"/>
                <w:color w:val="auto"/>
              </w:rPr>
            </w:pPr>
            <w:r>
              <w:rPr>
                <w:rFonts w:ascii="Calibri" w:cs="Calibri" w:eastAsia="Calibri" w:hAnsi="Calibri"/>
                <w:sz w:val="15"/>
                <w:szCs w:val="15"/>
                <w:color w:val="auto"/>
              </w:rPr>
              <w:t>Foreign currency translaton adjustment</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alibri" w:cs="Calibri" w:eastAsia="Calibri" w:hAnsi="Calibri"/>
                <w:sz w:val="15"/>
                <w:szCs w:val="15"/>
                <w:color w:val="auto"/>
              </w:rPr>
              <w:t>—</w:t>
            </w: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alibri" w:cs="Calibri" w:eastAsia="Calibri" w:hAnsi="Calibri"/>
                <w:sz w:val="15"/>
                <w:szCs w:val="15"/>
                <w:color w:val="auto"/>
              </w:rPr>
              <w:t>—</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alibri" w:cs="Calibri" w:eastAsia="Calibri" w:hAnsi="Calibri"/>
                <w:sz w:val="15"/>
                <w:szCs w:val="15"/>
                <w:color w:val="auto"/>
              </w:rPr>
              <w:t>431</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alibri" w:cs="Calibri" w:eastAsia="Calibri" w:hAnsi="Calibri"/>
                <w:sz w:val="15"/>
                <w:szCs w:val="15"/>
                <w:color w:val="auto"/>
              </w:rPr>
              <w:t>431</w:t>
            </w:r>
          </w:p>
        </w:tc>
        <w:tc>
          <w:tcPr>
            <w:tcW w:w="100" w:type="dxa"/>
            <w:vAlign w:val="bottom"/>
          </w:tcPr>
          <w:p>
            <w:pPr>
              <w:spacing w:after="0"/>
              <w:rPr>
                <w:sz w:val="15"/>
                <w:szCs w:val="15"/>
                <w:color w:val="auto"/>
              </w:rPr>
            </w:pPr>
          </w:p>
        </w:tc>
      </w:tr>
      <w:tr>
        <w:trPr>
          <w:trHeight w:val="24"/>
        </w:trPr>
        <w:tc>
          <w:tcPr>
            <w:tcW w:w="5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24"/>
        </w:trPr>
        <w:tc>
          <w:tcPr>
            <w:tcW w:w="5140" w:type="dxa"/>
            <w:vAlign w:val="bottom"/>
            <w:tcBorders>
              <w:bottom w:val="single" w:sz="8" w:color="CFF0FC"/>
            </w:tcBorders>
            <w:shd w:val="clear" w:color="auto" w:fill="CFF0FC"/>
          </w:tcPr>
          <w:p>
            <w:pPr>
              <w:spacing w:after="0" w:line="174" w:lineRule="exact"/>
              <w:rPr>
                <w:sz w:val="20"/>
                <w:szCs w:val="20"/>
                <w:color w:val="auto"/>
              </w:rPr>
            </w:pPr>
            <w:r>
              <w:rPr>
                <w:rFonts w:ascii="Calibri" w:cs="Calibri" w:eastAsia="Calibri" w:hAnsi="Calibri"/>
                <w:sz w:val="15"/>
                <w:szCs w:val="15"/>
                <w:color w:val="auto"/>
              </w:rPr>
              <w:t>Balance as of December 31, 2023</w:t>
            </w:r>
          </w:p>
        </w:tc>
        <w:tc>
          <w:tcPr>
            <w:tcW w:w="100" w:type="dxa"/>
            <w:vAlign w:val="bottom"/>
            <w:tcBorders>
              <w:bottom w:val="single" w:sz="8" w:color="CFF0FC"/>
            </w:tcBorders>
            <w:shd w:val="clear" w:color="auto" w:fill="CFF0FC"/>
          </w:tcPr>
          <w:p>
            <w:pPr>
              <w:jc w:val="right"/>
              <w:spacing w:after="0" w:line="174" w:lineRule="exact"/>
              <w:rPr>
                <w:sz w:val="20"/>
                <w:szCs w:val="20"/>
                <w:color w:val="auto"/>
              </w:rPr>
            </w:pPr>
            <w:r>
              <w:rPr>
                <w:rFonts w:ascii="Calibri" w:cs="Calibri" w:eastAsia="Calibri" w:hAnsi="Calibri"/>
                <w:sz w:val="15"/>
                <w:szCs w:val="15"/>
                <w:color w:val="auto"/>
                <w:w w:val="78"/>
              </w:rPr>
              <w:t>$</w:t>
            </w:r>
          </w:p>
        </w:tc>
        <w:tc>
          <w:tcPr>
            <w:tcW w:w="960" w:type="dxa"/>
            <w:vAlign w:val="bottom"/>
            <w:tcBorders>
              <w:bottom w:val="single" w:sz="8" w:color="CFF0FC"/>
            </w:tcBorders>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12,477</w:t>
            </w:r>
          </w:p>
        </w:tc>
        <w:tc>
          <w:tcPr>
            <w:tcW w:w="560" w:type="dxa"/>
            <w:vAlign w:val="bottom"/>
            <w:tcBorders>
              <w:bottom w:val="single" w:sz="8" w:color="CFF0FC"/>
            </w:tcBorders>
            <w:gridSpan w:val="2"/>
            <w:shd w:val="clear" w:color="auto" w:fill="CFF0FC"/>
          </w:tcPr>
          <w:p>
            <w:pPr>
              <w:jc w:val="right"/>
              <w:ind w:right="179"/>
              <w:spacing w:after="0" w:line="174" w:lineRule="exact"/>
              <w:rPr>
                <w:sz w:val="20"/>
                <w:szCs w:val="20"/>
                <w:color w:val="auto"/>
              </w:rPr>
            </w:pPr>
            <w:r>
              <w:rPr>
                <w:rFonts w:ascii="Calibri" w:cs="Calibri" w:eastAsia="Calibri" w:hAnsi="Calibri"/>
                <w:sz w:val="15"/>
                <w:szCs w:val="15"/>
                <w:color w:val="auto"/>
              </w:rPr>
              <w:t>$</w:t>
            </w:r>
          </w:p>
        </w:tc>
        <w:tc>
          <w:tcPr>
            <w:tcW w:w="740" w:type="dxa"/>
            <w:vAlign w:val="bottom"/>
            <w:tcBorders>
              <w:bottom w:val="single" w:sz="8" w:color="CFF0FC"/>
            </w:tcBorders>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130,451</w:t>
            </w:r>
          </w:p>
        </w:tc>
        <w:tc>
          <w:tcPr>
            <w:tcW w:w="480" w:type="dxa"/>
            <w:vAlign w:val="bottom"/>
            <w:tcBorders>
              <w:bottom w:val="single" w:sz="8" w:color="CFF0FC"/>
            </w:tcBorders>
            <w:gridSpan w:val="2"/>
            <w:shd w:val="clear" w:color="auto" w:fill="CFF0FC"/>
          </w:tcPr>
          <w:p>
            <w:pPr>
              <w:jc w:val="right"/>
              <w:ind w:right="160"/>
              <w:spacing w:after="0" w:line="174" w:lineRule="exact"/>
              <w:rPr>
                <w:sz w:val="20"/>
                <w:szCs w:val="20"/>
                <w:color w:val="auto"/>
              </w:rPr>
            </w:pPr>
            <w:r>
              <w:rPr>
                <w:rFonts w:ascii="Calibri" w:cs="Calibri" w:eastAsia="Calibri" w:hAnsi="Calibri"/>
                <w:sz w:val="15"/>
                <w:szCs w:val="15"/>
                <w:color w:val="auto"/>
              </w:rPr>
              <w:t>$</w:t>
            </w:r>
          </w:p>
        </w:tc>
        <w:tc>
          <w:tcPr>
            <w:tcW w:w="800" w:type="dxa"/>
            <w:vAlign w:val="bottom"/>
            <w:tcBorders>
              <w:bottom w:val="single" w:sz="8" w:color="CFF0FC"/>
            </w:tcBorders>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14,970</w:t>
            </w:r>
          </w:p>
        </w:tc>
        <w:tc>
          <w:tcPr>
            <w:tcW w:w="460" w:type="dxa"/>
            <w:vAlign w:val="bottom"/>
            <w:tcBorders>
              <w:bottom w:val="single" w:sz="8" w:color="CFF0FC"/>
            </w:tcBorders>
            <w:gridSpan w:val="2"/>
            <w:shd w:val="clear" w:color="auto" w:fill="CFF0FC"/>
          </w:tcPr>
          <w:p>
            <w:pPr>
              <w:jc w:val="right"/>
              <w:ind w:right="140"/>
              <w:spacing w:after="0" w:line="174" w:lineRule="exact"/>
              <w:rPr>
                <w:sz w:val="20"/>
                <w:szCs w:val="20"/>
                <w:color w:val="auto"/>
              </w:rPr>
            </w:pPr>
            <w:r>
              <w:rPr>
                <w:rFonts w:ascii="Calibri" w:cs="Calibri" w:eastAsia="Calibri" w:hAnsi="Calibri"/>
                <w:sz w:val="15"/>
                <w:szCs w:val="15"/>
                <w:color w:val="auto"/>
              </w:rPr>
              <w:t>$</w:t>
            </w:r>
          </w:p>
        </w:tc>
        <w:tc>
          <w:tcPr>
            <w:tcW w:w="800" w:type="dxa"/>
            <w:vAlign w:val="bottom"/>
            <w:tcBorders>
              <w:bottom w:val="single" w:sz="8" w:color="CFF0FC"/>
            </w:tcBorders>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157,898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4290695</wp:posOffset>
            </wp:positionH>
            <wp:positionV relativeFrom="paragraph">
              <wp:posOffset>-21590</wp:posOffset>
            </wp:positionV>
            <wp:extent cx="66040" cy="762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-6985</wp:posOffset>
            </wp:positionV>
            <wp:extent cx="66040" cy="762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5116195</wp:posOffset>
            </wp:positionH>
            <wp:positionV relativeFrom="paragraph">
              <wp:posOffset>-21590</wp:posOffset>
            </wp:positionV>
            <wp:extent cx="66040" cy="762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5116195</wp:posOffset>
            </wp:positionH>
            <wp:positionV relativeFrom="paragraph">
              <wp:posOffset>-6985</wp:posOffset>
            </wp:positionV>
            <wp:extent cx="66040" cy="762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5934710</wp:posOffset>
            </wp:positionH>
            <wp:positionV relativeFrom="paragraph">
              <wp:posOffset>-21590</wp:posOffset>
            </wp:positionV>
            <wp:extent cx="58420" cy="762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8420" cy="7620"/>
                    </a:xfrm>
                    <a:prstGeom prst="rect">
                      <a:avLst/>
                    </a:prstGeom>
                    <a:noFill/>
                  </pic:spPr>
                </pic:pic>
              </a:graphicData>
            </a:graphic>
          </wp:anchor>
        </w:drawing>
        <w:drawing>
          <wp:anchor simplePos="0" relativeHeight="251657728" behindDoc="1" locked="0" layoutInCell="0" allowOverlap="1">
            <wp:simplePos x="0" y="0"/>
            <wp:positionH relativeFrom="column">
              <wp:posOffset>5934710</wp:posOffset>
            </wp:positionH>
            <wp:positionV relativeFrom="paragraph">
              <wp:posOffset>-6985</wp:posOffset>
            </wp:positionV>
            <wp:extent cx="58420" cy="762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8420" cy="7620"/>
                    </a:xfrm>
                    <a:prstGeom prst="rect">
                      <a:avLst/>
                    </a:prstGeom>
                    <a:noFill/>
                  </pic:spPr>
                </pic:pic>
              </a:graphicData>
            </a:graphic>
          </wp:anchor>
        </w:drawing>
        <w:drawing>
          <wp:anchor simplePos="0" relativeHeight="251657728" behindDoc="1" locked="0" layoutInCell="0" allowOverlap="1">
            <wp:simplePos x="0" y="0"/>
            <wp:positionH relativeFrom="column">
              <wp:posOffset>6731000</wp:posOffset>
            </wp:positionH>
            <wp:positionV relativeFrom="paragraph">
              <wp:posOffset>-21590</wp:posOffset>
            </wp:positionV>
            <wp:extent cx="58420" cy="762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8420" cy="7620"/>
                    </a:xfrm>
                    <a:prstGeom prst="rect">
                      <a:avLst/>
                    </a:prstGeom>
                    <a:noFill/>
                  </pic:spPr>
                </pic:pic>
              </a:graphicData>
            </a:graphic>
          </wp:anchor>
        </w:drawing>
        <w:drawing>
          <wp:anchor simplePos="0" relativeHeight="251657728" behindDoc="1" locked="0" layoutInCell="0" allowOverlap="1">
            <wp:simplePos x="0" y="0"/>
            <wp:positionH relativeFrom="column">
              <wp:posOffset>6731000</wp:posOffset>
            </wp:positionH>
            <wp:positionV relativeFrom="paragraph">
              <wp:posOffset>-6985</wp:posOffset>
            </wp:positionV>
            <wp:extent cx="58420" cy="762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8420" cy="7620"/>
                    </a:xfrm>
                    <a:prstGeom prst="rect">
                      <a:avLst/>
                    </a:prstGeom>
                    <a:noFill/>
                  </pic:spPr>
                </pic:pic>
              </a:graphicData>
            </a:graphic>
          </wp:anchor>
        </w:drawing>
      </w:r>
    </w:p>
    <w:p>
      <w:pPr>
        <w:spacing w:after="0" w:line="146"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The Company assessed its goodwill for impairment and did not identfy any impairment as of December 31, 2023. Although no impairment was identfed during the annual impairment test as of October 1, 2023, the excess of the fair value over the carrying value declined for the CarOfer reportng unit in the Digital Wholesale segment. If projected future operatng results further decline, including as a result of economic conditons or operatonal challenges, the Company may need to record an impairment charge to reduce its goodwill at CarOfer which could be material and negatvely afect the Company's operatons.</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i w:val="1"/>
          <w:iCs w:val="1"/>
          <w:color w:val="auto"/>
        </w:rPr>
        <w:t>Other Intangible Assets</w:t>
      </w:r>
    </w:p>
    <w:p>
      <w:pPr>
        <w:spacing w:after="0" w:line="185" w:lineRule="exact"/>
        <w:rPr>
          <w:sz w:val="20"/>
          <w:szCs w:val="20"/>
          <w:color w:val="auto"/>
        </w:rPr>
      </w:pPr>
    </w:p>
    <w:p>
      <w:pPr>
        <w:ind w:left="500"/>
        <w:spacing w:after="0"/>
        <w:rPr>
          <w:sz w:val="20"/>
          <w:szCs w:val="20"/>
          <w:color w:val="auto"/>
        </w:rPr>
      </w:pPr>
      <w:r>
        <w:rPr>
          <w:rFonts w:ascii="Calibri" w:cs="Calibri" w:eastAsia="Calibri" w:hAnsi="Calibri"/>
          <w:sz w:val="15"/>
          <w:szCs w:val="15"/>
          <w:color w:val="auto"/>
        </w:rPr>
        <w:t>As of December 31, 2023 and 2022, intangible assets consist of the following:</w:t>
      </w:r>
    </w:p>
    <w:p>
      <w:pPr>
        <w:spacing w:after="0" w:line="200" w:lineRule="exact"/>
        <w:rPr>
          <w:sz w:val="20"/>
          <w:szCs w:val="20"/>
          <w:color w:val="auto"/>
        </w:rPr>
      </w:pPr>
    </w:p>
    <w:p>
      <w:pPr>
        <w:spacing w:after="0" w:line="209" w:lineRule="exact"/>
        <w:rPr>
          <w:sz w:val="20"/>
          <w:szCs w:val="20"/>
          <w:color w:val="auto"/>
        </w:rPr>
      </w:pPr>
    </w:p>
    <w:tbl>
      <w:tblPr>
        <w:tblLayout w:type="fixed"/>
        <w:tblInd w:w="560" w:type="dxa"/>
        <w:tblCellMar>
          <w:top w:w="0" w:type="dxa"/>
          <w:left w:w="0" w:type="dxa"/>
          <w:bottom w:w="0" w:type="dxa"/>
          <w:right w:w="0" w:type="dxa"/>
        </w:tblCellMar>
      </w:tblPr>
      <w:tr>
        <w:trPr>
          <w:trHeight w:val="146"/>
        </w:trPr>
        <w:tc>
          <w:tcPr>
            <w:tcW w:w="4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60" w:type="dxa"/>
            <w:vAlign w:val="bottom"/>
            <w:gridSpan w:val="5"/>
          </w:tcPr>
          <w:p>
            <w:pPr>
              <w:spacing w:after="0"/>
              <w:rPr>
                <w:sz w:val="20"/>
                <w:szCs w:val="20"/>
                <w:color w:val="auto"/>
              </w:rPr>
            </w:pPr>
            <w:r>
              <w:rPr>
                <w:rFonts w:ascii="Calibri" w:cs="Calibri" w:eastAsia="Calibri" w:hAnsi="Calibri"/>
                <w:sz w:val="12"/>
                <w:szCs w:val="12"/>
                <w:b w:val="1"/>
                <w:bCs w:val="1"/>
                <w:color w:val="auto"/>
              </w:rPr>
              <w:t>As of December 31, 2023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8"/>
        </w:trPr>
        <w:tc>
          <w:tcPr>
            <w:tcW w:w="458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37"/>
        </w:trPr>
        <w:tc>
          <w:tcPr>
            <w:tcW w:w="4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jc w:val="center"/>
              <w:ind w:left="139"/>
              <w:spacing w:after="0" w:line="138" w:lineRule="exact"/>
              <w:rPr>
                <w:sz w:val="20"/>
                <w:szCs w:val="20"/>
                <w:color w:val="auto"/>
              </w:rPr>
            </w:pPr>
            <w:r>
              <w:rPr>
                <w:rFonts w:ascii="Calibri" w:cs="Calibri" w:eastAsia="Calibri" w:hAnsi="Calibri"/>
                <w:sz w:val="12"/>
                <w:szCs w:val="12"/>
                <w:b w:val="1"/>
                <w:bCs w:val="1"/>
                <w:color w:val="auto"/>
              </w:rPr>
              <w:t>Weighted</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4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jc w:val="center"/>
              <w:ind w:left="139"/>
              <w:spacing w:after="0"/>
              <w:rPr>
                <w:sz w:val="20"/>
                <w:szCs w:val="20"/>
                <w:color w:val="auto"/>
              </w:rPr>
            </w:pPr>
            <w:r>
              <w:rPr>
                <w:rFonts w:ascii="Calibri" w:cs="Calibri" w:eastAsia="Calibri" w:hAnsi="Calibri"/>
                <w:sz w:val="12"/>
                <w:szCs w:val="12"/>
                <w:b w:val="1"/>
                <w:bCs w:val="1"/>
                <w:color w:val="auto"/>
              </w:rPr>
              <w:t>Average</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0"/>
        </w:trPr>
        <w:tc>
          <w:tcPr>
            <w:tcW w:w="4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jc w:val="center"/>
              <w:ind w:left="139"/>
              <w:spacing w:after="0"/>
              <w:rPr>
                <w:sz w:val="20"/>
                <w:szCs w:val="20"/>
                <w:color w:val="auto"/>
              </w:rPr>
            </w:pPr>
            <w:r>
              <w:rPr>
                <w:rFonts w:ascii="Calibri" w:cs="Calibri" w:eastAsia="Calibri" w:hAnsi="Calibri"/>
                <w:sz w:val="12"/>
                <w:szCs w:val="12"/>
                <w:b w:val="1"/>
                <w:bCs w:val="1"/>
                <w:color w:val="auto"/>
              </w:rPr>
              <w:t>Remaining</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center"/>
              <w:ind w:right="90"/>
              <w:spacing w:after="0"/>
              <w:rPr>
                <w:sz w:val="20"/>
                <w:szCs w:val="20"/>
                <w:color w:val="auto"/>
              </w:rPr>
            </w:pPr>
            <w:r>
              <w:rPr>
                <w:rFonts w:ascii="Calibri" w:cs="Calibri" w:eastAsia="Calibri" w:hAnsi="Calibri"/>
                <w:sz w:val="12"/>
                <w:szCs w:val="12"/>
                <w:b w:val="1"/>
                <w:bCs w:val="1"/>
                <w:color w:val="auto"/>
              </w:rPr>
              <w:t>Gross</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0"/>
        </w:trPr>
        <w:tc>
          <w:tcPr>
            <w:tcW w:w="4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jc w:val="center"/>
              <w:ind w:left="139"/>
              <w:spacing w:after="0"/>
              <w:rPr>
                <w:sz w:val="20"/>
                <w:szCs w:val="20"/>
                <w:color w:val="auto"/>
              </w:rPr>
            </w:pPr>
            <w:r>
              <w:rPr>
                <w:rFonts w:ascii="Calibri" w:cs="Calibri" w:eastAsia="Calibri" w:hAnsi="Calibri"/>
                <w:sz w:val="12"/>
                <w:szCs w:val="12"/>
                <w:b w:val="1"/>
                <w:bCs w:val="1"/>
                <w:color w:val="auto"/>
              </w:rPr>
              <w:t>Useful Life</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center"/>
              <w:ind w:right="90"/>
              <w:spacing w:after="0"/>
              <w:rPr>
                <w:sz w:val="20"/>
                <w:szCs w:val="20"/>
                <w:color w:val="auto"/>
              </w:rPr>
            </w:pPr>
            <w:r>
              <w:rPr>
                <w:rFonts w:ascii="Calibri" w:cs="Calibri" w:eastAsia="Calibri" w:hAnsi="Calibri"/>
                <w:sz w:val="12"/>
                <w:szCs w:val="12"/>
                <w:b w:val="1"/>
                <w:bCs w:val="1"/>
                <w:color w:val="auto"/>
              </w:rPr>
              <w:t>Carrying</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ind w:left="20"/>
              <w:spacing w:after="0"/>
              <w:rPr>
                <w:sz w:val="20"/>
                <w:szCs w:val="20"/>
                <w:color w:val="auto"/>
              </w:rPr>
            </w:pPr>
            <w:r>
              <w:rPr>
                <w:rFonts w:ascii="Calibri" w:cs="Calibri" w:eastAsia="Calibri" w:hAnsi="Calibri"/>
                <w:sz w:val="12"/>
                <w:szCs w:val="12"/>
                <w:b w:val="1"/>
                <w:bCs w:val="1"/>
                <w:color w:val="auto"/>
              </w:rPr>
              <w:t>Accumulated</w:t>
            </w:r>
          </w:p>
        </w:tc>
        <w:tc>
          <w:tcPr>
            <w:tcW w:w="20" w:type="dxa"/>
            <w:vAlign w:val="bottom"/>
          </w:tcPr>
          <w:p>
            <w:pPr>
              <w:spacing w:after="0"/>
              <w:rPr>
                <w:sz w:val="13"/>
                <w:szCs w:val="13"/>
                <w:color w:val="auto"/>
              </w:rPr>
            </w:pPr>
          </w:p>
        </w:tc>
        <w:tc>
          <w:tcPr>
            <w:tcW w:w="1080" w:type="dxa"/>
            <w:vAlign w:val="bottom"/>
            <w:gridSpan w:val="3"/>
          </w:tcPr>
          <w:p>
            <w:pPr>
              <w:ind w:left="80"/>
              <w:spacing w:after="0"/>
              <w:rPr>
                <w:sz w:val="20"/>
                <w:szCs w:val="20"/>
                <w:color w:val="auto"/>
              </w:rPr>
            </w:pPr>
            <w:r>
              <w:rPr>
                <w:rFonts w:ascii="Calibri" w:cs="Calibri" w:eastAsia="Calibri" w:hAnsi="Calibri"/>
                <w:sz w:val="12"/>
                <w:szCs w:val="12"/>
                <w:b w:val="1"/>
                <w:bCs w:val="1"/>
                <w:color w:val="auto"/>
              </w:rPr>
              <w:t>Accumulated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200"/>
              <w:spacing w:after="0"/>
              <w:rPr>
                <w:sz w:val="20"/>
                <w:szCs w:val="20"/>
                <w:color w:val="auto"/>
              </w:rPr>
            </w:pPr>
            <w:r>
              <w:rPr>
                <w:rFonts w:ascii="Calibri" w:cs="Calibri" w:eastAsia="Calibri" w:hAnsi="Calibri"/>
                <w:sz w:val="12"/>
                <w:szCs w:val="12"/>
                <w:b w:val="1"/>
                <w:bCs w:val="1"/>
                <w:color w:val="auto"/>
              </w:rPr>
              <w:t>Net Carrying</w:t>
            </w:r>
          </w:p>
        </w:tc>
      </w:tr>
      <w:tr>
        <w:trPr>
          <w:trHeight w:val="150"/>
        </w:trPr>
        <w:tc>
          <w:tcPr>
            <w:tcW w:w="4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jc w:val="center"/>
              <w:ind w:left="139"/>
              <w:spacing w:after="0"/>
              <w:rPr>
                <w:sz w:val="20"/>
                <w:szCs w:val="20"/>
                <w:color w:val="auto"/>
              </w:rPr>
            </w:pPr>
            <w:r>
              <w:rPr>
                <w:rFonts w:ascii="Calibri" w:cs="Calibri" w:eastAsia="Calibri" w:hAnsi="Calibri"/>
                <w:sz w:val="12"/>
                <w:szCs w:val="12"/>
                <w:b w:val="1"/>
                <w:bCs w:val="1"/>
                <w:color w:val="auto"/>
                <w:w w:val="99"/>
              </w:rPr>
              <w:t>(years)</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center"/>
              <w:ind w:right="90"/>
              <w:spacing w:after="0"/>
              <w:rPr>
                <w:sz w:val="20"/>
                <w:szCs w:val="20"/>
                <w:color w:val="auto"/>
              </w:rPr>
            </w:pPr>
            <w:r>
              <w:rPr>
                <w:rFonts w:ascii="Calibri" w:cs="Calibri" w:eastAsia="Calibri" w:hAnsi="Calibri"/>
                <w:sz w:val="12"/>
                <w:szCs w:val="12"/>
                <w:b w:val="1"/>
                <w:bCs w:val="1"/>
                <w:color w:val="auto"/>
              </w:rPr>
              <w:t>Amount</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ind w:left="20"/>
              <w:spacing w:after="0"/>
              <w:rPr>
                <w:sz w:val="20"/>
                <w:szCs w:val="20"/>
                <w:color w:val="auto"/>
              </w:rPr>
            </w:pPr>
            <w:r>
              <w:rPr>
                <w:rFonts w:ascii="Calibri" w:cs="Calibri" w:eastAsia="Calibri" w:hAnsi="Calibri"/>
                <w:sz w:val="12"/>
                <w:szCs w:val="12"/>
                <w:b w:val="1"/>
                <w:bCs w:val="1"/>
                <w:color w:val="auto"/>
              </w:rPr>
              <w:t>Amortzaton</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340"/>
              <w:spacing w:after="0"/>
              <w:rPr>
                <w:sz w:val="20"/>
                <w:szCs w:val="20"/>
                <w:color w:val="auto"/>
              </w:rPr>
            </w:pPr>
            <w:r>
              <w:rPr>
                <w:rFonts w:ascii="Calibri" w:cs="Calibri" w:eastAsia="Calibri" w:hAnsi="Calibri"/>
                <w:sz w:val="12"/>
                <w:szCs w:val="12"/>
                <w:b w:val="1"/>
                <w:bCs w:val="1"/>
                <w:color w:val="auto"/>
              </w:rPr>
              <w:t>Impairment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220"/>
              <w:spacing w:after="0"/>
              <w:rPr>
                <w:sz w:val="20"/>
                <w:szCs w:val="20"/>
                <w:color w:val="auto"/>
              </w:rPr>
            </w:pPr>
            <w:r>
              <w:rPr>
                <w:rFonts w:ascii="Calibri" w:cs="Calibri" w:eastAsia="Calibri" w:hAnsi="Calibri"/>
                <w:sz w:val="12"/>
                <w:szCs w:val="12"/>
                <w:b w:val="1"/>
                <w:bCs w:val="1"/>
                <w:color w:val="auto"/>
              </w:rPr>
              <w:t>Amount</w:t>
            </w:r>
          </w:p>
        </w:tc>
      </w:tr>
      <w:tr>
        <w:trPr>
          <w:trHeight w:val="28"/>
        </w:trPr>
        <w:tc>
          <w:tcPr>
            <w:tcW w:w="458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79"/>
        </w:trPr>
        <w:tc>
          <w:tcPr>
            <w:tcW w:w="5340" w:type="dxa"/>
            <w:vAlign w:val="bottom"/>
            <w:tcBorders>
              <w:bottom w:val="single" w:sz="8" w:color="CFF0FC"/>
            </w:tcBorders>
            <w:gridSpan w:val="3"/>
            <w:shd w:val="clear" w:color="auto" w:fill="CFF0FC"/>
          </w:tcPr>
          <w:p>
            <w:pPr>
              <w:spacing w:after="0" w:line="174" w:lineRule="exact"/>
              <w:rPr>
                <w:sz w:val="20"/>
                <w:szCs w:val="20"/>
                <w:color w:val="auto"/>
              </w:rPr>
            </w:pPr>
            <w:r>
              <w:rPr>
                <w:rFonts w:ascii="Calibri" w:cs="Calibri" w:eastAsia="Calibri" w:hAnsi="Calibri"/>
                <w:sz w:val="15"/>
                <w:szCs w:val="15"/>
                <w:color w:val="auto"/>
              </w:rPr>
              <w:t>Brand</w:t>
            </w:r>
          </w:p>
        </w:tc>
        <w:tc>
          <w:tcPr>
            <w:tcW w:w="200" w:type="dxa"/>
            <w:vAlign w:val="bottom"/>
            <w:tcBorders>
              <w:bottom w:val="single" w:sz="8" w:color="CFF0FC"/>
            </w:tcBorders>
            <w:shd w:val="clear" w:color="auto" w:fill="CFF0FC"/>
          </w:tcPr>
          <w:p>
            <w:pPr>
              <w:jc w:val="right"/>
              <w:spacing w:after="0" w:line="174" w:lineRule="exact"/>
              <w:rPr>
                <w:sz w:val="20"/>
                <w:szCs w:val="20"/>
                <w:color w:val="auto"/>
              </w:rPr>
            </w:pPr>
            <w:r>
              <w:rPr>
                <w:rFonts w:ascii="Calibri" w:cs="Calibri" w:eastAsia="Calibri" w:hAnsi="Calibri"/>
                <w:sz w:val="15"/>
                <w:szCs w:val="15"/>
                <w:color w:val="auto"/>
                <w:w w:val="94"/>
              </w:rPr>
              <w:t>7.4</w:t>
            </w:r>
          </w:p>
        </w:tc>
        <w:tc>
          <w:tcPr>
            <w:tcW w:w="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jc w:val="right"/>
              <w:ind w:right="3"/>
              <w:spacing w:after="0" w:line="174" w:lineRule="exact"/>
              <w:rPr>
                <w:sz w:val="20"/>
                <w:szCs w:val="20"/>
                <w:color w:val="auto"/>
              </w:rPr>
            </w:pPr>
            <w:r>
              <w:rPr>
                <w:rFonts w:ascii="Calibri" w:cs="Calibri" w:eastAsia="Calibri" w:hAnsi="Calibri"/>
                <w:sz w:val="15"/>
                <w:szCs w:val="15"/>
                <w:color w:val="auto"/>
                <w:w w:val="78"/>
              </w:rPr>
              <w:t>$</w:t>
            </w:r>
          </w:p>
        </w:tc>
        <w:tc>
          <w:tcPr>
            <w:tcW w:w="740" w:type="dxa"/>
            <w:vAlign w:val="bottom"/>
            <w:tcBorders>
              <w:bottom w:val="single" w:sz="8" w:color="CFF0FC"/>
            </w:tcBorders>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32,193</w:t>
            </w:r>
          </w:p>
        </w:tc>
        <w:tc>
          <w:tcPr>
            <w:tcW w:w="340" w:type="dxa"/>
            <w:vAlign w:val="bottom"/>
            <w:tcBorders>
              <w:bottom w:val="single" w:sz="8" w:color="CFF0FC"/>
            </w:tcBorders>
            <w:gridSpan w:val="3"/>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w:t>
            </w:r>
          </w:p>
        </w:tc>
        <w:tc>
          <w:tcPr>
            <w:tcW w:w="820" w:type="dxa"/>
            <w:vAlign w:val="bottom"/>
            <w:tcBorders>
              <w:bottom w:val="single" w:sz="8" w:color="CFF0FC"/>
            </w:tcBorders>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10,262</w:t>
            </w:r>
          </w:p>
        </w:tc>
        <w:tc>
          <w:tcPr>
            <w:tcW w:w="2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gridSpan w:val="2"/>
            <w:shd w:val="clear" w:color="auto" w:fill="CFF0FC"/>
          </w:tcPr>
          <w:p>
            <w:pPr>
              <w:jc w:val="right"/>
              <w:spacing w:after="0" w:line="174" w:lineRule="exact"/>
              <w:rPr>
                <w:sz w:val="20"/>
                <w:szCs w:val="20"/>
                <w:color w:val="auto"/>
              </w:rPr>
            </w:pPr>
            <w:r>
              <w:rPr>
                <w:rFonts w:ascii="Calibri" w:cs="Calibri" w:eastAsia="Calibri" w:hAnsi="Calibri"/>
                <w:sz w:val="15"/>
                <w:szCs w:val="15"/>
                <w:color w:val="auto"/>
                <w:w w:val="78"/>
              </w:rPr>
              <w:t>$</w:t>
            </w:r>
          </w:p>
        </w:tc>
        <w:tc>
          <w:tcPr>
            <w:tcW w:w="980" w:type="dxa"/>
            <w:vAlign w:val="bottom"/>
            <w:tcBorders>
              <w:bottom w:val="single" w:sz="8" w:color="CFF0FC"/>
            </w:tcBorders>
            <w:gridSpan w:val="2"/>
            <w:shd w:val="clear" w:color="auto" w:fill="CFF0FC"/>
          </w:tcPr>
          <w:p>
            <w:pPr>
              <w:jc w:val="right"/>
              <w:ind w:right="220"/>
              <w:spacing w:after="0" w:line="174" w:lineRule="exact"/>
              <w:rPr>
                <w:sz w:val="20"/>
                <w:szCs w:val="20"/>
                <w:color w:val="auto"/>
              </w:rPr>
            </w:pPr>
            <w:r>
              <w:rPr>
                <w:rFonts w:ascii="Calibri" w:cs="Calibri" w:eastAsia="Calibri" w:hAnsi="Calibri"/>
                <w:sz w:val="15"/>
                <w:szCs w:val="15"/>
                <w:color w:val="auto"/>
              </w:rPr>
              <w:t>—</w:t>
            </w:r>
          </w:p>
        </w:tc>
        <w:tc>
          <w:tcPr>
            <w:tcW w:w="120" w:type="dxa"/>
            <w:vAlign w:val="bottom"/>
            <w:tcBorders>
              <w:bottom w:val="single" w:sz="8" w:color="CFF0FC"/>
            </w:tcBorders>
            <w:gridSpan w:val="2"/>
            <w:shd w:val="clear" w:color="auto" w:fill="CFF0FC"/>
          </w:tcPr>
          <w:p>
            <w:pPr>
              <w:jc w:val="right"/>
              <w:ind w:right="20"/>
              <w:spacing w:after="0" w:line="174" w:lineRule="exact"/>
              <w:rPr>
                <w:sz w:val="20"/>
                <w:szCs w:val="20"/>
                <w:color w:val="auto"/>
              </w:rPr>
            </w:pPr>
            <w:r>
              <w:rPr>
                <w:rFonts w:ascii="Calibri" w:cs="Calibri" w:eastAsia="Calibri" w:hAnsi="Calibri"/>
                <w:sz w:val="15"/>
                <w:szCs w:val="15"/>
                <w:color w:val="auto"/>
              </w:rPr>
              <w:t>$</w:t>
            </w:r>
          </w:p>
        </w:tc>
        <w:tc>
          <w:tcPr>
            <w:tcW w:w="780" w:type="dxa"/>
            <w:vAlign w:val="bottom"/>
            <w:tcBorders>
              <w:bottom w:val="single" w:sz="8" w:color="CFF0FC"/>
            </w:tcBorders>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21,931</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83"/>
        </w:trPr>
        <w:tc>
          <w:tcPr>
            <w:tcW w:w="5340" w:type="dxa"/>
            <w:vAlign w:val="bottom"/>
            <w:gridSpan w:val="3"/>
          </w:tcPr>
          <w:p>
            <w:pPr>
              <w:spacing w:after="0"/>
              <w:rPr>
                <w:sz w:val="20"/>
                <w:szCs w:val="20"/>
                <w:color w:val="auto"/>
              </w:rPr>
            </w:pPr>
            <w:r>
              <w:rPr>
                <w:rFonts w:ascii="Calibri" w:cs="Calibri" w:eastAsia="Calibri" w:hAnsi="Calibri"/>
                <w:sz w:val="15"/>
                <w:szCs w:val="15"/>
                <w:color w:val="auto"/>
              </w:rPr>
              <w:t>Customer relatonships</w:t>
            </w:r>
          </w:p>
        </w:tc>
        <w:tc>
          <w:tcPr>
            <w:tcW w:w="200" w:type="dxa"/>
            <w:vAlign w:val="bottom"/>
          </w:tcPr>
          <w:p>
            <w:pPr>
              <w:jc w:val="right"/>
              <w:spacing w:after="0"/>
              <w:rPr>
                <w:sz w:val="20"/>
                <w:szCs w:val="20"/>
                <w:color w:val="auto"/>
              </w:rPr>
            </w:pPr>
            <w:r>
              <w:rPr>
                <w:rFonts w:ascii="Calibri" w:cs="Calibri" w:eastAsia="Calibri" w:hAnsi="Calibri"/>
                <w:sz w:val="15"/>
                <w:szCs w:val="15"/>
                <w:color w:val="auto"/>
                <w:w w:val="94"/>
              </w:rPr>
              <w:t>0.0</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alibri" w:cs="Calibri" w:eastAsia="Calibri" w:hAnsi="Calibri"/>
                <w:sz w:val="15"/>
                <w:szCs w:val="15"/>
                <w:color w:val="auto"/>
              </w:rPr>
              <w:t>19,870</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alibri" w:cs="Calibri" w:eastAsia="Calibri" w:hAnsi="Calibri"/>
                <w:sz w:val="15"/>
                <w:szCs w:val="15"/>
                <w:color w:val="auto"/>
              </w:rPr>
              <w:t>19,620</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Calibri" w:cs="Calibri" w:eastAsia="Calibri" w:hAnsi="Calibri"/>
                <w:sz w:val="15"/>
                <w:szCs w:val="15"/>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alibri" w:cs="Calibri" w:eastAsia="Calibri" w:hAnsi="Calibri"/>
                <w:sz w:val="15"/>
                <w:szCs w:val="15"/>
                <w:color w:val="auto"/>
              </w:rPr>
              <w:t>250</w:t>
            </w:r>
          </w:p>
        </w:tc>
        <w:tc>
          <w:tcPr>
            <w:tcW w:w="100" w:type="dxa"/>
            <w:vAlign w:val="bottom"/>
          </w:tcPr>
          <w:p>
            <w:pPr>
              <w:spacing w:after="0"/>
              <w:rPr>
                <w:sz w:val="15"/>
                <w:szCs w:val="15"/>
                <w:color w:val="auto"/>
              </w:rPr>
            </w:pPr>
          </w:p>
        </w:tc>
      </w:tr>
      <w:tr>
        <w:trPr>
          <w:trHeight w:val="24"/>
        </w:trPr>
        <w:tc>
          <w:tcPr>
            <w:tcW w:w="458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9"/>
        </w:trPr>
        <w:tc>
          <w:tcPr>
            <w:tcW w:w="5340" w:type="dxa"/>
            <w:vAlign w:val="bottom"/>
            <w:tcBorders>
              <w:bottom w:val="single" w:sz="8" w:color="CFF0FC"/>
            </w:tcBorders>
            <w:gridSpan w:val="3"/>
            <w:shd w:val="clear" w:color="auto" w:fill="CFF0FC"/>
          </w:tcPr>
          <w:p>
            <w:pPr>
              <w:spacing w:after="0"/>
              <w:rPr>
                <w:sz w:val="20"/>
                <w:szCs w:val="20"/>
                <w:color w:val="auto"/>
              </w:rPr>
            </w:pPr>
            <w:r>
              <w:rPr>
                <w:rFonts w:ascii="Calibri" w:cs="Calibri" w:eastAsia="Calibri" w:hAnsi="Calibri"/>
                <w:sz w:val="15"/>
                <w:szCs w:val="15"/>
                <w:color w:val="auto"/>
              </w:rPr>
              <w:t>Developed technology</w:t>
            </w:r>
          </w:p>
        </w:tc>
        <w:tc>
          <w:tcPr>
            <w:tcW w:w="2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w w:val="94"/>
              </w:rPr>
              <w:t>0.0</w:t>
            </w:r>
          </w:p>
        </w:tc>
        <w:tc>
          <w:tcPr>
            <w:tcW w:w="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5"/>
                <w:szCs w:val="15"/>
                <w:color w:val="auto"/>
              </w:rPr>
              <w:t>65,212</w:t>
            </w:r>
          </w:p>
        </w:tc>
        <w:tc>
          <w:tcPr>
            <w:tcW w:w="2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5"/>
                <w:szCs w:val="15"/>
                <w:color w:val="auto"/>
              </w:rPr>
              <w:t>63,690</w:t>
            </w:r>
          </w:p>
        </w:tc>
        <w:tc>
          <w:tcPr>
            <w:tcW w:w="20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5"/>
                <w:szCs w:val="15"/>
                <w:color w:val="auto"/>
              </w:rPr>
              <w:t>647</w:t>
            </w:r>
          </w:p>
        </w:tc>
        <w:tc>
          <w:tcPr>
            <w:tcW w:w="20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5"/>
                <w:szCs w:val="15"/>
                <w:color w:val="auto"/>
              </w:rPr>
              <w:t>875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83"/>
        </w:trPr>
        <w:tc>
          <w:tcPr>
            <w:tcW w:w="5340" w:type="dxa"/>
            <w:vAlign w:val="bottom"/>
            <w:gridSpan w:val="3"/>
          </w:tcPr>
          <w:p>
            <w:pPr>
              <w:ind w:left="160"/>
              <w:spacing w:after="0"/>
              <w:rPr>
                <w:sz w:val="20"/>
                <w:szCs w:val="20"/>
                <w:color w:val="auto"/>
              </w:rPr>
            </w:pPr>
            <w:r>
              <w:rPr>
                <w:rFonts w:ascii="Calibri" w:cs="Calibri" w:eastAsia="Calibri" w:hAnsi="Calibri"/>
                <w:sz w:val="15"/>
                <w:szCs w:val="15"/>
                <w:color w:val="auto"/>
              </w:rPr>
              <w:t>Total</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jc w:val="right"/>
              <w:ind w:right="3"/>
              <w:spacing w:after="0"/>
              <w:rPr>
                <w:sz w:val="20"/>
                <w:szCs w:val="20"/>
                <w:color w:val="auto"/>
              </w:rPr>
            </w:pPr>
            <w:r>
              <w:rPr>
                <w:rFonts w:ascii="Calibri" w:cs="Calibri" w:eastAsia="Calibri" w:hAnsi="Calibri"/>
                <w:sz w:val="15"/>
                <w:szCs w:val="15"/>
                <w:color w:val="auto"/>
                <w:w w:val="78"/>
              </w:rPr>
              <w:t>$</w:t>
            </w:r>
          </w:p>
        </w:tc>
        <w:tc>
          <w:tcPr>
            <w:tcW w:w="740" w:type="dxa"/>
            <w:vAlign w:val="bottom"/>
          </w:tcPr>
          <w:p>
            <w:pPr>
              <w:jc w:val="right"/>
              <w:spacing w:after="0"/>
              <w:rPr>
                <w:sz w:val="20"/>
                <w:szCs w:val="20"/>
                <w:color w:val="auto"/>
              </w:rPr>
            </w:pPr>
            <w:r>
              <w:rPr>
                <w:rFonts w:ascii="Calibri" w:cs="Calibri" w:eastAsia="Calibri" w:hAnsi="Calibri"/>
                <w:sz w:val="15"/>
                <w:szCs w:val="15"/>
                <w:color w:val="auto"/>
              </w:rPr>
              <w:t>117,275</w:t>
            </w:r>
          </w:p>
        </w:tc>
        <w:tc>
          <w:tcPr>
            <w:tcW w:w="340" w:type="dxa"/>
            <w:vAlign w:val="bottom"/>
            <w:gridSpan w:val="3"/>
          </w:tcPr>
          <w:p>
            <w:pPr>
              <w:jc w:val="right"/>
              <w:spacing w:after="0"/>
              <w:rPr>
                <w:sz w:val="20"/>
                <w:szCs w:val="20"/>
                <w:color w:val="auto"/>
              </w:rPr>
            </w:pPr>
            <w:r>
              <w:rPr>
                <w:rFonts w:ascii="Calibri" w:cs="Calibri" w:eastAsia="Calibri" w:hAnsi="Calibri"/>
                <w:sz w:val="15"/>
                <w:szCs w:val="15"/>
                <w:color w:val="auto"/>
              </w:rPr>
              <w:t>$</w:t>
            </w:r>
          </w:p>
        </w:tc>
        <w:tc>
          <w:tcPr>
            <w:tcW w:w="820" w:type="dxa"/>
            <w:vAlign w:val="bottom"/>
          </w:tcPr>
          <w:p>
            <w:pPr>
              <w:jc w:val="right"/>
              <w:spacing w:after="0"/>
              <w:rPr>
                <w:sz w:val="20"/>
                <w:szCs w:val="20"/>
                <w:color w:val="auto"/>
              </w:rPr>
            </w:pPr>
            <w:r>
              <w:rPr>
                <w:rFonts w:ascii="Calibri" w:cs="Calibri" w:eastAsia="Calibri" w:hAnsi="Calibri"/>
                <w:sz w:val="15"/>
                <w:szCs w:val="15"/>
                <w:color w:val="auto"/>
              </w:rPr>
              <w:t>93,572</w:t>
            </w:r>
          </w:p>
        </w:tc>
        <w:tc>
          <w:tcPr>
            <w:tcW w:w="200" w:type="dxa"/>
            <w:vAlign w:val="bottom"/>
          </w:tcPr>
          <w:p>
            <w:pPr>
              <w:spacing w:after="0"/>
              <w:rPr>
                <w:sz w:val="15"/>
                <w:szCs w:val="15"/>
                <w:color w:val="auto"/>
              </w:rPr>
            </w:pPr>
          </w:p>
        </w:tc>
        <w:tc>
          <w:tcPr>
            <w:tcW w:w="120" w:type="dxa"/>
            <w:vAlign w:val="bottom"/>
            <w:gridSpan w:val="2"/>
          </w:tcPr>
          <w:p>
            <w:pPr>
              <w:jc w:val="right"/>
              <w:spacing w:after="0"/>
              <w:rPr>
                <w:sz w:val="20"/>
                <w:szCs w:val="20"/>
                <w:color w:val="auto"/>
              </w:rPr>
            </w:pPr>
            <w:r>
              <w:rPr>
                <w:rFonts w:ascii="Calibri" w:cs="Calibri" w:eastAsia="Calibri" w:hAnsi="Calibri"/>
                <w:sz w:val="15"/>
                <w:szCs w:val="15"/>
                <w:color w:val="auto"/>
                <w:w w:val="78"/>
              </w:rPr>
              <w:t>$</w:t>
            </w:r>
          </w:p>
        </w:tc>
        <w:tc>
          <w:tcPr>
            <w:tcW w:w="780" w:type="dxa"/>
            <w:vAlign w:val="bottom"/>
          </w:tcPr>
          <w:p>
            <w:pPr>
              <w:jc w:val="right"/>
              <w:spacing w:after="0"/>
              <w:rPr>
                <w:sz w:val="20"/>
                <w:szCs w:val="20"/>
                <w:color w:val="auto"/>
              </w:rPr>
            </w:pPr>
            <w:r>
              <w:rPr>
                <w:rFonts w:ascii="Calibri" w:cs="Calibri" w:eastAsia="Calibri" w:hAnsi="Calibri"/>
                <w:sz w:val="15"/>
                <w:szCs w:val="15"/>
                <w:color w:val="auto"/>
              </w:rPr>
              <w:t>647</w:t>
            </w:r>
          </w:p>
        </w:tc>
        <w:tc>
          <w:tcPr>
            <w:tcW w:w="200" w:type="dxa"/>
            <w:vAlign w:val="bottom"/>
          </w:tcPr>
          <w:p>
            <w:pPr>
              <w:spacing w:after="0"/>
              <w:rPr>
                <w:sz w:val="15"/>
                <w:szCs w:val="15"/>
                <w:color w:val="auto"/>
              </w:rPr>
            </w:pPr>
          </w:p>
        </w:tc>
        <w:tc>
          <w:tcPr>
            <w:tcW w:w="120" w:type="dxa"/>
            <w:vAlign w:val="bottom"/>
            <w:gridSpan w:val="2"/>
          </w:tcPr>
          <w:p>
            <w:pPr>
              <w:jc w:val="right"/>
              <w:ind w:right="20"/>
              <w:spacing w:after="0"/>
              <w:rPr>
                <w:sz w:val="20"/>
                <w:szCs w:val="20"/>
                <w:color w:val="auto"/>
              </w:rPr>
            </w:pPr>
            <w:r>
              <w:rPr>
                <w:rFonts w:ascii="Calibri" w:cs="Calibri" w:eastAsia="Calibri" w:hAnsi="Calibri"/>
                <w:sz w:val="15"/>
                <w:szCs w:val="15"/>
                <w:color w:val="auto"/>
              </w:rPr>
              <w:t>$</w:t>
            </w:r>
          </w:p>
        </w:tc>
        <w:tc>
          <w:tcPr>
            <w:tcW w:w="780" w:type="dxa"/>
            <w:vAlign w:val="bottom"/>
          </w:tcPr>
          <w:p>
            <w:pPr>
              <w:jc w:val="right"/>
              <w:spacing w:after="0"/>
              <w:rPr>
                <w:sz w:val="20"/>
                <w:szCs w:val="20"/>
                <w:color w:val="auto"/>
              </w:rPr>
            </w:pPr>
            <w:r>
              <w:rPr>
                <w:rFonts w:ascii="Calibri" w:cs="Calibri" w:eastAsia="Calibri" w:hAnsi="Calibri"/>
                <w:sz w:val="15"/>
                <w:szCs w:val="15"/>
                <w:color w:val="auto"/>
              </w:rPr>
              <w:t>23,056</w:t>
            </w:r>
          </w:p>
        </w:tc>
        <w:tc>
          <w:tcPr>
            <w:tcW w:w="100" w:type="dxa"/>
            <w:vAlign w:val="bottom"/>
          </w:tcPr>
          <w:p>
            <w:pPr>
              <w:spacing w:after="0"/>
              <w:rPr>
                <w:sz w:val="15"/>
                <w:szCs w:val="15"/>
                <w:color w:val="auto"/>
              </w:rPr>
            </w:pPr>
          </w:p>
        </w:tc>
      </w:tr>
      <w:tr>
        <w:trPr>
          <w:trHeight w:val="24"/>
        </w:trPr>
        <w:tc>
          <w:tcPr>
            <w:tcW w:w="458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
        </w:trPr>
        <w:tc>
          <w:tcPr>
            <w:tcW w:w="4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11"/>
        </w:trPr>
        <w:tc>
          <w:tcPr>
            <w:tcW w:w="4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60" w:type="dxa"/>
            <w:vAlign w:val="bottom"/>
            <w:gridSpan w:val="5"/>
          </w:tcPr>
          <w:p>
            <w:pPr>
              <w:spacing w:after="0"/>
              <w:rPr>
                <w:sz w:val="20"/>
                <w:szCs w:val="20"/>
                <w:color w:val="auto"/>
              </w:rPr>
            </w:pPr>
            <w:r>
              <w:rPr>
                <w:rFonts w:ascii="Calibri" w:cs="Calibri" w:eastAsia="Calibri" w:hAnsi="Calibri"/>
                <w:sz w:val="12"/>
                <w:szCs w:val="12"/>
                <w:b w:val="1"/>
                <w:bCs w:val="1"/>
                <w:color w:val="auto"/>
              </w:rPr>
              <w:t>As of December 31, 2022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8"/>
        </w:trPr>
        <w:tc>
          <w:tcPr>
            <w:tcW w:w="45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37"/>
        </w:trPr>
        <w:tc>
          <w:tcPr>
            <w:tcW w:w="4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jc w:val="center"/>
              <w:ind w:left="139"/>
              <w:spacing w:after="0" w:line="138" w:lineRule="exact"/>
              <w:rPr>
                <w:sz w:val="20"/>
                <w:szCs w:val="20"/>
                <w:color w:val="auto"/>
              </w:rPr>
            </w:pPr>
            <w:r>
              <w:rPr>
                <w:rFonts w:ascii="Calibri" w:cs="Calibri" w:eastAsia="Calibri" w:hAnsi="Calibri"/>
                <w:sz w:val="12"/>
                <w:szCs w:val="12"/>
                <w:b w:val="1"/>
                <w:bCs w:val="1"/>
                <w:color w:val="auto"/>
              </w:rPr>
              <w:t>Weighted</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4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jc w:val="center"/>
              <w:ind w:left="139"/>
              <w:spacing w:after="0"/>
              <w:rPr>
                <w:sz w:val="20"/>
                <w:szCs w:val="20"/>
                <w:color w:val="auto"/>
              </w:rPr>
            </w:pPr>
            <w:r>
              <w:rPr>
                <w:rFonts w:ascii="Calibri" w:cs="Calibri" w:eastAsia="Calibri" w:hAnsi="Calibri"/>
                <w:sz w:val="12"/>
                <w:szCs w:val="12"/>
                <w:b w:val="1"/>
                <w:bCs w:val="1"/>
                <w:color w:val="auto"/>
              </w:rPr>
              <w:t>Average</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0"/>
        </w:trPr>
        <w:tc>
          <w:tcPr>
            <w:tcW w:w="4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jc w:val="center"/>
              <w:ind w:left="139"/>
              <w:spacing w:after="0"/>
              <w:rPr>
                <w:sz w:val="20"/>
                <w:szCs w:val="20"/>
                <w:color w:val="auto"/>
              </w:rPr>
            </w:pPr>
            <w:r>
              <w:rPr>
                <w:rFonts w:ascii="Calibri" w:cs="Calibri" w:eastAsia="Calibri" w:hAnsi="Calibri"/>
                <w:sz w:val="12"/>
                <w:szCs w:val="12"/>
                <w:b w:val="1"/>
                <w:bCs w:val="1"/>
                <w:color w:val="auto"/>
              </w:rPr>
              <w:t>Remaining</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center"/>
              <w:ind w:right="70"/>
              <w:spacing w:after="0"/>
              <w:rPr>
                <w:sz w:val="20"/>
                <w:szCs w:val="20"/>
                <w:color w:val="auto"/>
              </w:rPr>
            </w:pPr>
            <w:r>
              <w:rPr>
                <w:rFonts w:ascii="Calibri" w:cs="Calibri" w:eastAsia="Calibri" w:hAnsi="Calibri"/>
                <w:sz w:val="12"/>
                <w:szCs w:val="12"/>
                <w:b w:val="1"/>
                <w:bCs w:val="1"/>
                <w:color w:val="auto"/>
              </w:rPr>
              <w:t>Gross</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0"/>
        </w:trPr>
        <w:tc>
          <w:tcPr>
            <w:tcW w:w="4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jc w:val="center"/>
              <w:ind w:left="139"/>
              <w:spacing w:after="0"/>
              <w:rPr>
                <w:sz w:val="20"/>
                <w:szCs w:val="20"/>
                <w:color w:val="auto"/>
              </w:rPr>
            </w:pPr>
            <w:r>
              <w:rPr>
                <w:rFonts w:ascii="Calibri" w:cs="Calibri" w:eastAsia="Calibri" w:hAnsi="Calibri"/>
                <w:sz w:val="12"/>
                <w:szCs w:val="12"/>
                <w:b w:val="1"/>
                <w:bCs w:val="1"/>
                <w:color w:val="auto"/>
              </w:rPr>
              <w:t>Useful Life</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center"/>
              <w:ind w:right="70"/>
              <w:spacing w:after="0"/>
              <w:rPr>
                <w:sz w:val="20"/>
                <w:szCs w:val="20"/>
                <w:color w:val="auto"/>
              </w:rPr>
            </w:pPr>
            <w:r>
              <w:rPr>
                <w:rFonts w:ascii="Calibri" w:cs="Calibri" w:eastAsia="Calibri" w:hAnsi="Calibri"/>
                <w:sz w:val="12"/>
                <w:szCs w:val="12"/>
                <w:b w:val="1"/>
                <w:bCs w:val="1"/>
                <w:color w:val="auto"/>
              </w:rPr>
              <w:t>Carrying</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ind w:left="20"/>
              <w:spacing w:after="0"/>
              <w:rPr>
                <w:sz w:val="20"/>
                <w:szCs w:val="20"/>
                <w:color w:val="auto"/>
              </w:rPr>
            </w:pPr>
            <w:r>
              <w:rPr>
                <w:rFonts w:ascii="Calibri" w:cs="Calibri" w:eastAsia="Calibri" w:hAnsi="Calibri"/>
                <w:sz w:val="12"/>
                <w:szCs w:val="12"/>
                <w:b w:val="1"/>
                <w:bCs w:val="1"/>
                <w:color w:val="auto"/>
              </w:rPr>
              <w:t>Accumulated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320"/>
              <w:spacing w:after="0"/>
              <w:rPr>
                <w:sz w:val="20"/>
                <w:szCs w:val="20"/>
                <w:color w:val="auto"/>
              </w:rPr>
            </w:pPr>
            <w:r>
              <w:rPr>
                <w:rFonts w:ascii="Calibri" w:cs="Calibri" w:eastAsia="Calibri" w:hAnsi="Calibri"/>
                <w:sz w:val="12"/>
                <w:szCs w:val="12"/>
                <w:b w:val="1"/>
                <w:bCs w:val="1"/>
                <w:color w:val="auto"/>
              </w:rPr>
              <w:t>Accumulated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200"/>
              <w:spacing w:after="0"/>
              <w:rPr>
                <w:sz w:val="20"/>
                <w:szCs w:val="20"/>
                <w:color w:val="auto"/>
              </w:rPr>
            </w:pPr>
            <w:r>
              <w:rPr>
                <w:rFonts w:ascii="Calibri" w:cs="Calibri" w:eastAsia="Calibri" w:hAnsi="Calibri"/>
                <w:sz w:val="12"/>
                <w:szCs w:val="12"/>
                <w:b w:val="1"/>
                <w:bCs w:val="1"/>
                <w:color w:val="auto"/>
              </w:rPr>
              <w:t>Net Carrying</w:t>
            </w:r>
          </w:p>
        </w:tc>
      </w:tr>
      <w:tr>
        <w:trPr>
          <w:trHeight w:val="150"/>
        </w:trPr>
        <w:tc>
          <w:tcPr>
            <w:tcW w:w="4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jc w:val="center"/>
              <w:ind w:left="139"/>
              <w:spacing w:after="0"/>
              <w:rPr>
                <w:sz w:val="20"/>
                <w:szCs w:val="20"/>
                <w:color w:val="auto"/>
              </w:rPr>
            </w:pPr>
            <w:r>
              <w:rPr>
                <w:rFonts w:ascii="Calibri" w:cs="Calibri" w:eastAsia="Calibri" w:hAnsi="Calibri"/>
                <w:sz w:val="12"/>
                <w:szCs w:val="12"/>
                <w:b w:val="1"/>
                <w:bCs w:val="1"/>
                <w:color w:val="auto"/>
                <w:w w:val="99"/>
              </w:rPr>
              <w:t>(years)</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center"/>
              <w:ind w:right="70"/>
              <w:spacing w:after="0"/>
              <w:rPr>
                <w:sz w:val="20"/>
                <w:szCs w:val="20"/>
                <w:color w:val="auto"/>
              </w:rPr>
            </w:pPr>
            <w:r>
              <w:rPr>
                <w:rFonts w:ascii="Calibri" w:cs="Calibri" w:eastAsia="Calibri" w:hAnsi="Calibri"/>
                <w:sz w:val="12"/>
                <w:szCs w:val="12"/>
                <w:b w:val="1"/>
                <w:bCs w:val="1"/>
                <w:color w:val="auto"/>
                <w:w w:val="98"/>
              </w:rPr>
              <w:t>Amount</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ind w:left="20"/>
              <w:spacing w:after="0"/>
              <w:rPr>
                <w:sz w:val="20"/>
                <w:szCs w:val="20"/>
                <w:color w:val="auto"/>
              </w:rPr>
            </w:pPr>
            <w:r>
              <w:rPr>
                <w:rFonts w:ascii="Calibri" w:cs="Calibri" w:eastAsia="Calibri" w:hAnsi="Calibri"/>
                <w:sz w:val="12"/>
                <w:szCs w:val="12"/>
                <w:b w:val="1"/>
                <w:bCs w:val="1"/>
                <w:color w:val="auto"/>
              </w:rPr>
              <w:t>Amortzaton</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300"/>
              <w:spacing w:after="0"/>
              <w:rPr>
                <w:sz w:val="20"/>
                <w:szCs w:val="20"/>
                <w:color w:val="auto"/>
              </w:rPr>
            </w:pPr>
            <w:r>
              <w:rPr>
                <w:rFonts w:ascii="Calibri" w:cs="Calibri" w:eastAsia="Calibri" w:hAnsi="Calibri"/>
                <w:sz w:val="12"/>
                <w:szCs w:val="12"/>
                <w:b w:val="1"/>
                <w:bCs w:val="1"/>
                <w:color w:val="auto"/>
              </w:rPr>
              <w:t>Impairment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200"/>
              <w:spacing w:after="0"/>
              <w:rPr>
                <w:sz w:val="20"/>
                <w:szCs w:val="20"/>
                <w:color w:val="auto"/>
              </w:rPr>
            </w:pPr>
            <w:r>
              <w:rPr>
                <w:rFonts w:ascii="Calibri" w:cs="Calibri" w:eastAsia="Calibri" w:hAnsi="Calibri"/>
                <w:sz w:val="12"/>
                <w:szCs w:val="12"/>
                <w:b w:val="1"/>
                <w:bCs w:val="1"/>
                <w:color w:val="auto"/>
                <w:w w:val="98"/>
              </w:rPr>
              <w:t>Amount</w:t>
            </w:r>
          </w:p>
        </w:tc>
      </w:tr>
      <w:tr>
        <w:trPr>
          <w:trHeight w:val="28"/>
        </w:trPr>
        <w:tc>
          <w:tcPr>
            <w:tcW w:w="4580" w:type="dxa"/>
            <w:vAlign w:val="bottom"/>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79"/>
        </w:trPr>
        <w:tc>
          <w:tcPr>
            <w:tcW w:w="5340" w:type="dxa"/>
            <w:vAlign w:val="bottom"/>
            <w:tcBorders>
              <w:bottom w:val="single" w:sz="8" w:color="CFF0FC"/>
            </w:tcBorders>
            <w:gridSpan w:val="3"/>
            <w:shd w:val="clear" w:color="auto" w:fill="CFF0FC"/>
          </w:tcPr>
          <w:p>
            <w:pPr>
              <w:spacing w:after="0" w:line="174" w:lineRule="exact"/>
              <w:rPr>
                <w:sz w:val="20"/>
                <w:szCs w:val="20"/>
                <w:color w:val="auto"/>
              </w:rPr>
            </w:pPr>
            <w:r>
              <w:rPr>
                <w:rFonts w:ascii="Calibri" w:cs="Calibri" w:eastAsia="Calibri" w:hAnsi="Calibri"/>
                <w:sz w:val="15"/>
                <w:szCs w:val="15"/>
                <w:color w:val="auto"/>
              </w:rPr>
              <w:t>Brand</w:t>
            </w:r>
          </w:p>
        </w:tc>
        <w:tc>
          <w:tcPr>
            <w:tcW w:w="220" w:type="dxa"/>
            <w:vAlign w:val="bottom"/>
            <w:tcBorders>
              <w:bottom w:val="single" w:sz="8" w:color="CFF0FC"/>
            </w:tcBorders>
            <w:gridSpan w:val="2"/>
            <w:shd w:val="clear" w:color="auto" w:fill="CFF0FC"/>
          </w:tcPr>
          <w:p>
            <w:pPr>
              <w:jc w:val="right"/>
              <w:ind w:right="20"/>
              <w:spacing w:after="0" w:line="174" w:lineRule="exact"/>
              <w:rPr>
                <w:sz w:val="20"/>
                <w:szCs w:val="20"/>
                <w:color w:val="auto"/>
              </w:rPr>
            </w:pPr>
            <w:r>
              <w:rPr>
                <w:rFonts w:ascii="Calibri" w:cs="Calibri" w:eastAsia="Calibri" w:hAnsi="Calibri"/>
                <w:sz w:val="15"/>
                <w:szCs w:val="15"/>
                <w:color w:val="auto"/>
                <w:w w:val="94"/>
              </w:rPr>
              <w:t>8.4</w:t>
            </w:r>
          </w:p>
        </w:tc>
        <w:tc>
          <w:tcPr>
            <w:tcW w:w="2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w:t>
            </w:r>
          </w:p>
        </w:tc>
        <w:tc>
          <w:tcPr>
            <w:tcW w:w="740" w:type="dxa"/>
            <w:vAlign w:val="bottom"/>
            <w:tcBorders>
              <w:bottom w:val="single" w:sz="8" w:color="CFF0FC"/>
            </w:tcBorders>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32,129</w:t>
            </w:r>
          </w:p>
        </w:tc>
        <w:tc>
          <w:tcPr>
            <w:tcW w:w="340" w:type="dxa"/>
            <w:vAlign w:val="bottom"/>
            <w:tcBorders>
              <w:bottom w:val="single" w:sz="8" w:color="CFF0FC"/>
            </w:tcBorders>
            <w:gridSpan w:val="3"/>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w:t>
            </w:r>
          </w:p>
        </w:tc>
        <w:tc>
          <w:tcPr>
            <w:tcW w:w="820" w:type="dxa"/>
            <w:vAlign w:val="bottom"/>
            <w:tcBorders>
              <w:bottom w:val="single" w:sz="8" w:color="CFF0FC"/>
            </w:tcBorders>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7,227</w:t>
            </w:r>
          </w:p>
        </w:tc>
        <w:tc>
          <w:tcPr>
            <w:tcW w:w="2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gridSpan w:val="2"/>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w:t>
            </w:r>
          </w:p>
        </w:tc>
        <w:tc>
          <w:tcPr>
            <w:tcW w:w="980" w:type="dxa"/>
            <w:vAlign w:val="bottom"/>
            <w:tcBorders>
              <w:bottom w:val="single" w:sz="8" w:color="CFF0FC"/>
            </w:tcBorders>
            <w:gridSpan w:val="2"/>
            <w:shd w:val="clear" w:color="auto" w:fill="CFF0FC"/>
          </w:tcPr>
          <w:p>
            <w:pPr>
              <w:jc w:val="right"/>
              <w:ind w:right="200"/>
              <w:spacing w:after="0" w:line="174" w:lineRule="exact"/>
              <w:rPr>
                <w:sz w:val="20"/>
                <w:szCs w:val="20"/>
                <w:color w:val="auto"/>
              </w:rPr>
            </w:pPr>
            <w:r>
              <w:rPr>
                <w:rFonts w:ascii="Calibri" w:cs="Calibri" w:eastAsia="Calibri" w:hAnsi="Calibri"/>
                <w:sz w:val="15"/>
                <w:szCs w:val="15"/>
                <w:color w:val="auto"/>
              </w:rPr>
              <w:t>—</w:t>
            </w:r>
          </w:p>
        </w:tc>
        <w:tc>
          <w:tcPr>
            <w:tcW w:w="120" w:type="dxa"/>
            <w:vAlign w:val="bottom"/>
            <w:tcBorders>
              <w:bottom w:val="single" w:sz="8" w:color="CFF0FC"/>
            </w:tcBorders>
            <w:gridSpan w:val="2"/>
            <w:shd w:val="clear" w:color="auto" w:fill="CFF0FC"/>
          </w:tcPr>
          <w:p>
            <w:pPr>
              <w:jc w:val="right"/>
              <w:ind w:right="20"/>
              <w:spacing w:after="0" w:line="174" w:lineRule="exact"/>
              <w:rPr>
                <w:sz w:val="20"/>
                <w:szCs w:val="20"/>
                <w:color w:val="auto"/>
              </w:rPr>
            </w:pPr>
            <w:r>
              <w:rPr>
                <w:rFonts w:ascii="Calibri" w:cs="Calibri" w:eastAsia="Calibri" w:hAnsi="Calibri"/>
                <w:sz w:val="15"/>
                <w:szCs w:val="15"/>
                <w:color w:val="auto"/>
              </w:rPr>
              <w:t>$</w:t>
            </w:r>
          </w:p>
        </w:tc>
        <w:tc>
          <w:tcPr>
            <w:tcW w:w="780" w:type="dxa"/>
            <w:vAlign w:val="bottom"/>
            <w:tcBorders>
              <w:bottom w:val="single" w:sz="8" w:color="CFF0FC"/>
            </w:tcBorders>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24,902</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83"/>
        </w:trPr>
        <w:tc>
          <w:tcPr>
            <w:tcW w:w="5340" w:type="dxa"/>
            <w:vAlign w:val="bottom"/>
            <w:gridSpan w:val="3"/>
          </w:tcPr>
          <w:p>
            <w:pPr>
              <w:spacing w:after="0"/>
              <w:rPr>
                <w:sz w:val="20"/>
                <w:szCs w:val="20"/>
                <w:color w:val="auto"/>
              </w:rPr>
            </w:pPr>
            <w:r>
              <w:rPr>
                <w:rFonts w:ascii="Calibri" w:cs="Calibri" w:eastAsia="Calibri" w:hAnsi="Calibri"/>
                <w:sz w:val="15"/>
                <w:szCs w:val="15"/>
                <w:color w:val="auto"/>
              </w:rPr>
              <w:t>Customer relatonships</w:t>
            </w:r>
          </w:p>
        </w:tc>
        <w:tc>
          <w:tcPr>
            <w:tcW w:w="220" w:type="dxa"/>
            <w:vAlign w:val="bottom"/>
            <w:gridSpan w:val="2"/>
          </w:tcPr>
          <w:p>
            <w:pPr>
              <w:jc w:val="right"/>
              <w:ind w:right="20"/>
              <w:spacing w:after="0"/>
              <w:rPr>
                <w:sz w:val="20"/>
                <w:szCs w:val="20"/>
                <w:color w:val="auto"/>
              </w:rPr>
            </w:pPr>
            <w:r>
              <w:rPr>
                <w:rFonts w:ascii="Calibri" w:cs="Calibri" w:eastAsia="Calibri" w:hAnsi="Calibri"/>
                <w:sz w:val="15"/>
                <w:szCs w:val="15"/>
                <w:color w:val="auto"/>
                <w:w w:val="94"/>
              </w:rPr>
              <w:t>1.0</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alibri" w:cs="Calibri" w:eastAsia="Calibri" w:hAnsi="Calibri"/>
                <w:sz w:val="15"/>
                <w:szCs w:val="15"/>
                <w:color w:val="auto"/>
              </w:rPr>
              <w:t>19,870</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alibri" w:cs="Calibri" w:eastAsia="Calibri" w:hAnsi="Calibri"/>
                <w:sz w:val="15"/>
                <w:szCs w:val="15"/>
                <w:color w:val="auto"/>
              </w:rPr>
              <w:t>13,609</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200"/>
              <w:spacing w:after="0"/>
              <w:rPr>
                <w:sz w:val="20"/>
                <w:szCs w:val="20"/>
                <w:color w:val="auto"/>
              </w:rPr>
            </w:pPr>
            <w:r>
              <w:rPr>
                <w:rFonts w:ascii="Calibri" w:cs="Calibri" w:eastAsia="Calibri" w:hAnsi="Calibri"/>
                <w:sz w:val="15"/>
                <w:szCs w:val="15"/>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alibri" w:cs="Calibri" w:eastAsia="Calibri" w:hAnsi="Calibri"/>
                <w:sz w:val="15"/>
                <w:szCs w:val="15"/>
                <w:color w:val="auto"/>
              </w:rPr>
              <w:t>6,261</w:t>
            </w:r>
          </w:p>
        </w:tc>
        <w:tc>
          <w:tcPr>
            <w:tcW w:w="100" w:type="dxa"/>
            <w:vAlign w:val="bottom"/>
          </w:tcPr>
          <w:p>
            <w:pPr>
              <w:spacing w:after="0"/>
              <w:rPr>
                <w:sz w:val="15"/>
                <w:szCs w:val="15"/>
                <w:color w:val="auto"/>
              </w:rPr>
            </w:pPr>
          </w:p>
        </w:tc>
      </w:tr>
      <w:tr>
        <w:trPr>
          <w:trHeight w:val="24"/>
        </w:trPr>
        <w:tc>
          <w:tcPr>
            <w:tcW w:w="45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2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99"/>
        </w:trPr>
        <w:tc>
          <w:tcPr>
            <w:tcW w:w="5340" w:type="dxa"/>
            <w:vAlign w:val="bottom"/>
            <w:tcBorders>
              <w:bottom w:val="single" w:sz="8" w:color="CFF0FC"/>
            </w:tcBorders>
            <w:gridSpan w:val="3"/>
            <w:shd w:val="clear" w:color="auto" w:fill="CFF0FC"/>
          </w:tcPr>
          <w:p>
            <w:pPr>
              <w:spacing w:after="0"/>
              <w:rPr>
                <w:sz w:val="20"/>
                <w:szCs w:val="20"/>
                <w:color w:val="auto"/>
              </w:rPr>
            </w:pPr>
            <w:r>
              <w:rPr>
                <w:rFonts w:ascii="Calibri" w:cs="Calibri" w:eastAsia="Calibri" w:hAnsi="Calibri"/>
                <w:sz w:val="15"/>
                <w:szCs w:val="15"/>
                <w:color w:val="auto"/>
              </w:rPr>
              <w:t>Developed technology</w:t>
            </w:r>
          </w:p>
        </w:tc>
        <w:tc>
          <w:tcPr>
            <w:tcW w:w="220" w:type="dxa"/>
            <w:vAlign w:val="bottom"/>
            <w:tcBorders>
              <w:bottom w:val="single" w:sz="8" w:color="CFF0FC"/>
            </w:tcBorders>
            <w:gridSpan w:val="2"/>
            <w:shd w:val="clear" w:color="auto" w:fill="CFF0FC"/>
          </w:tcPr>
          <w:p>
            <w:pPr>
              <w:jc w:val="right"/>
              <w:ind w:right="20"/>
              <w:spacing w:after="0"/>
              <w:rPr>
                <w:sz w:val="20"/>
                <w:szCs w:val="20"/>
                <w:color w:val="auto"/>
              </w:rPr>
            </w:pPr>
            <w:r>
              <w:rPr>
                <w:rFonts w:ascii="Calibri" w:cs="Calibri" w:eastAsia="Calibri" w:hAnsi="Calibri"/>
                <w:sz w:val="15"/>
                <w:szCs w:val="15"/>
                <w:color w:val="auto"/>
                <w:w w:val="94"/>
              </w:rPr>
              <w:t>1.0</w:t>
            </w:r>
          </w:p>
        </w:tc>
        <w:tc>
          <w:tcPr>
            <w:tcW w:w="2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5"/>
                <w:szCs w:val="15"/>
                <w:color w:val="auto"/>
              </w:rPr>
              <w:t>65,212</w:t>
            </w:r>
          </w:p>
        </w:tc>
        <w:tc>
          <w:tcPr>
            <w:tcW w:w="2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5"/>
                <w:szCs w:val="15"/>
                <w:color w:val="auto"/>
              </w:rPr>
              <w:t>42,674</w:t>
            </w:r>
          </w:p>
        </w:tc>
        <w:tc>
          <w:tcPr>
            <w:tcW w:w="20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5"/>
                <w:szCs w:val="15"/>
                <w:color w:val="auto"/>
              </w:rPr>
              <w:t>647</w:t>
            </w:r>
          </w:p>
        </w:tc>
        <w:tc>
          <w:tcPr>
            <w:tcW w:w="20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5"/>
                <w:szCs w:val="15"/>
                <w:color w:val="auto"/>
              </w:rPr>
              <w:t>21,891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83"/>
        </w:trPr>
        <w:tc>
          <w:tcPr>
            <w:tcW w:w="5340" w:type="dxa"/>
            <w:vAlign w:val="bottom"/>
            <w:gridSpan w:val="3"/>
          </w:tcPr>
          <w:p>
            <w:pPr>
              <w:ind w:left="160"/>
              <w:spacing w:after="0"/>
              <w:rPr>
                <w:sz w:val="20"/>
                <w:szCs w:val="20"/>
                <w:color w:val="auto"/>
              </w:rPr>
            </w:pPr>
            <w:r>
              <w:rPr>
                <w:rFonts w:ascii="Calibri" w:cs="Calibri" w:eastAsia="Calibri" w:hAnsi="Calibri"/>
                <w:sz w:val="15"/>
                <w:szCs w:val="15"/>
                <w:color w:val="auto"/>
              </w:rPr>
              <w:t>Total</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Calibri" w:cs="Calibri" w:eastAsia="Calibri" w:hAnsi="Calibri"/>
                <w:sz w:val="15"/>
                <w:szCs w:val="15"/>
                <w:color w:val="auto"/>
              </w:rPr>
              <w:t>$</w:t>
            </w:r>
          </w:p>
        </w:tc>
        <w:tc>
          <w:tcPr>
            <w:tcW w:w="740" w:type="dxa"/>
            <w:vAlign w:val="bottom"/>
          </w:tcPr>
          <w:p>
            <w:pPr>
              <w:jc w:val="right"/>
              <w:spacing w:after="0"/>
              <w:rPr>
                <w:sz w:val="20"/>
                <w:szCs w:val="20"/>
                <w:color w:val="auto"/>
              </w:rPr>
            </w:pPr>
            <w:r>
              <w:rPr>
                <w:rFonts w:ascii="Calibri" w:cs="Calibri" w:eastAsia="Calibri" w:hAnsi="Calibri"/>
                <w:sz w:val="15"/>
                <w:szCs w:val="15"/>
                <w:color w:val="auto"/>
              </w:rPr>
              <w:t>117,211</w:t>
            </w:r>
          </w:p>
        </w:tc>
        <w:tc>
          <w:tcPr>
            <w:tcW w:w="340" w:type="dxa"/>
            <w:vAlign w:val="bottom"/>
            <w:gridSpan w:val="3"/>
          </w:tcPr>
          <w:p>
            <w:pPr>
              <w:jc w:val="right"/>
              <w:spacing w:after="0"/>
              <w:rPr>
                <w:sz w:val="20"/>
                <w:szCs w:val="20"/>
                <w:color w:val="auto"/>
              </w:rPr>
            </w:pPr>
            <w:r>
              <w:rPr>
                <w:rFonts w:ascii="Calibri" w:cs="Calibri" w:eastAsia="Calibri" w:hAnsi="Calibri"/>
                <w:sz w:val="15"/>
                <w:szCs w:val="15"/>
                <w:color w:val="auto"/>
              </w:rPr>
              <w:t>$</w:t>
            </w:r>
          </w:p>
        </w:tc>
        <w:tc>
          <w:tcPr>
            <w:tcW w:w="820" w:type="dxa"/>
            <w:vAlign w:val="bottom"/>
          </w:tcPr>
          <w:p>
            <w:pPr>
              <w:jc w:val="right"/>
              <w:spacing w:after="0"/>
              <w:rPr>
                <w:sz w:val="20"/>
                <w:szCs w:val="20"/>
                <w:color w:val="auto"/>
              </w:rPr>
            </w:pPr>
            <w:r>
              <w:rPr>
                <w:rFonts w:ascii="Calibri" w:cs="Calibri" w:eastAsia="Calibri" w:hAnsi="Calibri"/>
                <w:sz w:val="15"/>
                <w:szCs w:val="15"/>
                <w:color w:val="auto"/>
              </w:rPr>
              <w:t>63,510</w:t>
            </w:r>
          </w:p>
        </w:tc>
        <w:tc>
          <w:tcPr>
            <w:tcW w:w="200" w:type="dxa"/>
            <w:vAlign w:val="bottom"/>
          </w:tcPr>
          <w:p>
            <w:pPr>
              <w:spacing w:after="0"/>
              <w:rPr>
                <w:sz w:val="15"/>
                <w:szCs w:val="15"/>
                <w:color w:val="auto"/>
              </w:rPr>
            </w:pPr>
          </w:p>
        </w:tc>
        <w:tc>
          <w:tcPr>
            <w:tcW w:w="120" w:type="dxa"/>
            <w:vAlign w:val="bottom"/>
            <w:gridSpan w:val="2"/>
          </w:tcPr>
          <w:p>
            <w:pPr>
              <w:jc w:val="right"/>
              <w:spacing w:after="0"/>
              <w:rPr>
                <w:sz w:val="20"/>
                <w:szCs w:val="20"/>
                <w:color w:val="auto"/>
              </w:rPr>
            </w:pPr>
            <w:r>
              <w:rPr>
                <w:rFonts w:ascii="Calibri" w:cs="Calibri" w:eastAsia="Calibri" w:hAnsi="Calibri"/>
                <w:sz w:val="15"/>
                <w:szCs w:val="15"/>
                <w:color w:val="auto"/>
              </w:rPr>
              <w:t>$</w:t>
            </w:r>
          </w:p>
        </w:tc>
        <w:tc>
          <w:tcPr>
            <w:tcW w:w="780" w:type="dxa"/>
            <w:vAlign w:val="bottom"/>
          </w:tcPr>
          <w:p>
            <w:pPr>
              <w:jc w:val="right"/>
              <w:spacing w:after="0"/>
              <w:rPr>
                <w:sz w:val="20"/>
                <w:szCs w:val="20"/>
                <w:color w:val="auto"/>
              </w:rPr>
            </w:pPr>
            <w:r>
              <w:rPr>
                <w:rFonts w:ascii="Calibri" w:cs="Calibri" w:eastAsia="Calibri" w:hAnsi="Calibri"/>
                <w:sz w:val="15"/>
                <w:szCs w:val="15"/>
                <w:color w:val="auto"/>
              </w:rPr>
              <w:t>647</w:t>
            </w:r>
          </w:p>
        </w:tc>
        <w:tc>
          <w:tcPr>
            <w:tcW w:w="200" w:type="dxa"/>
            <w:vAlign w:val="bottom"/>
          </w:tcPr>
          <w:p>
            <w:pPr>
              <w:spacing w:after="0"/>
              <w:rPr>
                <w:sz w:val="15"/>
                <w:szCs w:val="15"/>
                <w:color w:val="auto"/>
              </w:rPr>
            </w:pPr>
          </w:p>
        </w:tc>
        <w:tc>
          <w:tcPr>
            <w:tcW w:w="120" w:type="dxa"/>
            <w:vAlign w:val="bottom"/>
            <w:gridSpan w:val="2"/>
          </w:tcPr>
          <w:p>
            <w:pPr>
              <w:jc w:val="right"/>
              <w:ind w:right="20"/>
              <w:spacing w:after="0"/>
              <w:rPr>
                <w:sz w:val="20"/>
                <w:szCs w:val="20"/>
                <w:color w:val="auto"/>
              </w:rPr>
            </w:pPr>
            <w:r>
              <w:rPr>
                <w:rFonts w:ascii="Calibri" w:cs="Calibri" w:eastAsia="Calibri" w:hAnsi="Calibri"/>
                <w:sz w:val="15"/>
                <w:szCs w:val="15"/>
                <w:color w:val="auto"/>
              </w:rPr>
              <w:t>$</w:t>
            </w:r>
          </w:p>
        </w:tc>
        <w:tc>
          <w:tcPr>
            <w:tcW w:w="780" w:type="dxa"/>
            <w:vAlign w:val="bottom"/>
          </w:tcPr>
          <w:p>
            <w:pPr>
              <w:jc w:val="right"/>
              <w:spacing w:after="0"/>
              <w:rPr>
                <w:sz w:val="20"/>
                <w:szCs w:val="20"/>
                <w:color w:val="auto"/>
              </w:rPr>
            </w:pPr>
            <w:r>
              <w:rPr>
                <w:rFonts w:ascii="Calibri" w:cs="Calibri" w:eastAsia="Calibri" w:hAnsi="Calibri"/>
                <w:sz w:val="15"/>
                <w:szCs w:val="15"/>
                <w:color w:val="auto"/>
              </w:rPr>
              <w:t>53,054</w:t>
            </w:r>
          </w:p>
        </w:tc>
        <w:tc>
          <w:tcPr>
            <w:tcW w:w="100" w:type="dxa"/>
            <w:vAlign w:val="bottom"/>
          </w:tcPr>
          <w:p>
            <w:pPr>
              <w:spacing w:after="0"/>
              <w:rPr>
                <w:sz w:val="15"/>
                <w:szCs w:val="15"/>
                <w:color w:val="auto"/>
              </w:rPr>
            </w:pPr>
          </w:p>
        </w:tc>
      </w:tr>
      <w:tr>
        <w:trPr>
          <w:trHeight w:val="24"/>
        </w:trPr>
        <w:tc>
          <w:tcPr>
            <w:tcW w:w="458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
        </w:trPr>
        <w:tc>
          <w:tcPr>
            <w:tcW w:w="4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4605020</wp:posOffset>
            </wp:positionH>
            <wp:positionV relativeFrom="paragraph">
              <wp:posOffset>-1577340</wp:posOffset>
            </wp:positionV>
            <wp:extent cx="66040" cy="762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-1577340</wp:posOffset>
            </wp:positionV>
            <wp:extent cx="58420" cy="762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8420" cy="7620"/>
                    </a:xfrm>
                    <a:prstGeom prst="rect">
                      <a:avLst/>
                    </a:prstGeom>
                    <a:noFill/>
                  </pic:spPr>
                </pic:pic>
              </a:graphicData>
            </a:graphic>
          </wp:anchor>
        </w:drawing>
        <w:drawing>
          <wp:anchor simplePos="0" relativeHeight="251657728" behindDoc="1" locked="0" layoutInCell="0" allowOverlap="1">
            <wp:simplePos x="0" y="0"/>
            <wp:positionH relativeFrom="column">
              <wp:posOffset>6029960</wp:posOffset>
            </wp:positionH>
            <wp:positionV relativeFrom="paragraph">
              <wp:posOffset>-1577340</wp:posOffset>
            </wp:positionV>
            <wp:extent cx="58420" cy="762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8420" cy="7620"/>
                    </a:xfrm>
                    <a:prstGeom prst="rect">
                      <a:avLst/>
                    </a:prstGeom>
                    <a:noFill/>
                  </pic:spPr>
                </pic:pic>
              </a:graphicData>
            </a:graphic>
          </wp:anchor>
        </w:drawing>
        <w:drawing>
          <wp:anchor simplePos="0" relativeHeight="251657728" behindDoc="1" locked="0" layoutInCell="0" allowOverlap="1">
            <wp:simplePos x="0" y="0"/>
            <wp:positionH relativeFrom="column">
              <wp:posOffset>6731000</wp:posOffset>
            </wp:positionH>
            <wp:positionV relativeFrom="paragraph">
              <wp:posOffset>-1577340</wp:posOffset>
            </wp:positionV>
            <wp:extent cx="58420" cy="762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8420" cy="7620"/>
                    </a:xfrm>
                    <a:prstGeom prst="rect">
                      <a:avLst/>
                    </a:prstGeom>
                    <a:noFill/>
                  </pic:spPr>
                </pic:pic>
              </a:graphicData>
            </a:graphic>
          </wp:anchor>
        </w:drawing>
        <w:drawing>
          <wp:anchor simplePos="0" relativeHeight="251657728" behindDoc="1" locked="0" layoutInCell="0" allowOverlap="1">
            <wp:simplePos x="0" y="0"/>
            <wp:positionH relativeFrom="column">
              <wp:posOffset>4605020</wp:posOffset>
            </wp:positionH>
            <wp:positionV relativeFrom="paragraph">
              <wp:posOffset>-160020</wp:posOffset>
            </wp:positionV>
            <wp:extent cx="66040" cy="762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-160020</wp:posOffset>
            </wp:positionV>
            <wp:extent cx="66040" cy="762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6036945</wp:posOffset>
            </wp:positionH>
            <wp:positionV relativeFrom="paragraph">
              <wp:posOffset>-160020</wp:posOffset>
            </wp:positionV>
            <wp:extent cx="58420" cy="762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8420" cy="7620"/>
                    </a:xfrm>
                    <a:prstGeom prst="rect">
                      <a:avLst/>
                    </a:prstGeom>
                    <a:noFill/>
                  </pic:spPr>
                </pic:pic>
              </a:graphicData>
            </a:graphic>
          </wp:anchor>
        </w:drawing>
        <w:drawing>
          <wp:anchor simplePos="0" relativeHeight="251657728" behindDoc="1" locked="0" layoutInCell="0" allowOverlap="1">
            <wp:simplePos x="0" y="0"/>
            <wp:positionH relativeFrom="column">
              <wp:posOffset>6731000</wp:posOffset>
            </wp:positionH>
            <wp:positionV relativeFrom="paragraph">
              <wp:posOffset>-160020</wp:posOffset>
            </wp:positionV>
            <wp:extent cx="58420" cy="762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8420" cy="7620"/>
                    </a:xfrm>
                    <a:prstGeom prst="rect">
                      <a:avLst/>
                    </a:prstGeom>
                    <a:noFill/>
                  </pic:spPr>
                </pic:pic>
              </a:graphicData>
            </a:graphic>
          </wp:anchor>
        </w:drawing>
      </w:r>
    </w:p>
    <w:p>
      <w:pPr>
        <w:spacing w:after="0" w:line="146" w:lineRule="exact"/>
        <w:rPr>
          <w:sz w:val="20"/>
          <w:szCs w:val="20"/>
          <w:color w:val="auto"/>
        </w:rPr>
      </w:pPr>
    </w:p>
    <w:p>
      <w:pPr>
        <w:ind w:left="500"/>
        <w:spacing w:after="0"/>
        <w:rPr>
          <w:sz w:val="20"/>
          <w:szCs w:val="20"/>
          <w:color w:val="auto"/>
        </w:rPr>
      </w:pPr>
      <w:r>
        <w:rPr>
          <w:rFonts w:ascii="Calibri" w:cs="Calibri" w:eastAsia="Calibri" w:hAnsi="Calibri"/>
          <w:sz w:val="15"/>
          <w:szCs w:val="15"/>
          <w:color w:val="auto"/>
        </w:rPr>
        <w:t>For the year ended December 31, 2023, 2022, and 2021, amortzaton of intangible assets was $30,062, $30,716, and $30,152, respectvely.</w:t>
      </w:r>
    </w:p>
    <w:p>
      <w:pPr>
        <w:spacing w:after="0" w:line="185" w:lineRule="exact"/>
        <w:rPr>
          <w:sz w:val="20"/>
          <w:szCs w:val="20"/>
          <w:color w:val="auto"/>
        </w:rPr>
      </w:pPr>
    </w:p>
    <w:p>
      <w:pPr>
        <w:ind w:firstLine="511"/>
        <w:spacing w:after="0" w:line="241" w:lineRule="auto"/>
        <w:rPr>
          <w:sz w:val="20"/>
          <w:szCs w:val="20"/>
          <w:color w:val="auto"/>
        </w:rPr>
      </w:pPr>
      <w:r>
        <w:rPr>
          <w:rFonts w:ascii="Calibri" w:cs="Calibri" w:eastAsia="Calibri" w:hAnsi="Calibri"/>
          <w:sz w:val="15"/>
          <w:szCs w:val="15"/>
          <w:color w:val="auto"/>
        </w:rPr>
        <w:t>For the year ended December 31, 2021, the Company wrote of $647 of U.S. Marketplace segment intangible assets within marketplace cost of revenue in the consolidated income statements related to certain developed technology which the Company decided to cease investment.</w:t>
      </w:r>
    </w:p>
    <w:p>
      <w:pPr>
        <w:spacing w:after="0" w:line="184" w:lineRule="exact"/>
        <w:rPr>
          <w:sz w:val="20"/>
          <w:szCs w:val="20"/>
          <w:color w:val="auto"/>
        </w:rPr>
      </w:pPr>
    </w:p>
    <w:p>
      <w:pPr>
        <w:jc w:val="center"/>
        <w:spacing w:after="0"/>
        <w:rPr>
          <w:sz w:val="20"/>
          <w:szCs w:val="20"/>
          <w:color w:val="auto"/>
        </w:rPr>
      </w:pPr>
      <w:r>
        <w:rPr>
          <w:rFonts w:ascii="Calibri" w:cs="Calibri" w:eastAsia="Calibri" w:hAnsi="Calibri"/>
          <w:sz w:val="15"/>
          <w:szCs w:val="15"/>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401320</wp:posOffset>
            </wp:positionV>
            <wp:extent cx="7178040" cy="4000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3" w:right="319" w:bottom="1440" w:gutter="0" w:footer="0" w:header="0"/>
        </w:sectPr>
      </w:pPr>
    </w:p>
    <w:bookmarkStart w:id="115" w:name="page116"/>
    <w:bookmarkEnd w:id="115"/>
    <w:p>
      <w:pPr>
        <w:ind w:left="500"/>
        <w:spacing w:after="0"/>
        <w:rPr>
          <w:sz w:val="20"/>
          <w:szCs w:val="20"/>
          <w:color w:val="auto"/>
        </w:rPr>
      </w:pPr>
      <w:r>
        <w:rPr>
          <w:rFonts w:ascii="Calibri" w:cs="Calibri" w:eastAsia="Calibri" w:hAnsi="Calibri"/>
          <w:sz w:val="15"/>
          <w:szCs w:val="15"/>
          <w:color w:val="auto"/>
        </w:rPr>
        <w:t>As of December 31, 2023, estmated amortzaton expense of intangible assets for future periods is as follows: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560" w:type="dxa"/>
            <w:vAlign w:val="bottom"/>
          </w:tcPr>
          <w:p>
            <w:pPr>
              <w:spacing w:after="0"/>
              <w:rPr>
                <w:sz w:val="12"/>
                <w:szCs w:val="12"/>
                <w:color w:val="auto"/>
              </w:rPr>
            </w:pPr>
          </w:p>
        </w:tc>
        <w:tc>
          <w:tcPr>
            <w:tcW w:w="6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Calibri" w:cs="Calibri" w:eastAsia="Calibri" w:hAnsi="Calibri"/>
                <w:sz w:val="12"/>
                <w:szCs w:val="12"/>
                <w:b w:val="1"/>
                <w:bCs w:val="1"/>
                <w:color w:val="auto"/>
              </w:rPr>
              <w:t>Amortzaton</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560" w:type="dxa"/>
            <w:vAlign w:val="bottom"/>
          </w:tcPr>
          <w:p>
            <w:pPr>
              <w:spacing w:after="0"/>
              <w:rPr>
                <w:sz w:val="13"/>
                <w:szCs w:val="13"/>
                <w:color w:val="auto"/>
              </w:rPr>
            </w:pPr>
          </w:p>
        </w:tc>
        <w:tc>
          <w:tcPr>
            <w:tcW w:w="6940" w:type="dxa"/>
            <w:vAlign w:val="bottom"/>
          </w:tcPr>
          <w:p>
            <w:pPr>
              <w:spacing w:after="0"/>
              <w:rPr>
                <w:sz w:val="20"/>
                <w:szCs w:val="20"/>
                <w:color w:val="auto"/>
              </w:rPr>
            </w:pPr>
            <w:r>
              <w:rPr>
                <w:rFonts w:ascii="Calibri" w:cs="Calibri" w:eastAsia="Calibri" w:hAnsi="Calibri"/>
                <w:sz w:val="12"/>
                <w:szCs w:val="12"/>
                <w:b w:val="1"/>
                <w:bCs w:val="1"/>
                <w:color w:val="auto"/>
              </w:rPr>
              <w:t>Year Ending December 31,</w:t>
            </w: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ind w:right="99"/>
              <w:spacing w:after="0"/>
              <w:rPr>
                <w:sz w:val="20"/>
                <w:szCs w:val="20"/>
                <w:color w:val="auto"/>
              </w:rPr>
            </w:pPr>
            <w:r>
              <w:rPr>
                <w:rFonts w:ascii="Calibri" w:cs="Calibri" w:eastAsia="Calibri" w:hAnsi="Calibri"/>
                <w:sz w:val="12"/>
                <w:szCs w:val="12"/>
                <w:b w:val="1"/>
                <w:bCs w:val="1"/>
                <w:color w:val="auto"/>
              </w:rPr>
              <w:t>Expense</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560" w:type="dxa"/>
            <w:vAlign w:val="bottom"/>
          </w:tcPr>
          <w:p>
            <w:pPr>
              <w:spacing w:after="0"/>
              <w:rPr>
                <w:sz w:val="2"/>
                <w:szCs w:val="2"/>
                <w:color w:val="auto"/>
              </w:rPr>
            </w:pPr>
          </w:p>
        </w:tc>
        <w:tc>
          <w:tcPr>
            <w:tcW w:w="69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560" w:type="dxa"/>
            <w:vAlign w:val="bottom"/>
          </w:tcPr>
          <w:p>
            <w:pPr>
              <w:spacing w:after="0"/>
              <w:rPr>
                <w:sz w:val="15"/>
                <w:szCs w:val="15"/>
                <w:color w:val="auto"/>
              </w:rPr>
            </w:pPr>
          </w:p>
        </w:tc>
        <w:tc>
          <w:tcPr>
            <w:tcW w:w="6940" w:type="dxa"/>
            <w:vAlign w:val="bottom"/>
            <w:tcBorders>
              <w:bottom w:val="single" w:sz="8" w:color="CFF0FC"/>
            </w:tcBorders>
            <w:shd w:val="clear" w:color="auto" w:fill="CFF0FC"/>
          </w:tcPr>
          <w:p>
            <w:pPr>
              <w:spacing w:after="0" w:line="174" w:lineRule="exact"/>
              <w:rPr>
                <w:sz w:val="20"/>
                <w:szCs w:val="20"/>
                <w:color w:val="auto"/>
              </w:rPr>
            </w:pPr>
            <w:r>
              <w:rPr>
                <w:rFonts w:ascii="Calibri" w:cs="Calibri" w:eastAsia="Calibri" w:hAnsi="Calibri"/>
                <w:sz w:val="15"/>
                <w:szCs w:val="15"/>
                <w:color w:val="auto"/>
              </w:rPr>
              <w:t>2024</w:t>
            </w:r>
          </w:p>
        </w:tc>
        <w:tc>
          <w:tcPr>
            <w:tcW w:w="9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right w:val="single" w:sz="8" w:color="CFF0FC"/>
            </w:tcBorders>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CFF0FC"/>
            </w:tcBorders>
            <w:shd w:val="clear" w:color="auto" w:fill="CFF0FC"/>
          </w:tcPr>
          <w:p>
            <w:pPr>
              <w:spacing w:after="0"/>
              <w:rPr>
                <w:sz w:val="15"/>
                <w:szCs w:val="15"/>
                <w:color w:val="auto"/>
              </w:rPr>
            </w:pPr>
          </w:p>
        </w:tc>
        <w:tc>
          <w:tcPr>
            <w:tcW w:w="480" w:type="dxa"/>
            <w:vAlign w:val="bottom"/>
            <w:tcBorders>
              <w:bottom w:val="single" w:sz="8" w:color="CFF0FC"/>
            </w:tcBorders>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4,162</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6940" w:type="dxa"/>
            <w:vAlign w:val="bottom"/>
          </w:tcPr>
          <w:p>
            <w:pPr>
              <w:spacing w:after="0"/>
              <w:rPr>
                <w:sz w:val="20"/>
                <w:szCs w:val="20"/>
                <w:color w:val="auto"/>
              </w:rPr>
            </w:pPr>
            <w:r>
              <w:rPr>
                <w:rFonts w:ascii="Calibri" w:cs="Calibri" w:eastAsia="Calibri" w:hAnsi="Calibri"/>
                <w:sz w:val="15"/>
                <w:szCs w:val="15"/>
                <w:color w:val="auto"/>
              </w:rPr>
              <w:t>2025</w:t>
            </w: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Calibri" w:cs="Calibri" w:eastAsia="Calibri" w:hAnsi="Calibri"/>
                <w:sz w:val="15"/>
                <w:szCs w:val="15"/>
                <w:color w:val="auto"/>
              </w:rPr>
              <w:t>3,037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60" w:type="dxa"/>
            <w:vAlign w:val="bottom"/>
            <w:vMerge w:val="restart"/>
          </w:tcPr>
          <w:p>
            <w:pPr>
              <w:spacing w:after="0"/>
              <w:rPr>
                <w:sz w:val="2"/>
                <w:szCs w:val="2"/>
                <w:color w:val="auto"/>
              </w:rPr>
            </w:pPr>
          </w:p>
        </w:tc>
        <w:tc>
          <w:tcPr>
            <w:tcW w:w="69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560" w:type="dxa"/>
            <w:vAlign w:val="bottom"/>
            <w:vMerge w:val="continue"/>
          </w:tcPr>
          <w:p>
            <w:pPr>
              <w:spacing w:after="0"/>
              <w:rPr>
                <w:sz w:val="16"/>
                <w:szCs w:val="16"/>
                <w:color w:val="auto"/>
              </w:rPr>
            </w:pPr>
          </w:p>
        </w:tc>
        <w:tc>
          <w:tcPr>
            <w:tcW w:w="694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5"/>
                <w:szCs w:val="15"/>
                <w:color w:val="auto"/>
              </w:rPr>
              <w:t>2026</w:t>
            </w:r>
          </w:p>
        </w:tc>
        <w:tc>
          <w:tcPr>
            <w:tcW w:w="92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right w:val="single" w:sz="8" w:color="CFF0FC"/>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920" w:type="dxa"/>
            <w:vAlign w:val="bottom"/>
            <w:tcBorders>
              <w:bottom w:val="single" w:sz="8" w:color="CFF0FC"/>
            </w:tcBorders>
            <w:shd w:val="clear" w:color="auto" w:fill="CFF0FC"/>
          </w:tcPr>
          <w:p>
            <w:pPr>
              <w:spacing w:after="0"/>
              <w:rPr>
                <w:sz w:val="16"/>
                <w:szCs w:val="16"/>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3,037</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6940" w:type="dxa"/>
            <w:vAlign w:val="bottom"/>
          </w:tcPr>
          <w:p>
            <w:pPr>
              <w:spacing w:after="0"/>
              <w:rPr>
                <w:sz w:val="20"/>
                <w:szCs w:val="20"/>
                <w:color w:val="auto"/>
              </w:rPr>
            </w:pPr>
            <w:r>
              <w:rPr>
                <w:rFonts w:ascii="Calibri" w:cs="Calibri" w:eastAsia="Calibri" w:hAnsi="Calibri"/>
                <w:sz w:val="15"/>
                <w:szCs w:val="15"/>
                <w:color w:val="auto"/>
              </w:rPr>
              <w:t>2027</w:t>
            </w: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Calibri" w:cs="Calibri" w:eastAsia="Calibri" w:hAnsi="Calibri"/>
                <w:sz w:val="15"/>
                <w:szCs w:val="15"/>
                <w:color w:val="auto"/>
              </w:rPr>
              <w:t>3,037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60" w:type="dxa"/>
            <w:vAlign w:val="bottom"/>
            <w:vMerge w:val="restart"/>
          </w:tcPr>
          <w:p>
            <w:pPr>
              <w:spacing w:after="0"/>
              <w:rPr>
                <w:sz w:val="2"/>
                <w:szCs w:val="2"/>
                <w:color w:val="auto"/>
              </w:rPr>
            </w:pPr>
          </w:p>
        </w:tc>
        <w:tc>
          <w:tcPr>
            <w:tcW w:w="69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560" w:type="dxa"/>
            <w:vAlign w:val="bottom"/>
            <w:vMerge w:val="continue"/>
          </w:tcPr>
          <w:p>
            <w:pPr>
              <w:spacing w:after="0"/>
              <w:rPr>
                <w:sz w:val="16"/>
                <w:szCs w:val="16"/>
                <w:color w:val="auto"/>
              </w:rPr>
            </w:pPr>
          </w:p>
        </w:tc>
        <w:tc>
          <w:tcPr>
            <w:tcW w:w="694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5"/>
                <w:szCs w:val="15"/>
                <w:color w:val="auto"/>
              </w:rPr>
              <w:t>2028</w:t>
            </w:r>
          </w:p>
        </w:tc>
        <w:tc>
          <w:tcPr>
            <w:tcW w:w="92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right w:val="single" w:sz="8" w:color="CFF0FC"/>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920" w:type="dxa"/>
            <w:vAlign w:val="bottom"/>
            <w:tcBorders>
              <w:bottom w:val="single" w:sz="8" w:color="CFF0FC"/>
            </w:tcBorders>
            <w:shd w:val="clear" w:color="auto" w:fill="CFF0FC"/>
          </w:tcPr>
          <w:p>
            <w:pPr>
              <w:spacing w:after="0"/>
              <w:rPr>
                <w:sz w:val="16"/>
                <w:szCs w:val="16"/>
                <w:color w:val="auto"/>
              </w:rPr>
            </w:pPr>
          </w:p>
        </w:tc>
        <w:tc>
          <w:tcPr>
            <w:tcW w:w="4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3,037</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6940" w:type="dxa"/>
            <w:vAlign w:val="bottom"/>
          </w:tcPr>
          <w:p>
            <w:pPr>
              <w:spacing w:after="0"/>
              <w:rPr>
                <w:sz w:val="20"/>
                <w:szCs w:val="20"/>
                <w:color w:val="auto"/>
              </w:rPr>
            </w:pPr>
            <w:r>
              <w:rPr>
                <w:rFonts w:ascii="Calibri" w:cs="Calibri" w:eastAsia="Calibri" w:hAnsi="Calibri"/>
                <w:sz w:val="15"/>
                <w:szCs w:val="15"/>
                <w:color w:val="auto"/>
              </w:rPr>
              <w:t>Thereafer</w:t>
            </w: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Calibri" w:cs="Calibri" w:eastAsia="Calibri" w:hAnsi="Calibri"/>
                <w:sz w:val="15"/>
                <w:szCs w:val="15"/>
                <w:color w:val="auto"/>
              </w:rPr>
              <w:t>6,746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560" w:type="dxa"/>
            <w:vAlign w:val="bottom"/>
          </w:tcPr>
          <w:p>
            <w:pPr>
              <w:spacing w:after="0"/>
              <w:rPr>
                <w:sz w:val="19"/>
                <w:szCs w:val="19"/>
                <w:color w:val="auto"/>
              </w:rPr>
            </w:pPr>
          </w:p>
        </w:tc>
        <w:tc>
          <w:tcPr>
            <w:tcW w:w="6940" w:type="dxa"/>
            <w:vAlign w:val="bottom"/>
            <w:tcBorders>
              <w:bottom w:val="single" w:sz="8" w:color="CFF0FC"/>
            </w:tcBorders>
            <w:shd w:val="clear" w:color="auto" w:fill="CFF0FC"/>
          </w:tcPr>
          <w:p>
            <w:pPr>
              <w:ind w:left="240"/>
              <w:spacing w:after="0" w:line="174" w:lineRule="exact"/>
              <w:rPr>
                <w:sz w:val="20"/>
                <w:szCs w:val="20"/>
                <w:color w:val="auto"/>
              </w:rPr>
            </w:pPr>
            <w:r>
              <w:rPr>
                <w:rFonts w:ascii="Calibri" w:cs="Calibri" w:eastAsia="Calibri" w:hAnsi="Calibri"/>
                <w:sz w:val="15"/>
                <w:szCs w:val="15"/>
                <w:color w:val="auto"/>
              </w:rPr>
              <w:t>Total</w:t>
            </w:r>
          </w:p>
        </w:tc>
        <w:tc>
          <w:tcPr>
            <w:tcW w:w="9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right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jc w:val="right"/>
              <w:ind w:right="153"/>
              <w:spacing w:after="0"/>
              <w:rPr>
                <w:sz w:val="20"/>
                <w:szCs w:val="20"/>
                <w:color w:val="auto"/>
              </w:rPr>
            </w:pPr>
            <w:r>
              <w:rPr>
                <w:rFonts w:ascii="Calibri" w:cs="Calibri" w:eastAsia="Calibri" w:hAnsi="Calibri"/>
                <w:sz w:val="11"/>
                <w:szCs w:val="11"/>
                <w:color w:val="auto"/>
                <w:w w:val="70"/>
              </w:rPr>
              <w:t>$</w:t>
            </w:r>
          </w:p>
        </w:tc>
        <w:tc>
          <w:tcPr>
            <w:tcW w:w="92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23,056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694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1"/>
        </w:trPr>
        <w:tc>
          <w:tcPr>
            <w:tcW w:w="7500" w:type="dxa"/>
            <w:vAlign w:val="bottom"/>
            <w:gridSpan w:val="2"/>
          </w:tcPr>
          <w:p>
            <w:pPr>
              <w:spacing w:after="0"/>
              <w:rPr>
                <w:sz w:val="20"/>
                <w:szCs w:val="20"/>
                <w:color w:val="auto"/>
              </w:rPr>
            </w:pPr>
            <w:r>
              <w:rPr>
                <w:rFonts w:ascii="Calibri" w:cs="Calibri" w:eastAsia="Calibri" w:hAnsi="Calibri"/>
                <w:sz w:val="15"/>
                <w:szCs w:val="15"/>
                <w:b w:val="1"/>
                <w:bCs w:val="1"/>
                <w:color w:val="auto"/>
              </w:rPr>
              <w:t>8. Accrued Expenses, Accrued Income Taxes and Other Current Liabilites</w:t>
            </w: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8420" w:type="dxa"/>
            <w:vAlign w:val="bottom"/>
            <w:gridSpan w:val="3"/>
          </w:tcPr>
          <w:p>
            <w:pPr>
              <w:jc w:val="right"/>
              <w:ind w:right="28"/>
              <w:spacing w:after="0"/>
              <w:rPr>
                <w:sz w:val="20"/>
                <w:szCs w:val="20"/>
                <w:color w:val="auto"/>
              </w:rPr>
            </w:pPr>
            <w:r>
              <w:rPr>
                <w:rFonts w:ascii="Calibri" w:cs="Calibri" w:eastAsia="Calibri" w:hAnsi="Calibri"/>
                <w:sz w:val="15"/>
                <w:szCs w:val="15"/>
                <w:color w:val="auto"/>
              </w:rPr>
              <w:t>As of December 31, 2023 and 2022, accrued expenses, accrued income taxes and other current liabilites consist of the following:</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56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00" w:type="dxa"/>
            <w:vAlign w:val="bottom"/>
            <w:gridSpan w:val="4"/>
          </w:tcPr>
          <w:p>
            <w:pPr>
              <w:jc w:val="right"/>
              <w:ind w:right="519"/>
              <w:spacing w:after="0"/>
              <w:rPr>
                <w:sz w:val="20"/>
                <w:szCs w:val="20"/>
                <w:color w:val="auto"/>
              </w:rPr>
            </w:pPr>
            <w:r>
              <w:rPr>
                <w:rFonts w:ascii="Calibri" w:cs="Calibri" w:eastAsia="Calibri" w:hAnsi="Calibri"/>
                <w:sz w:val="12"/>
                <w:szCs w:val="12"/>
                <w:b w:val="1"/>
                <w:bCs w:val="1"/>
                <w:color w:val="auto"/>
              </w:rPr>
              <w:t>As of December 31,</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5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560" w:type="dxa"/>
            <w:vAlign w:val="bottom"/>
          </w:tcPr>
          <w:p>
            <w:pPr>
              <w:spacing w:after="0"/>
              <w:rPr>
                <w:sz w:val="11"/>
                <w:szCs w:val="11"/>
                <w:color w:val="auto"/>
              </w:rPr>
            </w:pPr>
          </w:p>
        </w:tc>
        <w:tc>
          <w:tcPr>
            <w:tcW w:w="6940" w:type="dxa"/>
            <w:vAlign w:val="bottom"/>
          </w:tcPr>
          <w:p>
            <w:pPr>
              <w:spacing w:after="0"/>
              <w:rPr>
                <w:sz w:val="11"/>
                <w:szCs w:val="11"/>
                <w:color w:val="auto"/>
              </w:rPr>
            </w:pPr>
          </w:p>
        </w:tc>
        <w:tc>
          <w:tcPr>
            <w:tcW w:w="920" w:type="dxa"/>
            <w:vAlign w:val="bottom"/>
          </w:tcPr>
          <w:p>
            <w:pPr>
              <w:jc w:val="right"/>
              <w:ind w:right="8"/>
              <w:spacing w:after="0" w:line="138" w:lineRule="exact"/>
              <w:rPr>
                <w:sz w:val="20"/>
                <w:szCs w:val="20"/>
                <w:color w:val="auto"/>
              </w:rPr>
            </w:pPr>
            <w:r>
              <w:rPr>
                <w:rFonts w:ascii="Calibri" w:cs="Calibri" w:eastAsia="Calibri" w:hAnsi="Calibri"/>
                <w:sz w:val="12"/>
                <w:szCs w:val="12"/>
                <w:b w:val="1"/>
                <w:bCs w:val="1"/>
                <w:color w:val="auto"/>
              </w:rPr>
              <w:t>2023</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2"/>
          </w:tcPr>
          <w:p>
            <w:pPr>
              <w:jc w:val="right"/>
              <w:ind w:right="39"/>
              <w:spacing w:after="0" w:line="138" w:lineRule="exact"/>
              <w:rPr>
                <w:sz w:val="20"/>
                <w:szCs w:val="20"/>
                <w:color w:val="auto"/>
              </w:rPr>
            </w:pPr>
            <w:r>
              <w:rPr>
                <w:rFonts w:ascii="Calibri" w:cs="Calibri" w:eastAsia="Calibri" w:hAnsi="Calibri"/>
                <w:sz w:val="12"/>
                <w:szCs w:val="12"/>
                <w:b w:val="1"/>
                <w:bCs w:val="1"/>
                <w:color w:val="auto"/>
              </w:rPr>
              <w:t>2022</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560" w:type="dxa"/>
            <w:vAlign w:val="bottom"/>
          </w:tcPr>
          <w:p>
            <w:pPr>
              <w:spacing w:after="0"/>
              <w:rPr>
                <w:sz w:val="15"/>
                <w:szCs w:val="15"/>
                <w:color w:val="auto"/>
              </w:rPr>
            </w:pPr>
          </w:p>
        </w:tc>
        <w:tc>
          <w:tcPr>
            <w:tcW w:w="6940" w:type="dxa"/>
            <w:vAlign w:val="bottom"/>
            <w:tcBorders>
              <w:bottom w:val="single" w:sz="8" w:color="CFF0FC"/>
            </w:tcBorders>
            <w:shd w:val="clear" w:color="auto" w:fill="CFF0FC"/>
          </w:tcPr>
          <w:p>
            <w:pPr>
              <w:spacing w:after="0" w:line="174" w:lineRule="exact"/>
              <w:rPr>
                <w:sz w:val="20"/>
                <w:szCs w:val="20"/>
                <w:color w:val="auto"/>
              </w:rPr>
            </w:pPr>
            <w:r>
              <w:rPr>
                <w:rFonts w:ascii="Calibri" w:cs="Calibri" w:eastAsia="Calibri" w:hAnsi="Calibri"/>
                <w:sz w:val="15"/>
                <w:szCs w:val="15"/>
                <w:color w:val="auto"/>
              </w:rPr>
              <w:t>Accrued bonus</w:t>
            </w:r>
          </w:p>
        </w:tc>
        <w:tc>
          <w:tcPr>
            <w:tcW w:w="920" w:type="dxa"/>
            <w:vAlign w:val="bottom"/>
            <w:tcBorders>
              <w:bottom w:val="single" w:sz="8" w:color="CFF0FC"/>
            </w:tcBorders>
            <w:shd w:val="clear" w:color="auto" w:fill="CFF0FC"/>
          </w:tcPr>
          <w:p>
            <w:pPr>
              <w:jc w:val="right"/>
              <w:ind w:right="748"/>
              <w:spacing w:after="0" w:line="174" w:lineRule="exact"/>
              <w:rPr>
                <w:sz w:val="20"/>
                <w:szCs w:val="20"/>
                <w:color w:val="auto"/>
              </w:rPr>
            </w:pPr>
            <w:r>
              <w:rPr>
                <w:rFonts w:ascii="Calibri" w:cs="Calibri" w:eastAsia="Calibri" w:hAnsi="Calibri"/>
                <w:sz w:val="15"/>
                <w:szCs w:val="15"/>
                <w:color w:val="auto"/>
              </w:rPr>
              <w:t>$</w:t>
            </w:r>
          </w:p>
        </w:tc>
        <w:tc>
          <w:tcPr>
            <w:tcW w:w="500" w:type="dxa"/>
            <w:vAlign w:val="bottom"/>
            <w:tcBorders>
              <w:bottom w:val="single" w:sz="8" w:color="CFF0FC"/>
              <w:right w:val="single" w:sz="8" w:color="CFF0FC"/>
            </w:tcBorders>
            <w:gridSpan w:val="2"/>
            <w:shd w:val="clear" w:color="auto" w:fill="CFF0FC"/>
          </w:tcPr>
          <w:p>
            <w:pPr>
              <w:jc w:val="right"/>
              <w:ind w:right="20"/>
              <w:spacing w:after="0" w:line="174" w:lineRule="exact"/>
              <w:rPr>
                <w:sz w:val="20"/>
                <w:szCs w:val="20"/>
                <w:color w:val="auto"/>
              </w:rPr>
            </w:pPr>
            <w:r>
              <w:rPr>
                <w:rFonts w:ascii="Calibri" w:cs="Calibri" w:eastAsia="Calibri" w:hAnsi="Calibri"/>
                <w:sz w:val="15"/>
                <w:szCs w:val="15"/>
                <w:color w:val="auto"/>
              </w:rPr>
              <w:t>15,247</w:t>
            </w:r>
          </w:p>
        </w:tc>
        <w:tc>
          <w:tcPr>
            <w:tcW w:w="1200" w:type="dxa"/>
            <w:vAlign w:val="bottom"/>
            <w:tcBorders>
              <w:bottom w:val="single" w:sz="8" w:color="CFF0FC"/>
            </w:tcBorders>
            <w:gridSpan w:val="2"/>
            <w:shd w:val="clear" w:color="auto" w:fill="CFF0FC"/>
          </w:tcPr>
          <w:p>
            <w:pPr>
              <w:jc w:val="right"/>
              <w:ind w:right="759"/>
              <w:spacing w:after="0" w:line="174" w:lineRule="exact"/>
              <w:rPr>
                <w:sz w:val="20"/>
                <w:szCs w:val="20"/>
                <w:color w:val="auto"/>
              </w:rPr>
            </w:pPr>
            <w:r>
              <w:rPr>
                <w:rFonts w:ascii="Calibri" w:cs="Calibri" w:eastAsia="Calibri" w:hAnsi="Calibri"/>
                <w:sz w:val="15"/>
                <w:szCs w:val="15"/>
                <w:color w:val="auto"/>
              </w:rPr>
              <w:t>$</w:t>
            </w:r>
          </w:p>
        </w:tc>
        <w:tc>
          <w:tcPr>
            <w:tcW w:w="480" w:type="dxa"/>
            <w:vAlign w:val="bottom"/>
            <w:tcBorders>
              <w:bottom w:val="single" w:sz="8" w:color="CFF0FC"/>
            </w:tcBorders>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11,007</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6940" w:type="dxa"/>
            <w:vAlign w:val="bottom"/>
          </w:tcPr>
          <w:p>
            <w:pPr>
              <w:spacing w:after="0"/>
              <w:rPr>
                <w:sz w:val="20"/>
                <w:szCs w:val="20"/>
                <w:color w:val="auto"/>
              </w:rPr>
            </w:pPr>
            <w:r>
              <w:rPr>
                <w:rFonts w:ascii="Calibri" w:cs="Calibri" w:eastAsia="Calibri" w:hAnsi="Calibri"/>
                <w:sz w:val="15"/>
                <w:szCs w:val="15"/>
                <w:color w:val="auto"/>
              </w:rPr>
              <w:t>Other accrued expenses and other current liabilites</w:t>
            </w:r>
          </w:p>
        </w:tc>
        <w:tc>
          <w:tcPr>
            <w:tcW w:w="920" w:type="dxa"/>
            <w:vAlign w:val="bottom"/>
          </w:tcPr>
          <w:p>
            <w:pPr>
              <w:spacing w:after="0"/>
              <w:rPr>
                <w:sz w:val="15"/>
                <w:szCs w:val="15"/>
                <w:color w:val="auto"/>
              </w:rPr>
            </w:pPr>
          </w:p>
        </w:tc>
        <w:tc>
          <w:tcPr>
            <w:tcW w:w="500" w:type="dxa"/>
            <w:vAlign w:val="bottom"/>
            <w:gridSpan w:val="2"/>
          </w:tcPr>
          <w:p>
            <w:pPr>
              <w:jc w:val="right"/>
              <w:ind w:right="20"/>
              <w:spacing w:after="0"/>
              <w:rPr>
                <w:sz w:val="20"/>
                <w:szCs w:val="20"/>
                <w:color w:val="auto"/>
              </w:rPr>
            </w:pPr>
            <w:r>
              <w:rPr>
                <w:rFonts w:ascii="Calibri" w:cs="Calibri" w:eastAsia="Calibri" w:hAnsi="Calibri"/>
                <w:sz w:val="15"/>
                <w:szCs w:val="15"/>
                <w:color w:val="auto"/>
              </w:rPr>
              <w:t>18,471</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Calibri" w:cs="Calibri" w:eastAsia="Calibri" w:hAnsi="Calibri"/>
                <w:sz w:val="15"/>
                <w:szCs w:val="15"/>
                <w:color w:val="auto"/>
              </w:rPr>
              <w:t>28,186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60" w:type="dxa"/>
            <w:vAlign w:val="bottom"/>
          </w:tcPr>
          <w:p>
            <w:pPr>
              <w:spacing w:after="0"/>
              <w:rPr>
                <w:sz w:val="2"/>
                <w:szCs w:val="2"/>
                <w:color w:val="auto"/>
              </w:rPr>
            </w:pPr>
          </w:p>
        </w:tc>
        <w:tc>
          <w:tcPr>
            <w:tcW w:w="69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560" w:type="dxa"/>
            <w:vAlign w:val="bottom"/>
          </w:tcPr>
          <w:p>
            <w:pPr>
              <w:spacing w:after="0"/>
              <w:rPr>
                <w:sz w:val="19"/>
                <w:szCs w:val="19"/>
                <w:color w:val="auto"/>
              </w:rPr>
            </w:pPr>
          </w:p>
        </w:tc>
        <w:tc>
          <w:tcPr>
            <w:tcW w:w="6940" w:type="dxa"/>
            <w:vAlign w:val="bottom"/>
            <w:tcBorders>
              <w:bottom w:val="single" w:sz="8" w:color="CFF0FC"/>
            </w:tcBorders>
            <w:shd w:val="clear" w:color="auto" w:fill="CFF0FC"/>
          </w:tcPr>
          <w:p>
            <w:pPr>
              <w:ind w:left="240"/>
              <w:spacing w:after="0" w:line="174" w:lineRule="exact"/>
              <w:rPr>
                <w:sz w:val="20"/>
                <w:szCs w:val="20"/>
                <w:color w:val="auto"/>
              </w:rPr>
            </w:pPr>
            <w:r>
              <w:rPr>
                <w:rFonts w:ascii="Calibri" w:cs="Calibri" w:eastAsia="Calibri" w:hAnsi="Calibri"/>
                <w:sz w:val="15"/>
                <w:szCs w:val="15"/>
                <w:color w:val="auto"/>
              </w:rPr>
              <w:t>Total</w:t>
            </w:r>
          </w:p>
        </w:tc>
        <w:tc>
          <w:tcPr>
            <w:tcW w:w="920" w:type="dxa"/>
            <w:vAlign w:val="bottom"/>
            <w:tcBorders>
              <w:bottom w:val="single" w:sz="8" w:color="CFF0FC"/>
            </w:tcBorders>
            <w:shd w:val="clear" w:color="auto" w:fill="CFF0FC"/>
          </w:tcPr>
          <w:p>
            <w:pPr>
              <w:jc w:val="right"/>
              <w:ind w:right="748"/>
              <w:spacing w:after="0" w:line="174" w:lineRule="exact"/>
              <w:rPr>
                <w:sz w:val="20"/>
                <w:szCs w:val="20"/>
                <w:color w:val="auto"/>
              </w:rPr>
            </w:pPr>
            <w:r>
              <w:rPr>
                <w:rFonts w:ascii="Calibri" w:cs="Calibri" w:eastAsia="Calibri" w:hAnsi="Calibri"/>
                <w:sz w:val="15"/>
                <w:szCs w:val="15"/>
                <w:color w:val="auto"/>
              </w:rPr>
              <w:t>$</w:t>
            </w:r>
          </w:p>
        </w:tc>
        <w:tc>
          <w:tcPr>
            <w:tcW w:w="500" w:type="dxa"/>
            <w:vAlign w:val="bottom"/>
            <w:tcBorders>
              <w:bottom w:val="single" w:sz="8" w:color="CFF0FC"/>
              <w:right w:val="single" w:sz="8" w:color="CFF0FC"/>
            </w:tcBorders>
            <w:gridSpan w:val="2"/>
            <w:shd w:val="clear" w:color="auto" w:fill="CFF0FC"/>
          </w:tcPr>
          <w:p>
            <w:pPr>
              <w:jc w:val="right"/>
              <w:ind w:right="20"/>
              <w:spacing w:after="0" w:line="174" w:lineRule="exact"/>
              <w:rPr>
                <w:sz w:val="20"/>
                <w:szCs w:val="20"/>
                <w:color w:val="auto"/>
              </w:rPr>
            </w:pPr>
            <w:r>
              <w:rPr>
                <w:rFonts w:ascii="Calibri" w:cs="Calibri" w:eastAsia="Calibri" w:hAnsi="Calibri"/>
                <w:sz w:val="15"/>
                <w:szCs w:val="15"/>
                <w:color w:val="auto"/>
              </w:rPr>
              <w:t>33,718</w:t>
            </w:r>
          </w:p>
        </w:tc>
        <w:tc>
          <w:tcPr>
            <w:tcW w:w="1200" w:type="dxa"/>
            <w:vAlign w:val="bottom"/>
            <w:tcBorders>
              <w:bottom w:val="single" w:sz="8" w:color="CFF0FC"/>
            </w:tcBorders>
            <w:gridSpan w:val="2"/>
            <w:shd w:val="clear" w:color="auto" w:fill="CFF0FC"/>
          </w:tcPr>
          <w:p>
            <w:pPr>
              <w:jc w:val="right"/>
              <w:ind w:right="759"/>
              <w:spacing w:after="0" w:line="174" w:lineRule="exact"/>
              <w:rPr>
                <w:sz w:val="20"/>
                <w:szCs w:val="20"/>
                <w:color w:val="auto"/>
              </w:rPr>
            </w:pPr>
            <w:r>
              <w:rPr>
                <w:rFonts w:ascii="Calibri" w:cs="Calibri" w:eastAsia="Calibri" w:hAnsi="Calibri"/>
                <w:sz w:val="15"/>
                <w:szCs w:val="15"/>
                <w:color w:val="auto"/>
              </w:rPr>
              <w:t>$</w:t>
            </w:r>
          </w:p>
        </w:tc>
        <w:tc>
          <w:tcPr>
            <w:tcW w:w="480" w:type="dxa"/>
            <w:vAlign w:val="bottom"/>
            <w:tcBorders>
              <w:bottom w:val="single" w:sz="8" w:color="CFF0FC"/>
            </w:tcBorders>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39,193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694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6731000</wp:posOffset>
            </wp:positionH>
            <wp:positionV relativeFrom="paragraph">
              <wp:posOffset>-1555750</wp:posOffset>
            </wp:positionV>
            <wp:extent cx="58420" cy="762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8420" cy="7620"/>
                    </a:xfrm>
                    <a:prstGeom prst="rect">
                      <a:avLst/>
                    </a:prstGeom>
                    <a:noFill/>
                  </pic:spPr>
                </pic:pic>
              </a:graphicData>
            </a:graphic>
          </wp:anchor>
        </w:drawing>
        <w:drawing>
          <wp:anchor simplePos="0" relativeHeight="251657728" behindDoc="1" locked="0" layoutInCell="0" allowOverlap="1">
            <wp:simplePos x="0" y="0"/>
            <wp:positionH relativeFrom="column">
              <wp:posOffset>6731000</wp:posOffset>
            </wp:positionH>
            <wp:positionV relativeFrom="paragraph">
              <wp:posOffset>-1541145</wp:posOffset>
            </wp:positionV>
            <wp:extent cx="58420" cy="762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8420" cy="7620"/>
                    </a:xfrm>
                    <a:prstGeom prst="rect">
                      <a:avLst/>
                    </a:prstGeom>
                    <a:noFill/>
                  </pic:spPr>
                </pic:pic>
              </a:graphicData>
            </a:graphic>
          </wp:anchor>
        </w:drawing>
        <w:drawing>
          <wp:anchor simplePos="0" relativeHeight="251657728" behindDoc="1" locked="0" layoutInCell="0" allowOverlap="1">
            <wp:simplePos x="0" y="0"/>
            <wp:positionH relativeFrom="column">
              <wp:posOffset>5664200</wp:posOffset>
            </wp:positionH>
            <wp:positionV relativeFrom="paragraph">
              <wp:posOffset>-21590</wp:posOffset>
            </wp:positionV>
            <wp:extent cx="66040" cy="762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5664200</wp:posOffset>
            </wp:positionH>
            <wp:positionV relativeFrom="paragraph">
              <wp:posOffset>-6985</wp:posOffset>
            </wp:positionV>
            <wp:extent cx="66040" cy="762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6731000</wp:posOffset>
            </wp:positionH>
            <wp:positionV relativeFrom="paragraph">
              <wp:posOffset>-21590</wp:posOffset>
            </wp:positionV>
            <wp:extent cx="58420" cy="762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8420" cy="7620"/>
                    </a:xfrm>
                    <a:prstGeom prst="rect">
                      <a:avLst/>
                    </a:prstGeom>
                    <a:noFill/>
                  </pic:spPr>
                </pic:pic>
              </a:graphicData>
            </a:graphic>
          </wp:anchor>
        </w:drawing>
        <w:drawing>
          <wp:anchor simplePos="0" relativeHeight="251657728" behindDoc="1" locked="0" layoutInCell="0" allowOverlap="1">
            <wp:simplePos x="0" y="0"/>
            <wp:positionH relativeFrom="column">
              <wp:posOffset>6731000</wp:posOffset>
            </wp:positionH>
            <wp:positionV relativeFrom="paragraph">
              <wp:posOffset>-6985</wp:posOffset>
            </wp:positionV>
            <wp:extent cx="58420" cy="762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8420" cy="7620"/>
                    </a:xfrm>
                    <a:prstGeom prst="rect">
                      <a:avLst/>
                    </a:prstGeom>
                    <a:noFill/>
                  </pic:spPr>
                </pic:pic>
              </a:graphicData>
            </a:graphic>
          </wp:anchor>
        </w:drawing>
      </w:r>
    </w:p>
    <w:p>
      <w:pPr>
        <w:spacing w:after="0" w:line="146" w:lineRule="exact"/>
        <w:rPr>
          <w:sz w:val="20"/>
          <w:szCs w:val="20"/>
          <w:color w:val="auto"/>
        </w:rPr>
      </w:pPr>
    </w:p>
    <w:p>
      <w:pPr>
        <w:ind w:left="500"/>
        <w:spacing w:after="0"/>
        <w:rPr>
          <w:sz w:val="20"/>
          <w:szCs w:val="20"/>
          <w:color w:val="auto"/>
        </w:rPr>
      </w:pPr>
      <w:r>
        <w:rPr>
          <w:rFonts w:ascii="Calibri" w:cs="Calibri" w:eastAsia="Calibri" w:hAnsi="Calibri"/>
          <w:sz w:val="15"/>
          <w:szCs w:val="15"/>
          <w:color w:val="auto"/>
        </w:rPr>
        <w:t>The increase of $4,240 in accrued bonus was due to increased bonus payout metric atainment.</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b w:val="1"/>
          <w:bCs w:val="1"/>
          <w:color w:val="auto"/>
        </w:rPr>
        <w:t>9. Debt</w:t>
      </w:r>
    </w:p>
    <w:p>
      <w:pPr>
        <w:spacing w:after="0" w:line="185" w:lineRule="exact"/>
        <w:rPr>
          <w:sz w:val="20"/>
          <w:szCs w:val="20"/>
          <w:color w:val="auto"/>
        </w:rPr>
      </w:pPr>
    </w:p>
    <w:p>
      <w:pPr>
        <w:ind w:left="500"/>
        <w:spacing w:after="0"/>
        <w:rPr>
          <w:sz w:val="20"/>
          <w:szCs w:val="20"/>
          <w:color w:val="auto"/>
        </w:rPr>
      </w:pPr>
      <w:r>
        <w:rPr>
          <w:rFonts w:ascii="Calibri" w:cs="Calibri" w:eastAsia="Calibri" w:hAnsi="Calibri"/>
          <w:sz w:val="15"/>
          <w:szCs w:val="15"/>
          <w:color w:val="auto"/>
        </w:rPr>
        <w:t>As of December 31, 2023 and 2022, the Company had no long-term debt outstanding.</w:t>
      </w:r>
    </w:p>
    <w:p>
      <w:pPr>
        <w:spacing w:after="0" w:line="93" w:lineRule="exact"/>
        <w:rPr>
          <w:sz w:val="20"/>
          <w:szCs w:val="20"/>
          <w:color w:val="auto"/>
        </w:rPr>
      </w:pPr>
    </w:p>
    <w:p>
      <w:pPr>
        <w:spacing w:after="0"/>
        <w:rPr>
          <w:sz w:val="20"/>
          <w:szCs w:val="20"/>
          <w:color w:val="auto"/>
        </w:rPr>
      </w:pPr>
      <w:r>
        <w:rPr>
          <w:rFonts w:ascii="Calibri" w:cs="Calibri" w:eastAsia="Calibri" w:hAnsi="Calibri"/>
          <w:sz w:val="15"/>
          <w:szCs w:val="15"/>
          <w:i w:val="1"/>
          <w:iCs w:val="1"/>
          <w:color w:val="auto"/>
        </w:rPr>
        <w:t>Revolving Credit Facility</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On September 26, 2022, the Company entered into a Credit Agreement (the “Credit Agreement”) with PNC Bank, Natonal Associaton, as administratve agent and collateral agent and an L/C Issuer (as defned in the Credit Agreement), and the other lenders, L/C Issuers, and partes thereto from tme to tme. The Credit Agreement consists of a revolving credit facility (the "2022 Revolver"), which allows the Company to borrow up to $400.0 million, $50.0 million of which may be comprised of a leter of credit sub-facility (the "2022 Revolver Sub-facility"). The borrowing capacity under the Credit Agreement may be increased in accordance with the terms and subject to the adjustments as set forth in the Credit Agreement. Specifcally, the borrowing capacity may be increased by an amount up to the greater of $250.0 million or 100% of Four Quarter Consolidated EBITDA (as defned in the Credit Agreement) if certain criteria are met and subject to certain restrictons. Any such increase requires lender approval. Proceeds of any borrowings may be used for general corporate purposes. The 2022 Revolver is scheduled to mature on September 26, 2027.</w:t>
      </w:r>
    </w:p>
    <w:p>
      <w:pPr>
        <w:spacing w:after="0" w:line="186"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The applicable interest rate is, at the Company's opton, based on a number of diferent benchmark rates and applicable spreads, based on the rato of the outstanding principal amount of the Company’s secured indebtedness to the trailing four quarters of consolidated EBITDA (as determined under the Credit Agreement, the “Consolidated Secured Net Leverage Rato”). The Credit Agreement also requires the Company to pay a commitment fee to the lenders with respect of the unutlized revolving commitments at a rate ranging from 0.125% to 0.175% per annum based on the Consolidated Secured Net Leverage Rato, as determined on a quarterly basis.</w:t>
      </w:r>
    </w:p>
    <w:p>
      <w:pPr>
        <w:spacing w:after="0" w:line="185" w:lineRule="exact"/>
        <w:rPr>
          <w:sz w:val="20"/>
          <w:szCs w:val="20"/>
          <w:color w:val="auto"/>
        </w:rPr>
      </w:pPr>
    </w:p>
    <w:p>
      <w:pPr>
        <w:jc w:val="center"/>
        <w:spacing w:after="0"/>
        <w:rPr>
          <w:sz w:val="20"/>
          <w:szCs w:val="20"/>
          <w:color w:val="auto"/>
        </w:rPr>
      </w:pPr>
      <w:r>
        <w:rPr>
          <w:rFonts w:ascii="Calibri" w:cs="Calibri" w:eastAsia="Calibri" w:hAnsi="Calibri"/>
          <w:sz w:val="15"/>
          <w:szCs w:val="15"/>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401320</wp:posOffset>
            </wp:positionV>
            <wp:extent cx="7178040" cy="4000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4" w:right="319" w:bottom="1440" w:gutter="0" w:footer="0" w:header="0"/>
        </w:sectPr>
      </w:pPr>
    </w:p>
    <w:bookmarkStart w:id="116" w:name="page117"/>
    <w:bookmarkEnd w:id="116"/>
    <w:p>
      <w:pPr>
        <w:jc w:val="both"/>
        <w:ind w:firstLine="511"/>
        <w:spacing w:after="0" w:line="241" w:lineRule="auto"/>
        <w:rPr>
          <w:sz w:val="20"/>
          <w:szCs w:val="20"/>
          <w:color w:val="auto"/>
        </w:rPr>
      </w:pPr>
      <w:r>
        <w:rPr>
          <w:rFonts w:ascii="Calibri" w:cs="Calibri" w:eastAsia="Calibri" w:hAnsi="Calibri"/>
          <w:sz w:val="15"/>
          <w:szCs w:val="15"/>
          <w:color w:val="auto"/>
        </w:rPr>
        <w:t>The 2022 Revolver is secured by a frst priority lien on substantally all tangible and intangible property of the Company, as well as any future guarantors, and pledges of the equity of CarOfer and certain wholly-owned subsidiaries, in each case subject to certain exceptons, limitatons, and exclusions from the collateral. The Credit Agreement includes customary events of default and requires the Company to comply with customary afrmatve and negatve covenants, including a fnancial covenant requiring that the Company not exceed certain Consolidated Secured Net Leverage Rato ranges at the end of each fscal quarter. The Company was in compliance with all covenants as of December 31, 2023.</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As of December 31, 2023, there were no borrowings and $9,627 in leters of credit outstanding under the 2022 Revolver, which reduces the borrowing capacity under the 2022 Revolver to $390,373. As of December 31, 2022, there were no borrowings and no leters of credit outstanding under the 2022 Revolver.</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As of December 31, 2023, deferred fnancing costs were $1,927. As of December 31, 2022, deferred fnancing costs were $2,442. For the year ended December 31, 2023, amortzaton expense associated with deferred fnancing costs was $515. For the year ended December 31, 2022, amortzaton expense associated with deferred fnancing costs was $136.</w:t>
      </w:r>
    </w:p>
    <w:p>
      <w:pPr>
        <w:spacing w:after="0" w:line="369" w:lineRule="exact"/>
        <w:rPr>
          <w:sz w:val="20"/>
          <w:szCs w:val="20"/>
          <w:color w:val="auto"/>
        </w:rPr>
      </w:pPr>
    </w:p>
    <w:p>
      <w:pPr>
        <w:ind w:left="500"/>
        <w:spacing w:after="0"/>
        <w:rPr>
          <w:sz w:val="20"/>
          <w:szCs w:val="20"/>
          <w:color w:val="auto"/>
        </w:rPr>
      </w:pPr>
      <w:r>
        <w:rPr>
          <w:rFonts w:ascii="Calibri" w:cs="Calibri" w:eastAsia="Calibri" w:hAnsi="Calibri"/>
          <w:sz w:val="15"/>
          <w:szCs w:val="15"/>
          <w:color w:val="auto"/>
        </w:rPr>
        <w:t>As of December 31, 2023 and 2022, commitment fees under the 2022 Revolver were immaterial.</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b w:val="1"/>
          <w:bCs w:val="1"/>
          <w:color w:val="auto"/>
        </w:rPr>
        <w:t>10. Commitments and Contngencies</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i w:val="1"/>
          <w:iCs w:val="1"/>
          <w:color w:val="auto"/>
        </w:rPr>
        <w:t>Contractual Obligatons and Commitments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As of December 31, 2023, all of the Company’s property, equipment, and externally sourced internal-use sofware have been purchased with cash with the excepton of amounts related to unpaid property and equipment, capitalized website development, capitalized internal-use sofware, capitalized hostng arrangements, and amounts related to obligatons under fnance leases as disclosed in the consolidated statements of cash fows. In connecton with the 1001 Boylston Street Lease (as defned below), the Company expects to spend approximately $69,815, net of tenant reimbursements. As of December 31, 2023, the Company has incurred $40,561 in expenses, of which $2,891 was reimbursed as part of the tenant improvement allowance for the 1001 Boylston Street Lease. Of the total incurred expenses, $40,325 was capitalized, consistng of $39,835 in capitalized incurred expenses recognized in property and equipment, net and $490 in capitalized incurred expenses recognized in prepaid expenses, prepaid income taxes and other current assets on the consolidated balance sheets. As of December 31, 2023, the Company has also signed $46,473 in gross contract commitments, which have not yet been incurred. The Company has no other material long-term purchase obligatons outstanding with any vendors or third-partes.</w:t>
      </w:r>
    </w:p>
    <w:p>
      <w:pPr>
        <w:spacing w:after="0" w:line="186" w:lineRule="exact"/>
        <w:rPr>
          <w:sz w:val="20"/>
          <w:szCs w:val="20"/>
          <w:color w:val="auto"/>
        </w:rPr>
      </w:pPr>
    </w:p>
    <w:p>
      <w:pPr>
        <w:spacing w:after="0"/>
        <w:rPr>
          <w:sz w:val="20"/>
          <w:szCs w:val="20"/>
          <w:color w:val="auto"/>
        </w:rPr>
      </w:pPr>
      <w:r>
        <w:rPr>
          <w:rFonts w:ascii="Calibri" w:cs="Calibri" w:eastAsia="Calibri" w:hAnsi="Calibri"/>
          <w:sz w:val="15"/>
          <w:szCs w:val="15"/>
          <w:i w:val="1"/>
          <w:iCs w:val="1"/>
          <w:color w:val="auto"/>
        </w:rPr>
        <w:t>Leases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The Company’s material lease obligatons consist of various leases for ofce space in: Boston, Massachusets; Cambridge, Massachusets; San Francisco, California; Addison, Texas; and Dublin, Ireland.</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The Company has non-cancellable lease terms through 2033 for its various commenced operatng leases, certain of which include the opton to extend the lease term up to two additonal periods of fve years. Additonally, certain leases provide for annual rent increases through the terms of the leases, leasehold improvement incentves, and variable payments related to operatng expenses, taxes, utlites, insurance, and maintenance expenses. Certain leases also contain non-lease components in the contract. Non-lease components relate to operatng expenses, parking, utlites, and maintenance expenses.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The Company has non-cancellable lease terms through 2025 for its various operatng subleases, for which the Company acts as the lessor, certain of which include the opton to extend the sublease term up to one additonal period of three years. Additonally, certain subleases provide for annual rent increases through the terms of the leases and variable payments related to operatng expenses, taxes, parking, and utlites. Certain subleases also contain both lease and non-lease components in the contract. Non-lease components relate to operatng expenses, parking, utlites, and maintenance expenses.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As of December 31, 2023, there were no material changes in the Company's leases from those disclosed in our Annual Report on Form 10-K for the fscal year ended December 31, 2022, other than those described below.</w:t>
      </w:r>
    </w:p>
    <w:p>
      <w:pPr>
        <w:spacing w:after="0" w:line="184" w:lineRule="exact"/>
        <w:rPr>
          <w:sz w:val="20"/>
          <w:szCs w:val="20"/>
          <w:color w:val="auto"/>
        </w:rPr>
      </w:pPr>
    </w:p>
    <w:p>
      <w:pPr>
        <w:jc w:val="center"/>
        <w:spacing w:after="0"/>
        <w:rPr>
          <w:sz w:val="20"/>
          <w:szCs w:val="20"/>
          <w:color w:val="auto"/>
        </w:rPr>
      </w:pPr>
      <w:r>
        <w:rPr>
          <w:rFonts w:ascii="Calibri" w:cs="Calibri" w:eastAsia="Calibri" w:hAnsi="Calibri"/>
          <w:sz w:val="15"/>
          <w:szCs w:val="15"/>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401320</wp:posOffset>
            </wp:positionV>
            <wp:extent cx="7178040" cy="4000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3" w:right="319" w:bottom="1440" w:gutter="0" w:footer="0" w:header="0"/>
        </w:sectPr>
      </w:pPr>
    </w:p>
    <w:bookmarkStart w:id="117" w:name="page118"/>
    <w:bookmarkEnd w:id="117"/>
    <w:p>
      <w:pPr>
        <w:spacing w:after="0"/>
        <w:rPr>
          <w:sz w:val="20"/>
          <w:szCs w:val="20"/>
          <w:color w:val="auto"/>
        </w:rPr>
      </w:pPr>
      <w:r>
        <w:rPr>
          <w:rFonts w:ascii="Calibri" w:cs="Calibri" w:eastAsia="Calibri" w:hAnsi="Calibri"/>
          <w:sz w:val="15"/>
          <w:szCs w:val="15"/>
          <w:i w:val="1"/>
          <w:iCs w:val="1"/>
          <w:color w:val="auto"/>
        </w:rPr>
        <w:t>New Material Leases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On November 14, 2023, the Company amended its operatng lease agreement in Addison, Texas, at 15601 Dallas Parkway, which was originally entered into on April 28, 2022, for the lease of 30,913 square feet of ofce space. The amendment relocates the existng premises from Suite 800 to Suite 900, also consistng of 30,913 square feet of ofce space. The lease term and payments do not change from the original agreement. The lease, as amended, provides for (i) an extension of the reimbursement deadline of the tenant improvement allowance to May 31, 2024, and (ii) an additonal security deposit in the form of a restricted leter of credit, recognized in other non-current assets in the consolidated balance sheets. Since the lease amendment relocates leased space with the same landlord, the Company accounted for the amendment as a terminaton of the existng lease, with the diference between the right-of-use ("ROU") asset and lease liability of the existng lease included as part of the ROU asset of the new lease.</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The Company’s operatng lease agreement in Boston, Massachusets, for 225,428 square feet at 1001 Boylston Street (the "1001 Boylston Street Lease") commenced on February 3, 2023 ("Delivery Date"), as the Company has been granted access to begin its build out. The “Commencement Date” of the lease term is the earlier to occur of (i) the date that is 12 months following the Delivery Date and (ii) the date that the Company frst occupies the premises for the normal conduct of business for the Permited Use (as defned in the 1001 Boylston Street Lease). The inital term will commence on the Commencement Date and expire on the date that is 180 full calendar months afer the Commencement Date (plus the partal month, if any, immediately following the Commencement Date). The 1001 Boylston Street Lease provides for the opton to terminate early under certain circumstances and contains optons to extend the lease term for two additonal periods of fve years. The 1001 Boylston Street Lease provides for annual rent increases through the term of the lease, leasehold improvement incentves, and variable payments related to operatng expenses, management fees, taxes, utlites, insurance, and maintenance expenses. The 1001 Boylston Street Lease also contains both lease and non-lease components. Non-lease components relate to operatng expenses, parking, utlites, and maintenance expenses. The Company expects to move into the ofce space in 2024.</w:t>
      </w:r>
    </w:p>
    <w:p>
      <w:pPr>
        <w:spacing w:after="0" w:line="186" w:lineRule="exact"/>
        <w:rPr>
          <w:sz w:val="20"/>
          <w:szCs w:val="20"/>
          <w:color w:val="auto"/>
        </w:rPr>
      </w:pPr>
    </w:p>
    <w:p>
      <w:pPr>
        <w:ind w:left="500"/>
        <w:spacing w:after="0"/>
        <w:rPr>
          <w:sz w:val="20"/>
          <w:szCs w:val="20"/>
          <w:color w:val="auto"/>
        </w:rPr>
      </w:pPr>
      <w:r>
        <w:rPr>
          <w:rFonts w:ascii="Calibri" w:cs="Calibri" w:eastAsia="Calibri" w:hAnsi="Calibri"/>
          <w:sz w:val="15"/>
          <w:szCs w:val="15"/>
          <w:color w:val="auto"/>
        </w:rPr>
        <w:t>The Company’s fnancing lease obligatons, which consist of a lease for furniture and ofce equipment, are immaterial.</w:t>
      </w:r>
    </w:p>
    <w:p>
      <w:pPr>
        <w:spacing w:after="0" w:line="185" w:lineRule="exact"/>
        <w:rPr>
          <w:sz w:val="20"/>
          <w:szCs w:val="20"/>
          <w:color w:val="auto"/>
        </w:rPr>
      </w:pPr>
    </w:p>
    <w:p>
      <w:pPr>
        <w:ind w:left="500"/>
        <w:spacing w:after="0"/>
        <w:rPr>
          <w:sz w:val="20"/>
          <w:szCs w:val="20"/>
          <w:color w:val="auto"/>
        </w:rPr>
      </w:pPr>
      <w:r>
        <w:rPr>
          <w:rFonts w:ascii="Calibri" w:cs="Calibri" w:eastAsia="Calibri" w:hAnsi="Calibri"/>
          <w:sz w:val="15"/>
          <w:szCs w:val="15"/>
          <w:color w:val="auto"/>
        </w:rPr>
        <w:t>For the years ended December 31, 2023, 2022, and 2021, the Company recognized $34,218, $16,732, and $15,844, respectvely, of lease costs.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For the year ended December 31, 2023, the Company recognized $1,897 of sublease income. For the year ended December 31, 2022, the Company recognized $1,809 of sublease income. There was no sublease income for the year ended December 31, 2021.</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As of December 31, 2023 and 2022, the weighted average remaining lease term was 13.1 years and 7.1 years, respectvely, and the weighted average discount rate was 5.7% and 4.9%, respectvely. As the Company’s leases do not provide an implicit rate, the Company uses an estmated incremental borrowing rate based on the informaton available at lease commencement in determining the present value of lease payments. The Company estmated the incremental borrowing rate based on the rate of interest the Company would have to pay to borrow a similar amount on a collateralized basis over a similar term. The Company has no historical debt transactons and a collateralized rate is estmated based on a group of peer companies. The Company used the incremental borrowing rate on January 1, 2019, for leases that commenced prior to that date.</w:t>
      </w:r>
    </w:p>
    <w:p>
      <w:pPr>
        <w:spacing w:after="0" w:line="185" w:lineRule="exact"/>
        <w:rPr>
          <w:sz w:val="20"/>
          <w:szCs w:val="20"/>
          <w:color w:val="auto"/>
        </w:rPr>
      </w:pPr>
    </w:p>
    <w:p>
      <w:pPr>
        <w:jc w:val="center"/>
        <w:spacing w:after="0"/>
        <w:rPr>
          <w:sz w:val="20"/>
          <w:szCs w:val="20"/>
          <w:color w:val="auto"/>
        </w:rPr>
      </w:pPr>
      <w:r>
        <w:rPr>
          <w:rFonts w:ascii="Calibri" w:cs="Calibri" w:eastAsia="Calibri" w:hAnsi="Calibri"/>
          <w:sz w:val="15"/>
          <w:szCs w:val="15"/>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401320</wp:posOffset>
            </wp:positionV>
            <wp:extent cx="7178040" cy="4000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3" w:right="319" w:bottom="1440" w:gutter="0" w:footer="0" w:header="0"/>
        </w:sectPr>
      </w:pPr>
    </w:p>
    <w:bookmarkStart w:id="118" w:name="page119"/>
    <w:bookmarkEnd w:id="118"/>
    <w:p>
      <w:pPr>
        <w:spacing w:after="0"/>
        <w:rPr>
          <w:sz w:val="20"/>
          <w:szCs w:val="20"/>
          <w:color w:val="auto"/>
        </w:rPr>
      </w:pPr>
      <w:r>
        <w:rPr>
          <w:rFonts w:ascii="Calibri" w:cs="Calibri" w:eastAsia="Calibri" w:hAnsi="Calibri"/>
          <w:sz w:val="15"/>
          <w:szCs w:val="15"/>
          <w:i w:val="1"/>
          <w:iCs w:val="1"/>
          <w:color w:val="auto"/>
        </w:rPr>
        <w:t>Lease Commitments</w:t>
      </w:r>
    </w:p>
    <w:p>
      <w:pPr>
        <w:spacing w:after="0" w:line="185" w:lineRule="exact"/>
        <w:rPr>
          <w:sz w:val="20"/>
          <w:szCs w:val="20"/>
          <w:color w:val="auto"/>
        </w:rPr>
      </w:pPr>
    </w:p>
    <w:p>
      <w:pPr>
        <w:ind w:left="500"/>
        <w:spacing w:after="0"/>
        <w:rPr>
          <w:sz w:val="20"/>
          <w:szCs w:val="20"/>
          <w:color w:val="auto"/>
        </w:rPr>
      </w:pPr>
      <w:r>
        <w:rPr>
          <w:rFonts w:ascii="MS PGothic" w:cs="MS PGothic" w:eastAsia="MS PGothic" w:hAnsi="MS PGothic"/>
          <w:sz w:val="15"/>
          <w:szCs w:val="15"/>
          <w:color w:val="auto"/>
        </w:rPr>
        <w:t>As of December 31, 2023, future minimum lease payments for all leases are as follows:</w:t>
      </w:r>
    </w:p>
    <w:p>
      <w:pPr>
        <w:spacing w:after="0" w:line="327" w:lineRule="exact"/>
        <w:rPr>
          <w:sz w:val="20"/>
          <w:szCs w:val="20"/>
          <w:color w:val="auto"/>
        </w:rPr>
      </w:pPr>
    </w:p>
    <w:tbl>
      <w:tblPr>
        <w:tblLayout w:type="fixed"/>
        <w:tblInd w:w="560" w:type="dxa"/>
        <w:tblCellMar>
          <w:top w:w="0" w:type="dxa"/>
          <w:left w:w="0" w:type="dxa"/>
          <w:bottom w:w="0" w:type="dxa"/>
          <w:right w:w="0" w:type="dxa"/>
        </w:tblCellMar>
      </w:tblPr>
      <w:tr>
        <w:trPr>
          <w:trHeight w:val="146"/>
        </w:trPr>
        <w:tc>
          <w:tcPr>
            <w:tcW w:w="8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gridSpan w:val="2"/>
          </w:tcPr>
          <w:p>
            <w:pPr>
              <w:jc w:val="center"/>
              <w:ind w:right="380"/>
              <w:spacing w:after="0"/>
              <w:rPr>
                <w:sz w:val="20"/>
                <w:szCs w:val="20"/>
                <w:color w:val="auto"/>
              </w:rPr>
            </w:pPr>
            <w:r>
              <w:rPr>
                <w:rFonts w:ascii="Calibri" w:cs="Calibri" w:eastAsia="Calibri" w:hAnsi="Calibri"/>
                <w:sz w:val="12"/>
                <w:szCs w:val="12"/>
                <w:b w:val="1"/>
                <w:bCs w:val="1"/>
                <w:color w:val="auto"/>
              </w:rPr>
              <w:t>Operatng</w:t>
            </w:r>
          </w:p>
        </w:tc>
      </w:tr>
      <w:tr>
        <w:trPr>
          <w:trHeight w:val="150"/>
        </w:trPr>
        <w:tc>
          <w:tcPr>
            <w:tcW w:w="8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gridSpan w:val="2"/>
          </w:tcPr>
          <w:p>
            <w:pPr>
              <w:jc w:val="center"/>
              <w:ind w:right="380"/>
              <w:spacing w:after="0"/>
              <w:rPr>
                <w:sz w:val="20"/>
                <w:szCs w:val="20"/>
                <w:color w:val="auto"/>
              </w:rPr>
            </w:pPr>
            <w:r>
              <w:rPr>
                <w:rFonts w:ascii="Calibri" w:cs="Calibri" w:eastAsia="Calibri" w:hAnsi="Calibri"/>
                <w:sz w:val="12"/>
                <w:szCs w:val="12"/>
                <w:b w:val="1"/>
                <w:bCs w:val="1"/>
                <w:color w:val="auto"/>
              </w:rPr>
              <w:t>Lease</w:t>
            </w:r>
          </w:p>
        </w:tc>
      </w:tr>
      <w:tr>
        <w:trPr>
          <w:trHeight w:val="150"/>
        </w:trPr>
        <w:tc>
          <w:tcPr>
            <w:tcW w:w="8120" w:type="dxa"/>
            <w:vAlign w:val="bottom"/>
          </w:tcPr>
          <w:p>
            <w:pPr>
              <w:spacing w:after="0"/>
              <w:rPr>
                <w:sz w:val="20"/>
                <w:szCs w:val="20"/>
                <w:color w:val="auto"/>
              </w:rPr>
            </w:pPr>
            <w:r>
              <w:rPr>
                <w:rFonts w:ascii="Calibri" w:cs="Calibri" w:eastAsia="Calibri" w:hAnsi="Calibri"/>
                <w:sz w:val="12"/>
                <w:szCs w:val="12"/>
                <w:b w:val="1"/>
                <w:bCs w:val="1"/>
                <w:color w:val="auto"/>
              </w:rPr>
              <w:t>Year Ending December 31,</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gridSpan w:val="2"/>
          </w:tcPr>
          <w:p>
            <w:pPr>
              <w:jc w:val="center"/>
              <w:ind w:right="400"/>
              <w:spacing w:after="0"/>
              <w:rPr>
                <w:sz w:val="20"/>
                <w:szCs w:val="20"/>
                <w:color w:val="auto"/>
              </w:rPr>
            </w:pPr>
            <w:r>
              <w:rPr>
                <w:rFonts w:ascii="Calibri" w:cs="Calibri" w:eastAsia="Calibri" w:hAnsi="Calibri"/>
                <w:sz w:val="12"/>
                <w:szCs w:val="12"/>
                <w:b w:val="1"/>
                <w:bCs w:val="1"/>
                <w:color w:val="auto"/>
              </w:rPr>
              <w:t>Commitments</w:t>
            </w:r>
          </w:p>
        </w:tc>
      </w:tr>
      <w:tr>
        <w:trPr>
          <w:trHeight w:val="28"/>
        </w:trPr>
        <w:tc>
          <w:tcPr>
            <w:tcW w:w="8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79"/>
        </w:trPr>
        <w:tc>
          <w:tcPr>
            <w:tcW w:w="8120" w:type="dxa"/>
            <w:vAlign w:val="bottom"/>
            <w:tcBorders>
              <w:bottom w:val="single" w:sz="8" w:color="CFF0FC"/>
            </w:tcBorders>
            <w:shd w:val="clear" w:color="auto" w:fill="CFF0FC"/>
          </w:tcPr>
          <w:p>
            <w:pPr>
              <w:spacing w:after="0"/>
              <w:rPr>
                <w:sz w:val="20"/>
                <w:szCs w:val="20"/>
                <w:color w:val="auto"/>
              </w:rPr>
            </w:pPr>
            <w:r>
              <w:rPr>
                <w:rFonts w:ascii="MS PGothic" w:cs="MS PGothic" w:eastAsia="MS PGothic" w:hAnsi="MS PGothic"/>
                <w:sz w:val="15"/>
                <w:szCs w:val="15"/>
                <w:color w:val="auto"/>
              </w:rPr>
              <w:t>2024</w:t>
            </w:r>
          </w:p>
        </w:tc>
        <w:tc>
          <w:tcPr>
            <w:tcW w:w="500" w:type="dxa"/>
            <w:vAlign w:val="bottom"/>
            <w:tcBorders>
              <w:bottom w:val="single" w:sz="8" w:color="CFF0FC"/>
            </w:tcBorders>
            <w:gridSpan w:val="2"/>
            <w:shd w:val="clear" w:color="auto" w:fill="CFF0FC"/>
          </w:tcPr>
          <w:p>
            <w:pPr>
              <w:jc w:val="right"/>
              <w:ind w:right="123"/>
              <w:spacing w:after="0"/>
              <w:rPr>
                <w:sz w:val="20"/>
                <w:szCs w:val="20"/>
                <w:color w:val="auto"/>
              </w:rPr>
            </w:pPr>
            <w:r>
              <w:rPr>
                <w:rFonts w:ascii="MS PGothic" w:cs="MS PGothic" w:eastAsia="MS PGothic" w:hAnsi="MS PGothic"/>
                <w:sz w:val="15"/>
                <w:szCs w:val="15"/>
                <w:color w:val="auto"/>
              </w:rPr>
              <w:t>$</w:t>
            </w:r>
          </w:p>
        </w:tc>
        <w:tc>
          <w:tcPr>
            <w:tcW w:w="1420" w:type="dxa"/>
            <w:vAlign w:val="bottom"/>
            <w:tcBorders>
              <w:bottom w:val="single" w:sz="8" w:color="CFF0FC"/>
            </w:tcBorders>
            <w:shd w:val="clear" w:color="auto" w:fill="CFF0FC"/>
          </w:tcPr>
          <w:p>
            <w:pPr>
              <w:jc w:val="right"/>
              <w:spacing w:after="0"/>
              <w:rPr>
                <w:sz w:val="20"/>
                <w:szCs w:val="20"/>
                <w:color w:val="auto"/>
              </w:rPr>
            </w:pPr>
            <w:r>
              <w:rPr>
                <w:rFonts w:ascii="MS PGothic" w:cs="MS PGothic" w:eastAsia="MS PGothic" w:hAnsi="MS PGothic"/>
                <w:sz w:val="15"/>
                <w:szCs w:val="15"/>
                <w:color w:val="auto"/>
              </w:rPr>
              <w:t>3,150</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83"/>
        </w:trPr>
        <w:tc>
          <w:tcPr>
            <w:tcW w:w="8120" w:type="dxa"/>
            <w:vAlign w:val="bottom"/>
          </w:tcPr>
          <w:p>
            <w:pPr>
              <w:spacing w:after="0"/>
              <w:rPr>
                <w:sz w:val="20"/>
                <w:szCs w:val="20"/>
                <w:color w:val="auto"/>
              </w:rPr>
            </w:pPr>
            <w:r>
              <w:rPr>
                <w:rFonts w:ascii="MS PGothic" w:cs="MS PGothic" w:eastAsia="MS PGothic" w:hAnsi="MS PGothic"/>
                <w:sz w:val="15"/>
                <w:szCs w:val="15"/>
                <w:color w:val="auto"/>
              </w:rPr>
              <w:t>2025</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MS PGothic" w:cs="MS PGothic" w:eastAsia="MS PGothic" w:hAnsi="MS PGothic"/>
                <w:sz w:val="15"/>
                <w:szCs w:val="15"/>
                <w:color w:val="auto"/>
              </w:rPr>
              <w:t>18,881</w:t>
            </w:r>
          </w:p>
        </w:tc>
        <w:tc>
          <w:tcPr>
            <w:tcW w:w="100" w:type="dxa"/>
            <w:vAlign w:val="bottom"/>
          </w:tcPr>
          <w:p>
            <w:pPr>
              <w:spacing w:after="0"/>
              <w:rPr>
                <w:sz w:val="15"/>
                <w:szCs w:val="15"/>
                <w:color w:val="auto"/>
              </w:rPr>
            </w:pPr>
          </w:p>
        </w:tc>
      </w:tr>
      <w:tr>
        <w:trPr>
          <w:trHeight w:val="24"/>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7"/>
        </w:trPr>
        <w:tc>
          <w:tcPr>
            <w:tcW w:w="8120" w:type="dxa"/>
            <w:vAlign w:val="bottom"/>
            <w:tcBorders>
              <w:bottom w:val="single" w:sz="8" w:color="CFF0FC"/>
            </w:tcBorders>
            <w:shd w:val="clear" w:color="auto" w:fill="CFF0FC"/>
          </w:tcPr>
          <w:p>
            <w:pPr>
              <w:spacing w:after="0"/>
              <w:rPr>
                <w:sz w:val="20"/>
                <w:szCs w:val="20"/>
                <w:color w:val="auto"/>
              </w:rPr>
            </w:pPr>
            <w:r>
              <w:rPr>
                <w:rFonts w:ascii="MS PGothic" w:cs="MS PGothic" w:eastAsia="MS PGothic" w:hAnsi="MS PGothic"/>
                <w:sz w:val="15"/>
                <w:szCs w:val="15"/>
                <w:color w:val="auto"/>
              </w:rPr>
              <w:t>2026</w:t>
            </w:r>
          </w:p>
        </w:tc>
        <w:tc>
          <w:tcPr>
            <w:tcW w:w="22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MS PGothic" w:cs="MS PGothic" w:eastAsia="MS PGothic" w:hAnsi="MS PGothic"/>
                <w:sz w:val="15"/>
                <w:szCs w:val="15"/>
                <w:color w:val="auto"/>
              </w:rPr>
              <w:t>22,332</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8120" w:type="dxa"/>
            <w:vAlign w:val="bottom"/>
          </w:tcPr>
          <w:p>
            <w:pPr>
              <w:spacing w:after="0"/>
              <w:rPr>
                <w:sz w:val="20"/>
                <w:szCs w:val="20"/>
                <w:color w:val="auto"/>
              </w:rPr>
            </w:pPr>
            <w:r>
              <w:rPr>
                <w:rFonts w:ascii="MS PGothic" w:cs="MS PGothic" w:eastAsia="MS PGothic" w:hAnsi="MS PGothic"/>
                <w:sz w:val="15"/>
                <w:szCs w:val="15"/>
                <w:color w:val="auto"/>
              </w:rPr>
              <w:t>2027</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MS PGothic" w:cs="MS PGothic" w:eastAsia="MS PGothic" w:hAnsi="MS PGothic"/>
                <w:sz w:val="15"/>
                <w:szCs w:val="15"/>
                <w:color w:val="auto"/>
              </w:rPr>
              <w:t>22,740</w:t>
            </w:r>
          </w:p>
        </w:tc>
        <w:tc>
          <w:tcPr>
            <w:tcW w:w="100" w:type="dxa"/>
            <w:vAlign w:val="bottom"/>
          </w:tcPr>
          <w:p>
            <w:pPr>
              <w:spacing w:after="0"/>
              <w:rPr>
                <w:sz w:val="15"/>
                <w:szCs w:val="15"/>
                <w:color w:val="auto"/>
              </w:rPr>
            </w:pPr>
          </w:p>
        </w:tc>
      </w:tr>
      <w:tr>
        <w:trPr>
          <w:trHeight w:val="24"/>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7"/>
        </w:trPr>
        <w:tc>
          <w:tcPr>
            <w:tcW w:w="8120" w:type="dxa"/>
            <w:vAlign w:val="bottom"/>
            <w:tcBorders>
              <w:bottom w:val="single" w:sz="8" w:color="CFF0FC"/>
            </w:tcBorders>
            <w:shd w:val="clear" w:color="auto" w:fill="CFF0FC"/>
          </w:tcPr>
          <w:p>
            <w:pPr>
              <w:spacing w:after="0"/>
              <w:rPr>
                <w:sz w:val="20"/>
                <w:szCs w:val="20"/>
                <w:color w:val="auto"/>
              </w:rPr>
            </w:pPr>
            <w:r>
              <w:rPr>
                <w:rFonts w:ascii="MS PGothic" w:cs="MS PGothic" w:eastAsia="MS PGothic" w:hAnsi="MS PGothic"/>
                <w:sz w:val="15"/>
                <w:szCs w:val="15"/>
                <w:color w:val="auto"/>
              </w:rPr>
              <w:t>2028</w:t>
            </w:r>
          </w:p>
        </w:tc>
        <w:tc>
          <w:tcPr>
            <w:tcW w:w="22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MS PGothic" w:cs="MS PGothic" w:eastAsia="MS PGothic" w:hAnsi="MS PGothic"/>
                <w:sz w:val="15"/>
                <w:szCs w:val="15"/>
                <w:color w:val="auto"/>
              </w:rPr>
              <w:t>23,160</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8120" w:type="dxa"/>
            <w:vAlign w:val="bottom"/>
          </w:tcPr>
          <w:p>
            <w:pPr>
              <w:spacing w:after="0"/>
              <w:rPr>
                <w:sz w:val="20"/>
                <w:szCs w:val="20"/>
                <w:color w:val="auto"/>
              </w:rPr>
            </w:pPr>
            <w:r>
              <w:rPr>
                <w:rFonts w:ascii="MS PGothic" w:cs="MS PGothic" w:eastAsia="MS PGothic" w:hAnsi="MS PGothic"/>
                <w:sz w:val="15"/>
                <w:szCs w:val="15"/>
                <w:color w:val="auto"/>
              </w:rPr>
              <w:t>Thereafer</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MS PGothic" w:cs="MS PGothic" w:eastAsia="MS PGothic" w:hAnsi="MS PGothic"/>
                <w:sz w:val="15"/>
                <w:szCs w:val="15"/>
                <w:color w:val="auto"/>
              </w:rPr>
              <w:t>208,079</w:t>
            </w:r>
          </w:p>
        </w:tc>
        <w:tc>
          <w:tcPr>
            <w:tcW w:w="100" w:type="dxa"/>
            <w:vAlign w:val="bottom"/>
          </w:tcPr>
          <w:p>
            <w:pPr>
              <w:spacing w:after="0"/>
              <w:rPr>
                <w:sz w:val="15"/>
                <w:szCs w:val="15"/>
                <w:color w:val="auto"/>
              </w:rPr>
            </w:pPr>
          </w:p>
        </w:tc>
      </w:tr>
      <w:tr>
        <w:trPr>
          <w:trHeight w:val="24"/>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79"/>
        </w:trPr>
        <w:tc>
          <w:tcPr>
            <w:tcW w:w="8120" w:type="dxa"/>
            <w:vAlign w:val="bottom"/>
            <w:tcBorders>
              <w:bottom w:val="single" w:sz="8" w:color="CFF0FC"/>
            </w:tcBorders>
            <w:shd w:val="clear" w:color="auto" w:fill="CFF0FC"/>
          </w:tcPr>
          <w:p>
            <w:pPr>
              <w:ind w:left="240"/>
              <w:spacing w:after="0"/>
              <w:rPr>
                <w:sz w:val="20"/>
                <w:szCs w:val="20"/>
                <w:color w:val="auto"/>
              </w:rPr>
            </w:pPr>
            <w:r>
              <w:rPr>
                <w:rFonts w:ascii="MS PGothic" w:cs="MS PGothic" w:eastAsia="MS PGothic" w:hAnsi="MS PGothic"/>
                <w:sz w:val="15"/>
                <w:szCs w:val="15"/>
                <w:color w:val="auto"/>
              </w:rPr>
              <w:t>Total lease payments</w:t>
            </w:r>
          </w:p>
        </w:tc>
        <w:tc>
          <w:tcPr>
            <w:tcW w:w="22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spacing w:after="0"/>
              <w:rPr>
                <w:sz w:val="15"/>
                <w:szCs w:val="15"/>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MS PGothic" w:cs="MS PGothic" w:eastAsia="MS PGothic" w:hAnsi="MS PGothic"/>
                <w:sz w:val="15"/>
                <w:szCs w:val="15"/>
                <w:color w:val="auto"/>
              </w:rPr>
              <w:t>298,342</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83"/>
        </w:trPr>
        <w:tc>
          <w:tcPr>
            <w:tcW w:w="8120" w:type="dxa"/>
            <w:vAlign w:val="bottom"/>
          </w:tcPr>
          <w:p>
            <w:pPr>
              <w:spacing w:after="0"/>
              <w:rPr>
                <w:sz w:val="20"/>
                <w:szCs w:val="20"/>
                <w:color w:val="auto"/>
              </w:rPr>
            </w:pPr>
            <w:r>
              <w:rPr>
                <w:rFonts w:ascii="MS PGothic" w:cs="MS PGothic" w:eastAsia="MS PGothic" w:hAnsi="MS PGothic"/>
                <w:sz w:val="15"/>
                <w:szCs w:val="15"/>
                <w:color w:val="auto"/>
              </w:rPr>
              <w:t>Less imputed interest</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gridSpan w:val="2"/>
          </w:tcPr>
          <w:p>
            <w:pPr>
              <w:jc w:val="right"/>
              <w:ind w:right="40"/>
              <w:spacing w:after="0"/>
              <w:rPr>
                <w:sz w:val="20"/>
                <w:szCs w:val="20"/>
                <w:color w:val="auto"/>
              </w:rPr>
            </w:pPr>
            <w:r>
              <w:rPr>
                <w:rFonts w:ascii="MS PGothic" w:cs="MS PGothic" w:eastAsia="MS PGothic" w:hAnsi="MS PGothic"/>
                <w:sz w:val="15"/>
                <w:szCs w:val="15"/>
                <w:color w:val="auto"/>
              </w:rPr>
              <w:t>(103,952 )</w:t>
            </w:r>
          </w:p>
        </w:tc>
      </w:tr>
      <w:tr>
        <w:trPr>
          <w:trHeight w:val="24"/>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24"/>
        </w:trPr>
        <w:tc>
          <w:tcPr>
            <w:tcW w:w="8120" w:type="dxa"/>
            <w:vAlign w:val="bottom"/>
            <w:tcBorders>
              <w:bottom w:val="single" w:sz="8" w:color="CFF0FC"/>
            </w:tcBorders>
            <w:shd w:val="clear" w:color="auto" w:fill="CFF0FC"/>
          </w:tcPr>
          <w:p>
            <w:pPr>
              <w:ind w:left="240"/>
              <w:spacing w:after="0"/>
              <w:rPr>
                <w:sz w:val="20"/>
                <w:szCs w:val="20"/>
                <w:color w:val="auto"/>
              </w:rPr>
            </w:pPr>
            <w:r>
              <w:rPr>
                <w:rFonts w:ascii="MS PGothic" w:cs="MS PGothic" w:eastAsia="MS PGothic" w:hAnsi="MS PGothic"/>
                <w:sz w:val="15"/>
                <w:szCs w:val="15"/>
                <w:color w:val="auto"/>
              </w:rPr>
              <w:t>Total</w:t>
            </w:r>
          </w:p>
        </w:tc>
        <w:tc>
          <w:tcPr>
            <w:tcW w:w="2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jc w:val="right"/>
              <w:ind w:right="123"/>
              <w:spacing w:after="0"/>
              <w:rPr>
                <w:sz w:val="20"/>
                <w:szCs w:val="20"/>
                <w:color w:val="auto"/>
              </w:rPr>
            </w:pPr>
            <w:r>
              <w:rPr>
                <w:rFonts w:ascii="MS PGothic" w:cs="MS PGothic" w:eastAsia="MS PGothic" w:hAnsi="MS PGothic"/>
                <w:sz w:val="15"/>
                <w:szCs w:val="15"/>
                <w:color w:val="auto"/>
                <w:w w:val="79"/>
              </w:rPr>
              <w:t>$</w:t>
            </w:r>
          </w:p>
        </w:tc>
        <w:tc>
          <w:tcPr>
            <w:tcW w:w="1420" w:type="dxa"/>
            <w:vAlign w:val="bottom"/>
            <w:tcBorders>
              <w:bottom w:val="single" w:sz="8" w:color="CFF0FC"/>
            </w:tcBorders>
            <w:shd w:val="clear" w:color="auto" w:fill="CFF0FC"/>
          </w:tcPr>
          <w:p>
            <w:pPr>
              <w:jc w:val="right"/>
              <w:spacing w:after="0"/>
              <w:rPr>
                <w:sz w:val="20"/>
                <w:szCs w:val="20"/>
                <w:color w:val="auto"/>
              </w:rPr>
            </w:pPr>
            <w:r>
              <w:rPr>
                <w:rFonts w:ascii="MS PGothic" w:cs="MS PGothic" w:eastAsia="MS PGothic" w:hAnsi="MS PGothic"/>
                <w:sz w:val="15"/>
                <w:szCs w:val="15"/>
                <w:color w:val="auto"/>
              </w:rPr>
              <w:t>194,390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8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6731000</wp:posOffset>
            </wp:positionH>
            <wp:positionV relativeFrom="paragraph">
              <wp:posOffset>-21590</wp:posOffset>
            </wp:positionV>
            <wp:extent cx="58420" cy="762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8420" cy="7620"/>
                    </a:xfrm>
                    <a:prstGeom prst="rect">
                      <a:avLst/>
                    </a:prstGeom>
                    <a:noFill/>
                  </pic:spPr>
                </pic:pic>
              </a:graphicData>
            </a:graphic>
          </wp:anchor>
        </w:drawing>
        <w:drawing>
          <wp:anchor simplePos="0" relativeHeight="251657728" behindDoc="1" locked="0" layoutInCell="0" allowOverlap="1">
            <wp:simplePos x="0" y="0"/>
            <wp:positionH relativeFrom="column">
              <wp:posOffset>6731000</wp:posOffset>
            </wp:positionH>
            <wp:positionV relativeFrom="paragraph">
              <wp:posOffset>-6985</wp:posOffset>
            </wp:positionV>
            <wp:extent cx="58420" cy="762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8420" cy="7620"/>
                    </a:xfrm>
                    <a:prstGeom prst="rect">
                      <a:avLst/>
                    </a:prstGeom>
                    <a:noFill/>
                  </pic:spPr>
                </pic:pic>
              </a:graphicData>
            </a:graphic>
          </wp:anchor>
        </w:drawing>
      </w:r>
    </w:p>
    <w:p>
      <w:pPr>
        <w:spacing w:after="0" w:line="146" w:lineRule="exact"/>
        <w:rPr>
          <w:sz w:val="20"/>
          <w:szCs w:val="20"/>
          <w:color w:val="auto"/>
        </w:rPr>
      </w:pPr>
    </w:p>
    <w:p>
      <w:pPr>
        <w:jc w:val="both"/>
        <w:ind w:firstLine="511"/>
        <w:spacing w:after="0" w:line="347" w:lineRule="auto"/>
        <w:rPr>
          <w:sz w:val="20"/>
          <w:szCs w:val="20"/>
          <w:color w:val="auto"/>
        </w:rPr>
      </w:pPr>
      <w:r>
        <w:rPr>
          <w:rFonts w:ascii="MS PGothic" w:cs="MS PGothic" w:eastAsia="MS PGothic" w:hAnsi="MS PGothic"/>
          <w:sz w:val="15"/>
          <w:szCs w:val="15"/>
          <w:color w:val="auto"/>
        </w:rPr>
        <w:t>The table above does not include optons to extend lease terms that are not reasonably certain of being exercised or leases signed but not yet commenced as of December 31, 2023. As of December 31, 2023, there were no leases signed but not commenced.</w:t>
      </w:r>
    </w:p>
    <w:p>
      <w:pPr>
        <w:spacing w:after="0" w:line="119" w:lineRule="exact"/>
        <w:rPr>
          <w:sz w:val="20"/>
          <w:szCs w:val="20"/>
          <w:color w:val="auto"/>
        </w:rPr>
      </w:pPr>
    </w:p>
    <w:p>
      <w:pPr>
        <w:ind w:left="500"/>
        <w:spacing w:after="0"/>
        <w:rPr>
          <w:sz w:val="20"/>
          <w:szCs w:val="20"/>
          <w:color w:val="auto"/>
        </w:rPr>
      </w:pPr>
      <w:r>
        <w:rPr>
          <w:rFonts w:ascii="MS PGothic" w:cs="MS PGothic" w:eastAsia="MS PGothic" w:hAnsi="MS PGothic"/>
          <w:sz w:val="15"/>
          <w:szCs w:val="15"/>
          <w:color w:val="auto"/>
        </w:rPr>
        <w:t>As of December 31, 2023, future minimum sublease income payments are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560" w:type="dxa"/>
        <w:tblCellMar>
          <w:top w:w="0" w:type="dxa"/>
          <w:left w:w="0" w:type="dxa"/>
          <w:bottom w:w="0" w:type="dxa"/>
          <w:right w:w="0" w:type="dxa"/>
        </w:tblCellMar>
      </w:tblPr>
      <w:tr>
        <w:trPr>
          <w:trHeight w:val="146"/>
        </w:trPr>
        <w:tc>
          <w:tcPr>
            <w:tcW w:w="8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gridSpan w:val="2"/>
          </w:tcPr>
          <w:p>
            <w:pPr>
              <w:jc w:val="center"/>
              <w:ind w:right="340"/>
              <w:spacing w:after="0"/>
              <w:rPr>
                <w:sz w:val="20"/>
                <w:szCs w:val="20"/>
                <w:color w:val="auto"/>
              </w:rPr>
            </w:pPr>
            <w:r>
              <w:rPr>
                <w:rFonts w:ascii="Calibri" w:cs="Calibri" w:eastAsia="Calibri" w:hAnsi="Calibri"/>
                <w:sz w:val="12"/>
                <w:szCs w:val="12"/>
                <w:b w:val="1"/>
                <w:bCs w:val="1"/>
                <w:color w:val="auto"/>
              </w:rPr>
              <w:t>Sublease</w:t>
            </w:r>
          </w:p>
        </w:tc>
      </w:tr>
      <w:tr>
        <w:trPr>
          <w:trHeight w:val="150"/>
        </w:trPr>
        <w:tc>
          <w:tcPr>
            <w:tcW w:w="8120" w:type="dxa"/>
            <w:vAlign w:val="bottom"/>
          </w:tcPr>
          <w:p>
            <w:pPr>
              <w:spacing w:after="0"/>
              <w:rPr>
                <w:sz w:val="20"/>
                <w:szCs w:val="20"/>
                <w:color w:val="auto"/>
              </w:rPr>
            </w:pPr>
            <w:r>
              <w:rPr>
                <w:rFonts w:ascii="Calibri" w:cs="Calibri" w:eastAsia="Calibri" w:hAnsi="Calibri"/>
                <w:sz w:val="12"/>
                <w:szCs w:val="12"/>
                <w:b w:val="1"/>
                <w:bCs w:val="1"/>
                <w:color w:val="auto"/>
              </w:rPr>
              <w:t>Year Ending December 31,</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gridSpan w:val="2"/>
          </w:tcPr>
          <w:p>
            <w:pPr>
              <w:jc w:val="center"/>
              <w:ind w:right="340"/>
              <w:spacing w:after="0"/>
              <w:rPr>
                <w:sz w:val="20"/>
                <w:szCs w:val="20"/>
                <w:color w:val="auto"/>
              </w:rPr>
            </w:pPr>
            <w:r>
              <w:rPr>
                <w:rFonts w:ascii="Calibri" w:cs="Calibri" w:eastAsia="Calibri" w:hAnsi="Calibri"/>
                <w:sz w:val="12"/>
                <w:szCs w:val="12"/>
                <w:b w:val="1"/>
                <w:bCs w:val="1"/>
                <w:color w:val="auto"/>
              </w:rPr>
              <w:t>Income Payments</w:t>
            </w:r>
          </w:p>
        </w:tc>
      </w:tr>
      <w:tr>
        <w:trPr>
          <w:trHeight w:val="28"/>
        </w:trPr>
        <w:tc>
          <w:tcPr>
            <w:tcW w:w="8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79"/>
        </w:trPr>
        <w:tc>
          <w:tcPr>
            <w:tcW w:w="8120" w:type="dxa"/>
            <w:vAlign w:val="bottom"/>
            <w:tcBorders>
              <w:bottom w:val="single" w:sz="8" w:color="CFF0FC"/>
            </w:tcBorders>
            <w:shd w:val="clear" w:color="auto" w:fill="CFF0FC"/>
          </w:tcPr>
          <w:p>
            <w:pPr>
              <w:spacing w:after="0"/>
              <w:rPr>
                <w:sz w:val="20"/>
                <w:szCs w:val="20"/>
                <w:color w:val="auto"/>
              </w:rPr>
            </w:pPr>
            <w:r>
              <w:rPr>
                <w:rFonts w:ascii="MS PGothic" w:cs="MS PGothic" w:eastAsia="MS PGothic" w:hAnsi="MS PGothic"/>
                <w:sz w:val="15"/>
                <w:szCs w:val="15"/>
                <w:color w:val="auto"/>
              </w:rPr>
              <w:t>2024</w:t>
            </w:r>
          </w:p>
        </w:tc>
        <w:tc>
          <w:tcPr>
            <w:tcW w:w="460" w:type="dxa"/>
            <w:vAlign w:val="bottom"/>
            <w:tcBorders>
              <w:bottom w:val="single" w:sz="8" w:color="CFF0FC"/>
            </w:tcBorders>
            <w:gridSpan w:val="2"/>
            <w:shd w:val="clear" w:color="auto" w:fill="CFF0FC"/>
          </w:tcPr>
          <w:p>
            <w:pPr>
              <w:jc w:val="right"/>
              <w:ind w:right="83"/>
              <w:spacing w:after="0"/>
              <w:rPr>
                <w:sz w:val="20"/>
                <w:szCs w:val="20"/>
                <w:color w:val="auto"/>
              </w:rPr>
            </w:pPr>
            <w:r>
              <w:rPr>
                <w:rFonts w:ascii="MS PGothic" w:cs="MS PGothic" w:eastAsia="MS PGothic" w:hAnsi="MS PGothic"/>
                <w:sz w:val="15"/>
                <w:szCs w:val="15"/>
                <w:color w:val="auto"/>
              </w:rPr>
              <w:t>$</w:t>
            </w:r>
          </w:p>
        </w:tc>
        <w:tc>
          <w:tcPr>
            <w:tcW w:w="1460" w:type="dxa"/>
            <w:vAlign w:val="bottom"/>
            <w:tcBorders>
              <w:bottom w:val="single" w:sz="8" w:color="CFF0FC"/>
            </w:tcBorders>
            <w:shd w:val="clear" w:color="auto" w:fill="CFF0FC"/>
          </w:tcPr>
          <w:p>
            <w:pPr>
              <w:jc w:val="right"/>
              <w:spacing w:after="0"/>
              <w:rPr>
                <w:sz w:val="20"/>
                <w:szCs w:val="20"/>
                <w:color w:val="auto"/>
              </w:rPr>
            </w:pPr>
            <w:r>
              <w:rPr>
                <w:rFonts w:ascii="MS PGothic" w:cs="MS PGothic" w:eastAsia="MS PGothic" w:hAnsi="MS PGothic"/>
                <w:sz w:val="15"/>
                <w:szCs w:val="15"/>
                <w:color w:val="auto"/>
              </w:rPr>
              <w:t>2,318</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83"/>
        </w:trPr>
        <w:tc>
          <w:tcPr>
            <w:tcW w:w="8120" w:type="dxa"/>
            <w:vAlign w:val="bottom"/>
          </w:tcPr>
          <w:p>
            <w:pPr>
              <w:spacing w:after="0"/>
              <w:rPr>
                <w:sz w:val="20"/>
                <w:szCs w:val="20"/>
                <w:color w:val="auto"/>
              </w:rPr>
            </w:pPr>
            <w:r>
              <w:rPr>
                <w:rFonts w:ascii="MS PGothic" w:cs="MS PGothic" w:eastAsia="MS PGothic" w:hAnsi="MS PGothic"/>
                <w:sz w:val="15"/>
                <w:szCs w:val="15"/>
                <w:color w:val="auto"/>
              </w:rPr>
              <w:t>2025</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MS PGothic" w:cs="MS PGothic" w:eastAsia="MS PGothic" w:hAnsi="MS PGothic"/>
                <w:sz w:val="15"/>
                <w:szCs w:val="15"/>
                <w:color w:val="auto"/>
              </w:rPr>
              <w:t>1,418</w:t>
            </w:r>
          </w:p>
        </w:tc>
        <w:tc>
          <w:tcPr>
            <w:tcW w:w="100" w:type="dxa"/>
            <w:vAlign w:val="bottom"/>
          </w:tcPr>
          <w:p>
            <w:pPr>
              <w:spacing w:after="0"/>
              <w:rPr>
                <w:sz w:val="15"/>
                <w:szCs w:val="15"/>
                <w:color w:val="auto"/>
              </w:rPr>
            </w:pPr>
          </w:p>
        </w:tc>
      </w:tr>
      <w:tr>
        <w:trPr>
          <w:trHeight w:val="24"/>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7"/>
        </w:trPr>
        <w:tc>
          <w:tcPr>
            <w:tcW w:w="8120" w:type="dxa"/>
            <w:vAlign w:val="bottom"/>
            <w:tcBorders>
              <w:bottom w:val="single" w:sz="8" w:color="CFF0FC"/>
            </w:tcBorders>
            <w:shd w:val="clear" w:color="auto" w:fill="CFF0FC"/>
          </w:tcPr>
          <w:p>
            <w:pPr>
              <w:spacing w:after="0"/>
              <w:rPr>
                <w:sz w:val="20"/>
                <w:szCs w:val="20"/>
                <w:color w:val="auto"/>
              </w:rPr>
            </w:pPr>
            <w:r>
              <w:rPr>
                <w:rFonts w:ascii="MS PGothic" w:cs="MS PGothic" w:eastAsia="MS PGothic" w:hAnsi="MS PGothic"/>
                <w:sz w:val="15"/>
                <w:szCs w:val="15"/>
                <w:color w:val="auto"/>
              </w:rPr>
              <w:t>2026</w:t>
            </w:r>
          </w:p>
        </w:tc>
        <w:tc>
          <w:tcPr>
            <w:tcW w:w="22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156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MS PGothic" w:cs="MS PGothic" w:eastAsia="MS PGothic" w:hAnsi="MS PGothic"/>
                <w:sz w:val="15"/>
                <w:szCs w:val="15"/>
                <w:color w:val="auto"/>
              </w:rPr>
              <w:t>—</w:t>
            </w:r>
          </w:p>
        </w:tc>
      </w:tr>
      <w:tr>
        <w:trPr>
          <w:trHeight w:val="183"/>
        </w:trPr>
        <w:tc>
          <w:tcPr>
            <w:tcW w:w="8120" w:type="dxa"/>
            <w:vAlign w:val="bottom"/>
          </w:tcPr>
          <w:p>
            <w:pPr>
              <w:spacing w:after="0"/>
              <w:rPr>
                <w:sz w:val="20"/>
                <w:szCs w:val="20"/>
                <w:color w:val="auto"/>
              </w:rPr>
            </w:pPr>
            <w:r>
              <w:rPr>
                <w:rFonts w:ascii="MS PGothic" w:cs="MS PGothic" w:eastAsia="MS PGothic" w:hAnsi="MS PGothic"/>
                <w:sz w:val="15"/>
                <w:szCs w:val="15"/>
                <w:color w:val="auto"/>
              </w:rPr>
              <w:t>2027</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gridSpan w:val="2"/>
          </w:tcPr>
          <w:p>
            <w:pPr>
              <w:jc w:val="right"/>
              <w:ind w:right="100"/>
              <w:spacing w:after="0"/>
              <w:rPr>
                <w:sz w:val="20"/>
                <w:szCs w:val="20"/>
                <w:color w:val="auto"/>
              </w:rPr>
            </w:pPr>
            <w:r>
              <w:rPr>
                <w:rFonts w:ascii="MS PGothic" w:cs="MS PGothic" w:eastAsia="MS PGothic" w:hAnsi="MS PGothic"/>
                <w:sz w:val="15"/>
                <w:szCs w:val="15"/>
                <w:color w:val="auto"/>
              </w:rPr>
              <w:t>—</w:t>
            </w:r>
          </w:p>
        </w:tc>
      </w:tr>
      <w:tr>
        <w:trPr>
          <w:trHeight w:val="24"/>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7"/>
        </w:trPr>
        <w:tc>
          <w:tcPr>
            <w:tcW w:w="8120" w:type="dxa"/>
            <w:vAlign w:val="bottom"/>
            <w:tcBorders>
              <w:bottom w:val="single" w:sz="8" w:color="CFF0FC"/>
            </w:tcBorders>
            <w:shd w:val="clear" w:color="auto" w:fill="CFF0FC"/>
          </w:tcPr>
          <w:p>
            <w:pPr>
              <w:spacing w:after="0"/>
              <w:rPr>
                <w:sz w:val="20"/>
                <w:szCs w:val="20"/>
                <w:color w:val="auto"/>
              </w:rPr>
            </w:pPr>
            <w:r>
              <w:rPr>
                <w:rFonts w:ascii="MS PGothic" w:cs="MS PGothic" w:eastAsia="MS PGothic" w:hAnsi="MS PGothic"/>
                <w:sz w:val="15"/>
                <w:szCs w:val="15"/>
                <w:color w:val="auto"/>
              </w:rPr>
              <w:t>2028</w:t>
            </w:r>
          </w:p>
        </w:tc>
        <w:tc>
          <w:tcPr>
            <w:tcW w:w="22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156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MS PGothic" w:cs="MS PGothic" w:eastAsia="MS PGothic" w:hAnsi="MS PGothic"/>
                <w:sz w:val="15"/>
                <w:szCs w:val="15"/>
                <w:color w:val="auto"/>
              </w:rPr>
              <w:t>—</w:t>
            </w:r>
          </w:p>
        </w:tc>
      </w:tr>
      <w:tr>
        <w:trPr>
          <w:trHeight w:val="183"/>
        </w:trPr>
        <w:tc>
          <w:tcPr>
            <w:tcW w:w="8120" w:type="dxa"/>
            <w:vAlign w:val="bottom"/>
          </w:tcPr>
          <w:p>
            <w:pPr>
              <w:spacing w:after="0"/>
              <w:rPr>
                <w:sz w:val="20"/>
                <w:szCs w:val="20"/>
                <w:color w:val="auto"/>
              </w:rPr>
            </w:pPr>
            <w:r>
              <w:rPr>
                <w:rFonts w:ascii="MS PGothic" w:cs="MS PGothic" w:eastAsia="MS PGothic" w:hAnsi="MS PGothic"/>
                <w:sz w:val="15"/>
                <w:szCs w:val="15"/>
                <w:color w:val="auto"/>
              </w:rPr>
              <w:t>Thereafer</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gridSpan w:val="2"/>
          </w:tcPr>
          <w:p>
            <w:pPr>
              <w:jc w:val="right"/>
              <w:ind w:right="100"/>
              <w:spacing w:after="0"/>
              <w:rPr>
                <w:sz w:val="20"/>
                <w:szCs w:val="20"/>
                <w:color w:val="auto"/>
              </w:rPr>
            </w:pPr>
            <w:r>
              <w:rPr>
                <w:rFonts w:ascii="MS PGothic" w:cs="MS PGothic" w:eastAsia="MS PGothic" w:hAnsi="MS PGothic"/>
                <w:sz w:val="15"/>
                <w:szCs w:val="15"/>
                <w:color w:val="auto"/>
              </w:rPr>
              <w:t>—</w:t>
            </w:r>
          </w:p>
        </w:tc>
      </w:tr>
      <w:tr>
        <w:trPr>
          <w:trHeight w:val="24"/>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24"/>
        </w:trPr>
        <w:tc>
          <w:tcPr>
            <w:tcW w:w="8120" w:type="dxa"/>
            <w:vAlign w:val="bottom"/>
            <w:tcBorders>
              <w:bottom w:val="single" w:sz="8" w:color="CFF0FC"/>
            </w:tcBorders>
            <w:shd w:val="clear" w:color="auto" w:fill="CFF0FC"/>
          </w:tcPr>
          <w:p>
            <w:pPr>
              <w:ind w:left="240"/>
              <w:spacing w:after="0"/>
              <w:rPr>
                <w:sz w:val="20"/>
                <w:szCs w:val="20"/>
                <w:color w:val="auto"/>
              </w:rPr>
            </w:pPr>
            <w:r>
              <w:rPr>
                <w:rFonts w:ascii="MS PGothic" w:cs="MS PGothic" w:eastAsia="MS PGothic" w:hAnsi="MS PGothic"/>
                <w:sz w:val="15"/>
                <w:szCs w:val="15"/>
                <w:color w:val="auto"/>
              </w:rPr>
              <w:t>Total</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jc w:val="right"/>
              <w:ind w:right="83"/>
              <w:spacing w:after="0"/>
              <w:rPr>
                <w:sz w:val="20"/>
                <w:szCs w:val="20"/>
                <w:color w:val="auto"/>
              </w:rPr>
            </w:pPr>
            <w:r>
              <w:rPr>
                <w:rFonts w:ascii="MS PGothic" w:cs="MS PGothic" w:eastAsia="MS PGothic" w:hAnsi="MS PGothic"/>
                <w:sz w:val="15"/>
                <w:szCs w:val="15"/>
                <w:color w:val="auto"/>
                <w:w w:val="79"/>
              </w:rPr>
              <w:t>$</w:t>
            </w:r>
          </w:p>
        </w:tc>
        <w:tc>
          <w:tcPr>
            <w:tcW w:w="1460" w:type="dxa"/>
            <w:vAlign w:val="bottom"/>
            <w:tcBorders>
              <w:bottom w:val="single" w:sz="8" w:color="CFF0FC"/>
            </w:tcBorders>
            <w:shd w:val="clear" w:color="auto" w:fill="CFF0FC"/>
          </w:tcPr>
          <w:p>
            <w:pPr>
              <w:jc w:val="right"/>
              <w:spacing w:after="0"/>
              <w:rPr>
                <w:sz w:val="20"/>
                <w:szCs w:val="20"/>
                <w:color w:val="auto"/>
              </w:rPr>
            </w:pPr>
            <w:r>
              <w:rPr>
                <w:rFonts w:ascii="MS PGothic" w:cs="MS PGothic" w:eastAsia="MS PGothic" w:hAnsi="MS PGothic"/>
                <w:sz w:val="15"/>
                <w:szCs w:val="15"/>
                <w:color w:val="auto"/>
              </w:rPr>
              <w:t>3,736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8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6731000</wp:posOffset>
            </wp:positionH>
            <wp:positionV relativeFrom="paragraph">
              <wp:posOffset>-21590</wp:posOffset>
            </wp:positionV>
            <wp:extent cx="58420" cy="762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8420" cy="7620"/>
                    </a:xfrm>
                    <a:prstGeom prst="rect">
                      <a:avLst/>
                    </a:prstGeom>
                    <a:noFill/>
                  </pic:spPr>
                </pic:pic>
              </a:graphicData>
            </a:graphic>
          </wp:anchor>
        </w:drawing>
        <w:drawing>
          <wp:anchor simplePos="0" relativeHeight="251657728" behindDoc="1" locked="0" layoutInCell="0" allowOverlap="1">
            <wp:simplePos x="0" y="0"/>
            <wp:positionH relativeFrom="column">
              <wp:posOffset>6731000</wp:posOffset>
            </wp:positionH>
            <wp:positionV relativeFrom="paragraph">
              <wp:posOffset>-6985</wp:posOffset>
            </wp:positionV>
            <wp:extent cx="58420" cy="762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8420" cy="7620"/>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Calibri" w:cs="Calibri" w:eastAsia="Calibri" w:hAnsi="Calibri"/>
          <w:sz w:val="15"/>
          <w:szCs w:val="15"/>
          <w:i w:val="1"/>
          <w:iCs w:val="1"/>
          <w:color w:val="auto"/>
        </w:rPr>
        <w:t>Restricted Cash</w:t>
      </w:r>
    </w:p>
    <w:p>
      <w:pPr>
        <w:spacing w:after="0" w:line="185" w:lineRule="exact"/>
        <w:rPr>
          <w:sz w:val="20"/>
          <w:szCs w:val="20"/>
          <w:color w:val="auto"/>
        </w:rPr>
      </w:pPr>
    </w:p>
    <w:p>
      <w:pPr>
        <w:jc w:val="both"/>
        <w:ind w:firstLine="511"/>
        <w:spacing w:after="0" w:line="312" w:lineRule="auto"/>
        <w:rPr>
          <w:sz w:val="20"/>
          <w:szCs w:val="20"/>
          <w:color w:val="auto"/>
        </w:rPr>
      </w:pPr>
      <w:r>
        <w:rPr>
          <w:rFonts w:ascii="MS PGothic" w:cs="MS PGothic" w:eastAsia="MS PGothic" w:hAnsi="MS PGothic"/>
          <w:sz w:val="15"/>
          <w:szCs w:val="15"/>
          <w:color w:val="auto"/>
        </w:rPr>
        <w:t>As of December 31, 2023, $9,627 in leters of credit associated with the Company's leases were included under the 2022 Revolver Sub-facility. During the year ended December 31, 2023, the Company canceled three leters of credit associated with the 1001 Boylston, the San Francisco, and the Cambridge (55 Cambridge Parkway) leases and reissued these leters of credit under the 2022 Revolver Sub-facility. As of December 31, 2022, all leters of credit were collateralized by cash, which was recognized as restricted cash in the consolidated balance sheets.</w:t>
      </w:r>
    </w:p>
    <w:p>
      <w:pPr>
        <w:spacing w:after="0" w:line="140" w:lineRule="exact"/>
        <w:rPr>
          <w:sz w:val="20"/>
          <w:szCs w:val="20"/>
          <w:color w:val="auto"/>
        </w:rPr>
      </w:pPr>
    </w:p>
    <w:p>
      <w:pPr>
        <w:jc w:val="both"/>
        <w:ind w:firstLine="511"/>
        <w:spacing w:after="0" w:line="320" w:lineRule="auto"/>
        <w:rPr>
          <w:sz w:val="20"/>
          <w:szCs w:val="20"/>
          <w:color w:val="auto"/>
        </w:rPr>
      </w:pPr>
      <w:r>
        <w:rPr>
          <w:rFonts w:ascii="MS PGothic" w:cs="MS PGothic" w:eastAsia="MS PGothic" w:hAnsi="MS PGothic"/>
          <w:sz w:val="15"/>
          <w:szCs w:val="15"/>
          <w:color w:val="auto"/>
        </w:rPr>
        <w:t>As of December 31, 2023, restricted cash was $2,563 and primarily related to pass-through payments from customers related to the Company's Digital Wholesale business. As of December 31, 2022, restricted cash was $14,615 and primarily related to cash held at a fnancial insttuton in an interest‑bearing cash account as collateral for the leters of credit related to the contractual provisions for the Company’s building leases and pass-through payments from customers related to the Company’s Digital Wholesale business.</w:t>
      </w:r>
    </w:p>
    <w:p>
      <w:pPr>
        <w:spacing w:after="0" w:line="136" w:lineRule="exact"/>
        <w:rPr>
          <w:sz w:val="20"/>
          <w:szCs w:val="20"/>
          <w:color w:val="auto"/>
        </w:rPr>
      </w:pPr>
    </w:p>
    <w:p>
      <w:pPr>
        <w:jc w:val="both"/>
        <w:ind w:firstLine="511"/>
        <w:spacing w:after="0" w:line="312" w:lineRule="auto"/>
        <w:rPr>
          <w:sz w:val="20"/>
          <w:szCs w:val="20"/>
          <w:color w:val="auto"/>
        </w:rPr>
      </w:pPr>
      <w:r>
        <w:rPr>
          <w:rFonts w:ascii="MS PGothic" w:cs="MS PGothic" w:eastAsia="MS PGothic" w:hAnsi="MS PGothic"/>
          <w:sz w:val="15"/>
          <w:szCs w:val="15"/>
          <w:color w:val="auto"/>
        </w:rPr>
        <w:t>As of December 31, 2023, all restricted cash was classifed as a short-term asset, as disclosed in the consolidated balance sheets. As of December 31, 2022, portons of restricted cash were classifed as a short-term asset and long‑term asset, as disclosed in the consolidated balance sheets. Of the leters of credit outstanding as of December 31, 2022, the Company canceled a leter of credit associated with the Cambridge (2 Canal Park) lease, however, the cash was recognized as restricted cash as of March 31, 2023, untl it was released from the bank.</w:t>
      </w:r>
    </w:p>
    <w:p>
      <w:pPr>
        <w:spacing w:after="0" w:line="140" w:lineRule="exact"/>
        <w:rPr>
          <w:sz w:val="20"/>
          <w:szCs w:val="20"/>
          <w:color w:val="auto"/>
        </w:rPr>
      </w:pPr>
    </w:p>
    <w:p>
      <w:pPr>
        <w:jc w:val="center"/>
        <w:spacing w:after="0"/>
        <w:rPr>
          <w:sz w:val="20"/>
          <w:szCs w:val="20"/>
          <w:color w:val="auto"/>
        </w:rPr>
      </w:pPr>
      <w:r>
        <w:rPr>
          <w:rFonts w:ascii="MS PGothic" w:cs="MS PGothic" w:eastAsia="MS PGothic" w:hAnsi="MS PGothic"/>
          <w:sz w:val="15"/>
          <w:szCs w:val="15"/>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422275</wp:posOffset>
            </wp:positionV>
            <wp:extent cx="7178040" cy="4000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3" w:right="319" w:bottom="1440" w:gutter="0" w:footer="0" w:header="0"/>
        </w:sectPr>
      </w:pPr>
    </w:p>
    <w:bookmarkStart w:id="119" w:name="page120"/>
    <w:bookmarkEnd w:id="119"/>
    <w:p>
      <w:pPr>
        <w:spacing w:after="0"/>
        <w:rPr>
          <w:sz w:val="20"/>
          <w:szCs w:val="20"/>
          <w:color w:val="auto"/>
        </w:rPr>
      </w:pPr>
      <w:r>
        <w:rPr>
          <w:rFonts w:ascii="Calibri" w:cs="Calibri" w:eastAsia="Calibri" w:hAnsi="Calibri"/>
          <w:sz w:val="15"/>
          <w:szCs w:val="15"/>
          <w:i w:val="1"/>
          <w:iCs w:val="1"/>
          <w:color w:val="auto"/>
        </w:rPr>
        <w:t>Legal Maters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From tme to tme, the Company may become involved in legal proceedings or be subject to claims arising in the ordinary course of its business. The Company recognizes a liability when it believes that it is both probable that a liability has been incurred and the amount of loss can be reasonably estmated. Judgment is required to determine both the probability of having incurred a liability and the estmated amount of the liability. The Company is not presently subject to any pending or threatened litgaton that it believes, if determined adversely to the Company, individually, or taken together, would reasonably be expected to have a material adverse efect on its business or fnancial results. However, litgaton is inherently unpredictable and the future outcome of legal proceedings and other contngencies may be unexpected or difer from the Company’s estmated liabilites, which could have a material adverse efect on the Company’s future fnancial results.</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i w:val="1"/>
          <w:iCs w:val="1"/>
          <w:color w:val="auto"/>
        </w:rPr>
        <w:t>Guarantees and Indemnifcaton Obligatons</w:t>
      </w:r>
    </w:p>
    <w:p>
      <w:pPr>
        <w:spacing w:after="0" w:line="93" w:lineRule="exact"/>
        <w:rPr>
          <w:sz w:val="20"/>
          <w:szCs w:val="20"/>
          <w:color w:val="auto"/>
        </w:rPr>
      </w:pPr>
    </w:p>
    <w:p>
      <w:pPr>
        <w:jc w:val="both"/>
        <w:ind w:right="20" w:firstLine="511"/>
        <w:spacing w:after="0" w:line="241" w:lineRule="auto"/>
        <w:rPr>
          <w:sz w:val="20"/>
          <w:szCs w:val="20"/>
          <w:color w:val="auto"/>
        </w:rPr>
      </w:pPr>
      <w:r>
        <w:rPr>
          <w:rFonts w:ascii="Calibri" w:cs="Calibri" w:eastAsia="Calibri" w:hAnsi="Calibri"/>
          <w:sz w:val="15"/>
          <w:szCs w:val="15"/>
          <w:color w:val="auto"/>
        </w:rPr>
        <w:t>In the ordinary course of business, the Company enters into agreements with its customers, partners, and service providers that include commercial provisions with respect to licensing, infringement, guarantees, indemnifcaton, and other common provisions.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The Company provides certain guarantees to dealers through products such as its 45-Day Guarantee and OferGuard service oferings on the CarOfer platorm, which are accounted for under ASC 460.</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45-Day Guarantee is an arrangement through which a selling dealer lists a car on the CarOfer platorm, and the Company provides an ofer to purchase the vehicle listed at a specifed price at any tme over a 45-day period. This provides the seller with a put opton, where they have the right, but not the obligaton, to require the Company to purchase the vehicle during this window. OferGuard is an arrangement through which a buying dealer purchases a car on the CarOfer platorm, and the Company provides an ofer to purchase the vehicle at a specifed price between days 1 and 3, and days 42 and 45 if the dealer is not able to sell the vehicle afer 42 days.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A guarantee liability is initally measured using the amount of consideraton received from the dealer for the purchase of the guarantee. The inital liability is released, and guarantee income is recognized, upon the earliest of the following: the vehicle sells during the guarantee period, the seller exercises its put opton during the guarantee period, or the opton expires unexercised at the end of the guarantee period. Guarantee income is recognized within wholesale revenue in the consolidated income statements. Gains and losses resultng from dealers' exercise of guarantees are recognized within wholesale cost of revenue in the consolidated income statements. When it is probable and reasonably estmable that the Company will incur a loss on a vehicle that it is required to purchase, a liability and a corresponding charge to wholesale cost of revenue is recognized for the amount of the loss in the consolidated balance sheets and the consolidated income statements, respectvely. Gains and losses resultng from the dealers exercise of guarantees are recognized within wholesale cost of revenue, as appropriate, in the consolidated income statements.</w:t>
      </w:r>
    </w:p>
    <w:p>
      <w:pPr>
        <w:spacing w:after="0" w:line="186" w:lineRule="exact"/>
        <w:rPr>
          <w:sz w:val="20"/>
          <w:szCs w:val="20"/>
          <w:color w:val="auto"/>
        </w:rPr>
      </w:pPr>
    </w:p>
    <w:p>
      <w:pPr>
        <w:jc w:val="both"/>
        <w:ind w:firstLine="511"/>
        <w:spacing w:after="0" w:line="275" w:lineRule="auto"/>
        <w:rPr>
          <w:sz w:val="20"/>
          <w:szCs w:val="20"/>
          <w:color w:val="auto"/>
        </w:rPr>
      </w:pPr>
      <w:r>
        <w:rPr>
          <w:rFonts w:ascii="Calibri" w:cs="Calibri" w:eastAsia="Calibri" w:hAnsi="Calibri"/>
          <w:sz w:val="14"/>
          <w:szCs w:val="14"/>
          <w:color w:val="auto"/>
        </w:rPr>
        <w:t>For the years ended December 31, 2023 and 2022 income for guarantees purchased by dealers was $1,890 and $10,026, respectvely. For the year ended December 31, 2023 and 2022, the loss, net of gains, recognized within cost of revenue in the consolidated income statements resultng from dealers' exercise of guarantees was $417 and $4,568, respectvely.</w:t>
      </w:r>
    </w:p>
    <w:p>
      <w:pPr>
        <w:spacing w:after="0" w:line="161"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As of December 31, 2023, the maximum potental amount of future payments that the Company could be required to make under these guarantees was $10,158. Of the maximum potental amount of future payments, the losses that were probable were not material. As such, as of December 31, 2023, the Company had no material contngent loss liabilites.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As of December 31, 2022, the maximum potental amount of future payments that the Company could be required to make under these guarantees was $31,056. Of the maximum potental amount of future payments, the losses that were probable were not material. As such, as of December 31, 2022, the Company had no material contngent loss liabilites.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As of December 31, 2021, the maximum potental amount of future payments that the Company could be required to make under these guarantees was $76,075. Of the maximum potental amount of future payments, none were considered probable. The exercise of guarantees has historically been infrequent and even when such exercises did occur, the losses were not material. As such, as of December 31, 2021, the Company had no contngent loss liabilites.</w:t>
      </w:r>
    </w:p>
    <w:p>
      <w:pPr>
        <w:spacing w:after="0" w:line="185" w:lineRule="exact"/>
        <w:rPr>
          <w:sz w:val="20"/>
          <w:szCs w:val="20"/>
          <w:color w:val="auto"/>
        </w:rPr>
      </w:pPr>
    </w:p>
    <w:p>
      <w:pPr>
        <w:jc w:val="center"/>
        <w:spacing w:after="0"/>
        <w:rPr>
          <w:sz w:val="20"/>
          <w:szCs w:val="20"/>
          <w:color w:val="auto"/>
        </w:rPr>
      </w:pPr>
      <w:r>
        <w:rPr>
          <w:rFonts w:ascii="Calibri" w:cs="Calibri" w:eastAsia="Calibri" w:hAnsi="Calibri"/>
          <w:sz w:val="15"/>
          <w:szCs w:val="15"/>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408940</wp:posOffset>
            </wp:positionV>
            <wp:extent cx="7178040" cy="4000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3" w:right="319" w:bottom="1440" w:gutter="0" w:footer="0" w:header="0"/>
        </w:sectPr>
      </w:pPr>
    </w:p>
    <w:bookmarkStart w:id="120" w:name="page121"/>
    <w:bookmarkEnd w:id="120"/>
    <w:p>
      <w:pPr>
        <w:ind w:left="8"/>
        <w:spacing w:after="0"/>
        <w:rPr>
          <w:sz w:val="20"/>
          <w:szCs w:val="20"/>
          <w:color w:val="auto"/>
        </w:rPr>
      </w:pPr>
      <w:r>
        <w:rPr>
          <w:rFonts w:ascii="MS PGothic" w:cs="MS PGothic" w:eastAsia="MS PGothic" w:hAnsi="MS PGothic"/>
          <w:sz w:val="15"/>
          <w:szCs w:val="15"/>
          <w:b w:val="1"/>
          <w:bCs w:val="1"/>
          <w:color w:val="auto"/>
        </w:rPr>
        <w:t>11. Stock‑based Compensaton</w:t>
      </w:r>
    </w:p>
    <w:p>
      <w:pPr>
        <w:spacing w:after="0" w:line="218" w:lineRule="exact"/>
        <w:rPr>
          <w:sz w:val="20"/>
          <w:szCs w:val="20"/>
          <w:color w:val="auto"/>
        </w:rPr>
      </w:pPr>
    </w:p>
    <w:p>
      <w:pPr>
        <w:ind w:left="8"/>
        <w:spacing w:after="0"/>
        <w:rPr>
          <w:sz w:val="20"/>
          <w:szCs w:val="20"/>
          <w:color w:val="auto"/>
        </w:rPr>
      </w:pPr>
      <w:r>
        <w:rPr>
          <w:rFonts w:ascii="Calibri" w:cs="Calibri" w:eastAsia="Calibri" w:hAnsi="Calibri"/>
          <w:sz w:val="15"/>
          <w:szCs w:val="15"/>
          <w:b w:val="1"/>
          <w:bCs w:val="1"/>
          <w:i w:val="1"/>
          <w:iCs w:val="1"/>
          <w:color w:val="auto"/>
        </w:rPr>
        <w:t>CarGurus Equity Incentve Plans</w:t>
      </w:r>
    </w:p>
    <w:p>
      <w:pPr>
        <w:spacing w:after="0" w:line="185" w:lineRule="exact"/>
        <w:rPr>
          <w:sz w:val="20"/>
          <w:szCs w:val="20"/>
          <w:color w:val="auto"/>
        </w:rPr>
      </w:pPr>
    </w:p>
    <w:p>
      <w:pPr>
        <w:jc w:val="both"/>
        <w:ind w:left="8" w:firstLine="511"/>
        <w:spacing w:after="0" w:line="241" w:lineRule="auto"/>
        <w:rPr>
          <w:sz w:val="20"/>
          <w:szCs w:val="20"/>
          <w:color w:val="auto"/>
        </w:rPr>
      </w:pPr>
      <w:r>
        <w:rPr>
          <w:rFonts w:ascii="Calibri" w:cs="Calibri" w:eastAsia="Calibri" w:hAnsi="Calibri"/>
          <w:sz w:val="15"/>
          <w:szCs w:val="15"/>
          <w:color w:val="auto"/>
        </w:rPr>
        <w:t>The Company’s Amended and Restated 2006 Equity Incentve Plan (the “2006 Plan”) provided for the issuance of non-qualifed stock optons, restricted stock, and stock awards to the Company’s employees, ofcers, directors, and consultants. The 2006 Plan authorized up to an aggregate of 3,444,668 shares of the Company's Class B common stock for such issuances. In conjuncton with the efectveness of the Company’s 2015 Equity Incentve Plan (the “2015 Plan”), the Board voted that no further stock optons or other equity-based awards may be granted under the 2006 Plan.</w:t>
      </w:r>
    </w:p>
    <w:p>
      <w:pPr>
        <w:spacing w:after="0" w:line="185" w:lineRule="exact"/>
        <w:rPr>
          <w:sz w:val="20"/>
          <w:szCs w:val="20"/>
          <w:color w:val="auto"/>
        </w:rPr>
      </w:pPr>
    </w:p>
    <w:p>
      <w:pPr>
        <w:jc w:val="both"/>
        <w:ind w:left="8" w:firstLine="511"/>
        <w:spacing w:after="0" w:line="241" w:lineRule="auto"/>
        <w:rPr>
          <w:sz w:val="20"/>
          <w:szCs w:val="20"/>
          <w:color w:val="auto"/>
        </w:rPr>
      </w:pPr>
      <w:r>
        <w:rPr>
          <w:rFonts w:ascii="Calibri" w:cs="Calibri" w:eastAsia="Calibri" w:hAnsi="Calibri"/>
          <w:sz w:val="15"/>
          <w:szCs w:val="15"/>
          <w:color w:val="auto"/>
        </w:rPr>
        <w:t>In 2015 the Board adopted the 2015 Plan, which became efectve on June 26, 2015. The 2015 Plan provided for the issuance of stock-based incentves to employees, consultants, and non-employee directors. As of the efectve date of the 2015 Plan, up to 603,436 shares of common stock were authorized for issuance under the 2015 Plan. The 2015 Plan was amended and restated efectve August 6, 2015 to permit the grantng of RSUs under the 2015 Plan, to remove Class B common stock from the pool of shares available for issuance under the 2015 Plan, and to make certain other desired changes. The 2015 Plan was further amended and restated at October 15, 2015 to add a ten-year term and to make certain other desired changes.</w:t>
      </w:r>
    </w:p>
    <w:p>
      <w:pPr>
        <w:spacing w:after="0" w:line="185" w:lineRule="exact"/>
        <w:rPr>
          <w:sz w:val="20"/>
          <w:szCs w:val="20"/>
          <w:color w:val="auto"/>
        </w:rPr>
      </w:pPr>
    </w:p>
    <w:p>
      <w:pPr>
        <w:jc w:val="both"/>
        <w:ind w:left="8" w:firstLine="511"/>
        <w:spacing w:after="0" w:line="258" w:lineRule="auto"/>
        <w:rPr>
          <w:sz w:val="20"/>
          <w:szCs w:val="20"/>
          <w:color w:val="auto"/>
        </w:rPr>
      </w:pPr>
      <w:r>
        <w:rPr>
          <w:rFonts w:ascii="Calibri" w:cs="Calibri" w:eastAsia="Calibri" w:hAnsi="Calibri"/>
          <w:sz w:val="14"/>
          <w:szCs w:val="14"/>
          <w:color w:val="auto"/>
        </w:rPr>
        <w:t>The 2015 Plan was further amended and restated efectve August 22, 2016 to merge the 2006 Plan into the 2015 Plan, to increase the number of shares of Class A common stock that may be issued under the 2015 Plan, and to lengthen the term of the 2015 Plan to expire on August 21, 2026. In additon, pursuant to this amendment and restatement of the 2015 Plan, prior to giving efect to the recapitalizaton that occurred on June 21, 2017, there were (i) 618,691 shares of Class A common stock, plus (ii) 802,562 shares of Class B common stock authorized under the 2015 Plan; provided, however, that (1) the number of shares of Class A common stock was increased, on a share for share basis, by the number of shares of Class B common stock that were (a) subject to outstanding optons granted under the 2006 Plan that expired, terminated, or were canceled for any reason without having been exercised,</w:t>
      </w:r>
    </w:p>
    <w:p>
      <w:pPr>
        <w:spacing w:after="0" w:line="2" w:lineRule="exact"/>
        <w:rPr>
          <w:sz w:val="20"/>
          <w:szCs w:val="20"/>
          <w:color w:val="auto"/>
        </w:rPr>
      </w:pPr>
    </w:p>
    <w:p>
      <w:pPr>
        <w:jc w:val="both"/>
        <w:ind w:left="8" w:hanging="8"/>
        <w:spacing w:after="0" w:line="241" w:lineRule="auto"/>
        <w:tabs>
          <w:tab w:leader="none" w:pos="226" w:val="left"/>
        </w:tabs>
        <w:numPr>
          <w:ilvl w:val="0"/>
          <w:numId w:val="29"/>
        </w:numPr>
        <w:rPr>
          <w:rFonts w:ascii="Calibri" w:cs="Calibri" w:eastAsia="Calibri" w:hAnsi="Calibri"/>
          <w:sz w:val="15"/>
          <w:szCs w:val="15"/>
          <w:color w:val="auto"/>
        </w:rPr>
      </w:pPr>
      <w:r>
        <w:rPr>
          <w:rFonts w:ascii="Calibri" w:cs="Calibri" w:eastAsia="Calibri" w:hAnsi="Calibri"/>
          <w:sz w:val="15"/>
          <w:szCs w:val="15"/>
          <w:color w:val="auto"/>
        </w:rPr>
        <w:t>surrendered in payment of the exercise price of outstanding optons granted under the 2006 Plan, or (c) withheld in satsfacton of tax withholding upon exercise of outstanding optons granted under the 2006 Plan, and the number of shares of Class B common stock reserved under the amended and restated 2015 Plan was decreased, on a corresponding share for share basis, (2) no new awards of Class B common stock could be granted under the amended and restated 2015 Plan, and (3) except with respect to outstanding optons granted under the 2006 Plan that were exercised on or afer the date of the amendment and restatement, no Class B common stock could be issued under the 2015 Plan.</w:t>
      </w:r>
    </w:p>
    <w:p>
      <w:pPr>
        <w:spacing w:after="0" w:line="185" w:lineRule="exact"/>
        <w:rPr>
          <w:sz w:val="20"/>
          <w:szCs w:val="20"/>
          <w:color w:val="auto"/>
        </w:rPr>
      </w:pPr>
    </w:p>
    <w:p>
      <w:pPr>
        <w:jc w:val="both"/>
        <w:ind w:left="8" w:firstLine="511"/>
        <w:spacing w:after="0" w:line="241" w:lineRule="auto"/>
        <w:rPr>
          <w:sz w:val="20"/>
          <w:szCs w:val="20"/>
          <w:color w:val="auto"/>
        </w:rPr>
      </w:pPr>
      <w:r>
        <w:rPr>
          <w:rFonts w:ascii="Calibri" w:cs="Calibri" w:eastAsia="Calibri" w:hAnsi="Calibri"/>
          <w:sz w:val="15"/>
          <w:szCs w:val="15"/>
          <w:color w:val="auto"/>
        </w:rPr>
        <w:t>In connecton with the recapitalizaton that occurred on June 21, 2017, the 2015 Plan was further amended and restated to account for each outstanding common stock opton being adjusted such that each share of common stock underlying such opton became two shares of Class A common stock and four shares of Class B common stock underlying such opton, and each outstanding RSU being adjusted such that each share of common stock issuable upon setlement of such RSU became two shares of Class A common stock and four shares of Class B common stock issuable upon setlement of such RSU. Pursuant to the 2015 Plan as further amended in connecton with the recapitalizaton, there were (i) 3,181,740 shares of Class A common stock and (ii) 5,161,644 shares of Class B common stock authorized for issuance under the 2015 Plan.</w:t>
      </w:r>
    </w:p>
    <w:p>
      <w:pPr>
        <w:spacing w:after="0" w:line="185" w:lineRule="exact"/>
        <w:rPr>
          <w:sz w:val="20"/>
          <w:szCs w:val="20"/>
          <w:color w:val="auto"/>
        </w:rPr>
      </w:pPr>
    </w:p>
    <w:p>
      <w:pPr>
        <w:jc w:val="center"/>
        <w:ind w:right="-7"/>
        <w:spacing w:after="0"/>
        <w:rPr>
          <w:sz w:val="20"/>
          <w:szCs w:val="20"/>
          <w:color w:val="auto"/>
        </w:rPr>
      </w:pPr>
      <w:r>
        <w:rPr>
          <w:rFonts w:ascii="Calibri" w:cs="Calibri" w:eastAsia="Calibri" w:hAnsi="Calibri"/>
          <w:sz w:val="15"/>
          <w:szCs w:val="15"/>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401320</wp:posOffset>
            </wp:positionV>
            <wp:extent cx="7178040" cy="4000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8"/>
          </w:cols>
          <w:pgMar w:left="312" w:top="1134" w:right="319" w:bottom="1440" w:gutter="0" w:footer="0" w:header="0"/>
        </w:sectPr>
      </w:pPr>
    </w:p>
    <w:bookmarkStart w:id="121" w:name="page122"/>
    <w:bookmarkEnd w:id="121"/>
    <w:p>
      <w:pPr>
        <w:jc w:val="both"/>
        <w:ind w:left="8" w:firstLine="511"/>
        <w:spacing w:after="0" w:line="315" w:lineRule="auto"/>
        <w:rPr>
          <w:sz w:val="20"/>
          <w:szCs w:val="20"/>
          <w:color w:val="auto"/>
        </w:rPr>
      </w:pPr>
      <w:r>
        <w:rPr>
          <w:rFonts w:ascii="MS PGothic" w:cs="MS PGothic" w:eastAsia="MS PGothic" w:hAnsi="MS PGothic"/>
          <w:sz w:val="14"/>
          <w:szCs w:val="14"/>
          <w:color w:val="auto"/>
        </w:rPr>
        <w:t>In connecton with the Company's inital public ofering ("IPO"), in October 2017 the Board adopted, and the Company’s stockholders approved, the 2017 Plan for the purpose of grantng incentve stock optons, non-qualifed stock optons, stock awards, stock units, other share-based awards, and cash awards to employees, advisors, and consultants to the Company and its subsidiaries and non-employee members of the Board. The 2017 Plan is the successor to the 2015 Plan. The 2017 Plan authorizes the issuance or transfer of the sum of:</w:t>
      </w:r>
    </w:p>
    <w:p>
      <w:pPr>
        <w:spacing w:after="0" w:line="1" w:lineRule="exact"/>
        <w:rPr>
          <w:sz w:val="20"/>
          <w:szCs w:val="20"/>
          <w:color w:val="auto"/>
        </w:rPr>
      </w:pPr>
    </w:p>
    <w:p>
      <w:pPr>
        <w:jc w:val="both"/>
        <w:ind w:left="8" w:hanging="8"/>
        <w:spacing w:after="0" w:line="298" w:lineRule="auto"/>
        <w:tabs>
          <w:tab w:leader="none" w:pos="178" w:val="left"/>
        </w:tabs>
        <w:numPr>
          <w:ilvl w:val="0"/>
          <w:numId w:val="30"/>
        </w:numPr>
        <w:rPr>
          <w:rFonts w:ascii="MS PGothic" w:cs="MS PGothic" w:eastAsia="MS PGothic" w:hAnsi="MS PGothic"/>
          <w:sz w:val="15"/>
          <w:szCs w:val="15"/>
          <w:color w:val="auto"/>
        </w:rPr>
      </w:pPr>
      <w:r>
        <w:rPr>
          <w:rFonts w:ascii="MS PGothic" w:cs="MS PGothic" w:eastAsia="MS PGothic" w:hAnsi="MS PGothic"/>
          <w:sz w:val="15"/>
          <w:szCs w:val="15"/>
          <w:color w:val="auto"/>
        </w:rPr>
        <w:t>7,800,000 shares of the Company’s Class A common stock, plus (ii) the number of shares of Class A common stock (up to 4,500,000 shares) equal to the sum of (x) the number of shares of Class A common stock and Class B common stock of the Company subject to outstanding awards under the 2015 Plan as of October 10, 2017, that terminate, expire, or are canceled, forfeited, exchanged, or surrendered on or afer October 10, 2017, without having been exercised, vested, or paid prior to October 10, 2017, including shares tendered or withheld to satsfy tax withholding obligatons with respect to outstanding grants under the 2015 Plan, plus (y) the number of shares of Class A common stock reserved for issuance under the 2015 Plan that remain available for grant under the 2015 Plan as of October 10, 2017. The aggregate number of shares of Class A common stock that may be issued or transferred under the 2017 Plan pursuant to incentve stock optons will not exceed 12,300,000 shares of Class A common stock. Unless determined otherwise by the Compensaton Commitee of the Board, as of the frst trading day of January of each calendar year during the term of the 2017 Plan (excluding any extensions), eligible beginning with calendar year 2019, an additonal number of shares of Class A common stock will be added to the number of shares of the Company’s Class A common stock authorized to be issued or transferred under the 2017 Plan and the number of shares authorized to be issued or transferred pursuant to incentve stock optons, equal to 4% of the total number of shares of Class A common stock outstanding on the last trading day in December of the immediately preceding calendar year, or 6,000,000 shares, whichever is less, or such lesser amount as determined by the Board (the “Evergreen Increase”). The Compensaton Commitee of the Board determined to not efectuate the Evergreen Increase that was otherwise scheduled to have occurred on each of January 2, 2019, January 2, 2020, and January 4, 2021. On January 3, 2022, an additonal 4,070,921 shares of the Company's Class A Common Stock was authorized to be issued or transferred under the 2017 Plan pursuant to the Evergreen Increase. On January 3, 2023, an additonal 4,065,466 shares of the Company's Class A Common Stock was authorized to be issued or transferred under the 2017 Plan pursuant to the Evergreen Increase. On January 2, 2024, an additonal 3,687,010 shares of the Company's Class A Common Stock was authorized to be issued or transferred under the 2017 Plan pursuant to the Evergreen Increase. In conjuncton with the adopton of the 2017 Plan, optons and RSUs outstanding under the 2015 Plan will remain outstanding but no additonal grants will be made from the 2015 Plan.</w:t>
      </w:r>
    </w:p>
    <w:p>
      <w:pPr>
        <w:spacing w:after="0" w:line="150" w:lineRule="exact"/>
        <w:rPr>
          <w:sz w:val="20"/>
          <w:szCs w:val="20"/>
          <w:color w:val="auto"/>
        </w:rPr>
      </w:pPr>
    </w:p>
    <w:p>
      <w:pPr>
        <w:ind w:left="508"/>
        <w:spacing w:after="0"/>
        <w:rPr>
          <w:sz w:val="20"/>
          <w:szCs w:val="20"/>
          <w:color w:val="auto"/>
        </w:rPr>
      </w:pPr>
      <w:r>
        <w:rPr>
          <w:rFonts w:ascii="MS PGothic" w:cs="MS PGothic" w:eastAsia="MS PGothic" w:hAnsi="MS PGothic"/>
          <w:sz w:val="15"/>
          <w:szCs w:val="15"/>
          <w:color w:val="auto"/>
        </w:rPr>
        <w:t>As of December 31, 2023, 6,236,628 shares of Class A common stock were available for issuance under the 2017 Plan.</w:t>
      </w:r>
    </w:p>
    <w:p>
      <w:pPr>
        <w:spacing w:after="0" w:line="218" w:lineRule="exact"/>
        <w:rPr>
          <w:sz w:val="20"/>
          <w:szCs w:val="20"/>
          <w:color w:val="auto"/>
        </w:rPr>
      </w:pPr>
    </w:p>
    <w:p>
      <w:pPr>
        <w:ind w:left="8"/>
        <w:spacing w:after="0"/>
        <w:rPr>
          <w:sz w:val="20"/>
          <w:szCs w:val="20"/>
          <w:color w:val="auto"/>
        </w:rPr>
      </w:pPr>
      <w:r>
        <w:rPr>
          <w:rFonts w:ascii="Calibri" w:cs="Calibri" w:eastAsia="Calibri" w:hAnsi="Calibri"/>
          <w:sz w:val="15"/>
          <w:szCs w:val="15"/>
          <w:b w:val="1"/>
          <w:bCs w:val="1"/>
          <w:i w:val="1"/>
          <w:iCs w:val="1"/>
          <w:color w:val="auto"/>
        </w:rPr>
        <w:t>CarOfer Equity Incentve Plans</w:t>
      </w:r>
    </w:p>
    <w:p>
      <w:pPr>
        <w:spacing w:after="0" w:line="185" w:lineRule="exact"/>
        <w:rPr>
          <w:sz w:val="20"/>
          <w:szCs w:val="20"/>
          <w:color w:val="auto"/>
        </w:rPr>
      </w:pPr>
    </w:p>
    <w:p>
      <w:pPr>
        <w:jc w:val="both"/>
        <w:ind w:left="8" w:firstLine="511"/>
        <w:spacing w:after="0" w:line="303" w:lineRule="auto"/>
        <w:rPr>
          <w:sz w:val="20"/>
          <w:szCs w:val="20"/>
          <w:color w:val="auto"/>
        </w:rPr>
      </w:pPr>
      <w:r>
        <w:rPr>
          <w:rFonts w:ascii="MS PGothic" w:cs="MS PGothic" w:eastAsia="MS PGothic" w:hAnsi="MS PGothic"/>
          <w:sz w:val="15"/>
          <w:szCs w:val="15"/>
          <w:color w:val="auto"/>
        </w:rPr>
        <w:t>The 2020 CO Plan provided for the issuance of CO Incentve Units to CarOfer’s employees, ofcers, managers, and consultants. The 2020 CO Plan authorized up to an aggregate of 485,714 CO Incentve Units for such issuances, all of which were issued prior to the close of the 2021 CarOfer Transacton. At the tme of the 2021 Closing, 142,857 CO Incentve Units were accelerated and redeemed. The compensaton relatng to these CO Incentve Units was deemed to be outside of consideraton transferred. Therefore, for the year ended December 31, 2021, the Company recognized an additonal $1,229 of stock-based compensaton expense. As a result of the 2023 CarOfer Transacton, all CO Incentve Units were accelerated and redeemed and, thus, as of December 31, 2023, there were no CO Incentve Units unvested. During the year ended December 31, 2023, no CO Incentve Units were granted, vested, or forfeited. As of December 31, 2023, there is no unrecognized stock‑based compensaton expense related to the unvested CO Incentve Units, as a result of the redempton of the awards following the 2021 CarOfer Transacton. As of December 31, 2022, 342,857 CO Inventve Units were unvested.</w:t>
      </w:r>
    </w:p>
    <w:p>
      <w:pPr>
        <w:spacing w:after="0" w:line="147" w:lineRule="exact"/>
        <w:rPr>
          <w:sz w:val="20"/>
          <w:szCs w:val="20"/>
          <w:color w:val="auto"/>
        </w:rPr>
      </w:pPr>
    </w:p>
    <w:p>
      <w:pPr>
        <w:ind w:left="508"/>
        <w:spacing w:after="0"/>
        <w:rPr>
          <w:sz w:val="20"/>
          <w:szCs w:val="20"/>
          <w:color w:val="auto"/>
        </w:rPr>
      </w:pPr>
      <w:r>
        <w:rPr>
          <w:rFonts w:ascii="MS PGothic" w:cs="MS PGothic" w:eastAsia="MS PGothic" w:hAnsi="MS PGothic"/>
          <w:sz w:val="15"/>
          <w:szCs w:val="15"/>
          <w:color w:val="auto"/>
        </w:rPr>
        <w:t>As of December 31, 2023, there were no CO Incentve Units available for issuance under the 2020 CO Plan.</w:t>
      </w:r>
    </w:p>
    <w:p>
      <w:pPr>
        <w:spacing w:after="0" w:line="218" w:lineRule="exact"/>
        <w:rPr>
          <w:sz w:val="20"/>
          <w:szCs w:val="20"/>
          <w:color w:val="auto"/>
        </w:rPr>
      </w:pPr>
    </w:p>
    <w:p>
      <w:pPr>
        <w:jc w:val="both"/>
        <w:ind w:left="8" w:firstLine="511"/>
        <w:spacing w:after="0" w:line="305" w:lineRule="auto"/>
        <w:rPr>
          <w:sz w:val="20"/>
          <w:szCs w:val="20"/>
          <w:color w:val="auto"/>
        </w:rPr>
      </w:pPr>
      <w:r>
        <w:rPr>
          <w:rFonts w:ascii="MS PGothic" w:cs="MS PGothic" w:eastAsia="MS PGothic" w:hAnsi="MS PGothic"/>
          <w:sz w:val="15"/>
          <w:szCs w:val="15"/>
          <w:color w:val="auto"/>
        </w:rPr>
        <w:t>The Vestng Agreement provides for the vestng of the Subject Units benefcially owned by the T5 Holders, which vest in accordance with the terms described in Note 2 of these consolidated fnancial statements. As a result of the 2023 CarOfer Transacton, all Subject Units were accelerated and redeemed and, thus, as of December 31, 2023, no Subject Units were unvested. As of December 31, 2022, 288,395 Subject Units were issued and unvested, respectively. During the year ended December 31, 2023, there were no Subject Units granted or vested. During the year ended December 31, 2022, no Subject Units were granted and 144,197 Subject Units vested. During the year ended December 31, 2023 and 2022, no Subject Units were forfeited. As of December 31, 2023, there is no unrecognized stock‑based compensaton expense related to the unvested Subject Units, as a result of the redempton of the awards following the 2023 CarOfer Transacton.</w:t>
      </w:r>
    </w:p>
    <w:p>
      <w:pPr>
        <w:spacing w:after="0" w:line="145" w:lineRule="exact"/>
        <w:rPr>
          <w:sz w:val="20"/>
          <w:szCs w:val="20"/>
          <w:color w:val="auto"/>
        </w:rPr>
      </w:pPr>
    </w:p>
    <w:p>
      <w:pPr>
        <w:jc w:val="center"/>
        <w:ind w:right="-7"/>
        <w:spacing w:after="0"/>
        <w:rPr>
          <w:sz w:val="20"/>
          <w:szCs w:val="20"/>
          <w:color w:val="auto"/>
        </w:rPr>
      </w:pPr>
      <w:r>
        <w:rPr>
          <w:rFonts w:ascii="MS PGothic" w:cs="MS PGothic" w:eastAsia="MS PGothic" w:hAnsi="MS PGothic"/>
          <w:sz w:val="15"/>
          <w:szCs w:val="15"/>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422275</wp:posOffset>
            </wp:positionV>
            <wp:extent cx="7178040" cy="4000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8"/>
          </w:cols>
          <w:pgMar w:left="312" w:top="1041" w:right="319" w:bottom="1440" w:gutter="0" w:footer="0" w:header="0"/>
        </w:sectPr>
      </w:pPr>
    </w:p>
    <w:bookmarkStart w:id="122" w:name="page123"/>
    <w:bookmarkEnd w:id="122"/>
    <w:p>
      <w:pPr>
        <w:ind w:left="500"/>
        <w:spacing w:after="0"/>
        <w:rPr>
          <w:sz w:val="20"/>
          <w:szCs w:val="20"/>
          <w:color w:val="auto"/>
        </w:rPr>
      </w:pPr>
      <w:r>
        <w:rPr>
          <w:rFonts w:ascii="MS PGothic" w:cs="MS PGothic" w:eastAsia="MS PGothic" w:hAnsi="MS PGothic"/>
          <w:sz w:val="15"/>
          <w:szCs w:val="15"/>
          <w:color w:val="auto"/>
        </w:rPr>
        <w:t>As of December 31, 2023, there were no Subject Units available for issuance under the Vestng Agreement.</w:t>
      </w:r>
    </w:p>
    <w:p>
      <w:pPr>
        <w:spacing w:after="0" w:line="218" w:lineRule="exact"/>
        <w:rPr>
          <w:sz w:val="20"/>
          <w:szCs w:val="20"/>
          <w:color w:val="auto"/>
        </w:rPr>
      </w:pPr>
    </w:p>
    <w:p>
      <w:pPr>
        <w:jc w:val="both"/>
        <w:ind w:firstLine="511"/>
        <w:spacing w:after="0" w:line="320" w:lineRule="auto"/>
        <w:rPr>
          <w:sz w:val="20"/>
          <w:szCs w:val="20"/>
          <w:color w:val="auto"/>
        </w:rPr>
      </w:pPr>
      <w:r>
        <w:rPr>
          <w:rFonts w:ascii="MS PGothic" w:cs="MS PGothic" w:eastAsia="MS PGothic" w:hAnsi="MS PGothic"/>
          <w:sz w:val="15"/>
          <w:szCs w:val="15"/>
          <w:color w:val="auto"/>
        </w:rPr>
        <w:t>The 2021 CO Plan provides for an incentve equity grant structure whereby 2021 Incentve Units will be granted to CIE and 2021 CO Plan grantees will receive an associated CIE Interest, with back-to-back vestng between the 2021 Incentve Units and the associated CIE Interest. The 2021 CO Plan authorized up to an aggregate of 228,571 2021 Incentve Units for such issuances.</w:t>
      </w:r>
    </w:p>
    <w:p>
      <w:pPr>
        <w:spacing w:after="0" w:line="136" w:lineRule="exact"/>
        <w:rPr>
          <w:sz w:val="20"/>
          <w:szCs w:val="20"/>
          <w:color w:val="auto"/>
        </w:rPr>
      </w:pPr>
    </w:p>
    <w:p>
      <w:pPr>
        <w:ind w:left="500"/>
        <w:spacing w:after="0"/>
        <w:rPr>
          <w:sz w:val="20"/>
          <w:szCs w:val="20"/>
          <w:color w:val="auto"/>
        </w:rPr>
      </w:pPr>
      <w:r>
        <w:rPr>
          <w:rFonts w:ascii="MS PGothic" w:cs="MS PGothic" w:eastAsia="MS PGothic" w:hAnsi="MS PGothic"/>
          <w:sz w:val="15"/>
          <w:szCs w:val="15"/>
          <w:color w:val="auto"/>
        </w:rPr>
        <w:t>As of December 31, 2023, there were no 2021 Incentve Units available for issuance under the 2021 CO Plan.</w:t>
      </w:r>
    </w:p>
    <w:p>
      <w:pPr>
        <w:spacing w:after="0" w:line="218" w:lineRule="exact"/>
        <w:rPr>
          <w:sz w:val="20"/>
          <w:szCs w:val="20"/>
          <w:color w:val="auto"/>
        </w:rPr>
      </w:pPr>
    </w:p>
    <w:p>
      <w:pPr>
        <w:jc w:val="both"/>
        <w:ind w:firstLine="511"/>
        <w:spacing w:after="0" w:line="347" w:lineRule="auto"/>
        <w:rPr>
          <w:sz w:val="20"/>
          <w:szCs w:val="20"/>
          <w:color w:val="auto"/>
        </w:rPr>
      </w:pPr>
      <w:r>
        <w:rPr>
          <w:rFonts w:ascii="MS PGothic" w:cs="MS PGothic" w:eastAsia="MS PGothic" w:hAnsi="MS PGothic"/>
          <w:sz w:val="15"/>
          <w:szCs w:val="15"/>
          <w:color w:val="auto"/>
        </w:rPr>
        <w:t>All CO Incentve Units and Subject Units were accelerated and redeemed in connecton with the 2023 CarOfer Transacton. As a result, there were no CO Incentve Units, Subject Units or 2021 Incentve Units as of December 31, 2023.</w:t>
      </w:r>
    </w:p>
    <w:p>
      <w:pPr>
        <w:spacing w:after="0" w:line="118" w:lineRule="exact"/>
        <w:rPr>
          <w:sz w:val="20"/>
          <w:szCs w:val="20"/>
          <w:color w:val="auto"/>
        </w:rPr>
      </w:pPr>
    </w:p>
    <w:p>
      <w:pPr>
        <w:spacing w:after="0"/>
        <w:rPr>
          <w:sz w:val="20"/>
          <w:szCs w:val="20"/>
          <w:color w:val="auto"/>
        </w:rPr>
      </w:pPr>
      <w:r>
        <w:rPr>
          <w:rFonts w:ascii="Calibri" w:cs="Calibri" w:eastAsia="Calibri" w:hAnsi="Calibri"/>
          <w:sz w:val="15"/>
          <w:szCs w:val="15"/>
          <w:b w:val="1"/>
          <w:bCs w:val="1"/>
          <w:i w:val="1"/>
          <w:iCs w:val="1"/>
          <w:color w:val="auto"/>
        </w:rPr>
        <w:t>Stock Optons</w:t>
      </w:r>
    </w:p>
    <w:p>
      <w:pPr>
        <w:spacing w:after="0" w:line="185" w:lineRule="exact"/>
        <w:rPr>
          <w:sz w:val="20"/>
          <w:szCs w:val="20"/>
          <w:color w:val="auto"/>
        </w:rPr>
      </w:pPr>
    </w:p>
    <w:p>
      <w:pPr>
        <w:ind w:left="500"/>
        <w:spacing w:after="0"/>
        <w:rPr>
          <w:sz w:val="20"/>
          <w:szCs w:val="20"/>
          <w:color w:val="auto"/>
        </w:rPr>
      </w:pPr>
      <w:r>
        <w:rPr>
          <w:rFonts w:ascii="MS PGothic" w:cs="MS PGothic" w:eastAsia="MS PGothic" w:hAnsi="MS PGothic"/>
          <w:sz w:val="15"/>
          <w:szCs w:val="15"/>
          <w:color w:val="auto"/>
        </w:rPr>
        <w:t>During the year ended December 31, 2023, stock opton actvity is as follows:</w:t>
      </w:r>
    </w:p>
    <w:p>
      <w:pPr>
        <w:spacing w:after="0" w:line="327" w:lineRule="exact"/>
        <w:rPr>
          <w:sz w:val="20"/>
          <w:szCs w:val="20"/>
          <w:color w:val="auto"/>
        </w:rPr>
      </w:pPr>
    </w:p>
    <w:tbl>
      <w:tblPr>
        <w:tblLayout w:type="fixed"/>
        <w:tblInd w:w="560" w:type="dxa"/>
        <w:tblCellMar>
          <w:top w:w="0" w:type="dxa"/>
          <w:left w:w="0" w:type="dxa"/>
          <w:bottom w:w="0" w:type="dxa"/>
          <w:right w:w="0" w:type="dxa"/>
        </w:tblCellMar>
      </w:tblPr>
      <w:tr>
        <w:trPr>
          <w:trHeight w:val="146"/>
        </w:trPr>
        <w:tc>
          <w:tcPr>
            <w:tcW w:w="5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center"/>
              <w:spacing w:after="0"/>
              <w:rPr>
                <w:sz w:val="20"/>
                <w:szCs w:val="20"/>
                <w:color w:val="auto"/>
              </w:rPr>
            </w:pPr>
            <w:r>
              <w:rPr>
                <w:rFonts w:ascii="Calibri" w:cs="Calibri" w:eastAsia="Calibri" w:hAnsi="Calibri"/>
                <w:sz w:val="12"/>
                <w:szCs w:val="12"/>
                <w:b w:val="1"/>
                <w:bCs w:val="1"/>
                <w:color w:val="auto"/>
                <w:w w:val="99"/>
              </w:rPr>
              <w:t>Weighted-</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0"/>
        </w:trPr>
        <w:tc>
          <w:tcPr>
            <w:tcW w:w="5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center"/>
              <w:ind w:right="69"/>
              <w:spacing w:after="0"/>
              <w:rPr>
                <w:sz w:val="20"/>
                <w:szCs w:val="20"/>
                <w:color w:val="auto"/>
              </w:rPr>
            </w:pPr>
            <w:r>
              <w:rPr>
                <w:rFonts w:ascii="Calibri" w:cs="Calibri" w:eastAsia="Calibri" w:hAnsi="Calibri"/>
                <w:sz w:val="12"/>
                <w:szCs w:val="12"/>
                <w:b w:val="1"/>
                <w:bCs w:val="1"/>
                <w:color w:val="auto"/>
                <w:w w:val="99"/>
              </w:rPr>
              <w:t>Weighted-</w:t>
            </w:r>
          </w:p>
        </w:tc>
        <w:tc>
          <w:tcPr>
            <w:tcW w:w="20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Calibri" w:cs="Calibri" w:eastAsia="Calibri" w:hAnsi="Calibri"/>
                <w:sz w:val="12"/>
                <w:szCs w:val="12"/>
                <w:b w:val="1"/>
                <w:bCs w:val="1"/>
                <w:color w:val="auto"/>
                <w:w w:val="97"/>
              </w:rPr>
              <w:t>Average</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0"/>
        </w:trPr>
        <w:tc>
          <w:tcPr>
            <w:tcW w:w="5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center"/>
              <w:ind w:right="69"/>
              <w:spacing w:after="0"/>
              <w:rPr>
                <w:sz w:val="20"/>
                <w:szCs w:val="20"/>
                <w:color w:val="auto"/>
              </w:rPr>
            </w:pPr>
            <w:r>
              <w:rPr>
                <w:rFonts w:ascii="Calibri" w:cs="Calibri" w:eastAsia="Calibri" w:hAnsi="Calibri"/>
                <w:sz w:val="12"/>
                <w:szCs w:val="12"/>
                <w:b w:val="1"/>
                <w:bCs w:val="1"/>
                <w:color w:val="auto"/>
                <w:w w:val="97"/>
              </w:rPr>
              <w:t>Average</w:t>
            </w:r>
          </w:p>
        </w:tc>
        <w:tc>
          <w:tcPr>
            <w:tcW w:w="20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Calibri" w:cs="Calibri" w:eastAsia="Calibri" w:hAnsi="Calibri"/>
                <w:sz w:val="12"/>
                <w:szCs w:val="12"/>
                <w:b w:val="1"/>
                <w:bCs w:val="1"/>
                <w:color w:val="auto"/>
              </w:rPr>
              <w:t>Remaining</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center"/>
              <w:ind w:right="260"/>
              <w:spacing w:after="0"/>
              <w:rPr>
                <w:sz w:val="20"/>
                <w:szCs w:val="20"/>
                <w:color w:val="auto"/>
              </w:rPr>
            </w:pPr>
            <w:r>
              <w:rPr>
                <w:rFonts w:ascii="Calibri" w:cs="Calibri" w:eastAsia="Calibri" w:hAnsi="Calibri"/>
                <w:sz w:val="12"/>
                <w:szCs w:val="12"/>
                <w:b w:val="1"/>
                <w:bCs w:val="1"/>
                <w:color w:val="auto"/>
                <w:w w:val="98"/>
              </w:rPr>
              <w:t>Aggregate</w:t>
            </w:r>
          </w:p>
        </w:tc>
      </w:tr>
      <w:tr>
        <w:trPr>
          <w:trHeight w:val="134"/>
        </w:trPr>
        <w:tc>
          <w:tcPr>
            <w:tcW w:w="5180" w:type="dxa"/>
            <w:vAlign w:val="bottom"/>
          </w:tcPr>
          <w:p>
            <w:pPr>
              <w:spacing w:after="0"/>
              <w:rPr>
                <w:sz w:val="11"/>
                <w:szCs w:val="11"/>
                <w:color w:val="auto"/>
              </w:rPr>
            </w:pPr>
          </w:p>
        </w:tc>
        <w:tc>
          <w:tcPr>
            <w:tcW w:w="1300" w:type="dxa"/>
            <w:vAlign w:val="bottom"/>
            <w:gridSpan w:val="2"/>
          </w:tcPr>
          <w:p>
            <w:pPr>
              <w:jc w:val="right"/>
              <w:ind w:right="540"/>
              <w:spacing w:after="0" w:line="134" w:lineRule="exact"/>
              <w:rPr>
                <w:sz w:val="20"/>
                <w:szCs w:val="20"/>
                <w:color w:val="auto"/>
              </w:rPr>
            </w:pPr>
            <w:r>
              <w:rPr>
                <w:rFonts w:ascii="Calibri" w:cs="Calibri" w:eastAsia="Calibri" w:hAnsi="Calibri"/>
                <w:sz w:val="12"/>
                <w:szCs w:val="12"/>
                <w:b w:val="1"/>
                <w:bCs w:val="1"/>
                <w:color w:val="auto"/>
              </w:rPr>
              <w:t>Common</w:t>
            </w:r>
          </w:p>
        </w:tc>
        <w:tc>
          <w:tcPr>
            <w:tcW w:w="140" w:type="dxa"/>
            <w:vAlign w:val="bottom"/>
          </w:tcPr>
          <w:p>
            <w:pPr>
              <w:spacing w:after="0"/>
              <w:rPr>
                <w:sz w:val="11"/>
                <w:szCs w:val="11"/>
                <w:color w:val="auto"/>
              </w:rPr>
            </w:pPr>
          </w:p>
        </w:tc>
        <w:tc>
          <w:tcPr>
            <w:tcW w:w="900" w:type="dxa"/>
            <w:vAlign w:val="bottom"/>
          </w:tcPr>
          <w:p>
            <w:pPr>
              <w:jc w:val="center"/>
              <w:ind w:right="69"/>
              <w:spacing w:after="0" w:line="134" w:lineRule="exact"/>
              <w:rPr>
                <w:sz w:val="20"/>
                <w:szCs w:val="20"/>
                <w:color w:val="auto"/>
              </w:rPr>
            </w:pPr>
            <w:r>
              <w:rPr>
                <w:rFonts w:ascii="Calibri" w:cs="Calibri" w:eastAsia="Calibri" w:hAnsi="Calibri"/>
                <w:sz w:val="12"/>
                <w:szCs w:val="12"/>
                <w:b w:val="1"/>
                <w:bCs w:val="1"/>
                <w:color w:val="auto"/>
              </w:rPr>
              <w:t>Exercise Price</w:t>
            </w:r>
          </w:p>
        </w:tc>
        <w:tc>
          <w:tcPr>
            <w:tcW w:w="200" w:type="dxa"/>
            <w:vAlign w:val="bottom"/>
          </w:tcPr>
          <w:p>
            <w:pPr>
              <w:spacing w:after="0"/>
              <w:rPr>
                <w:sz w:val="11"/>
                <w:szCs w:val="11"/>
                <w:color w:val="auto"/>
              </w:rPr>
            </w:pPr>
          </w:p>
        </w:tc>
        <w:tc>
          <w:tcPr>
            <w:tcW w:w="1080" w:type="dxa"/>
            <w:vAlign w:val="bottom"/>
          </w:tcPr>
          <w:p>
            <w:pPr>
              <w:jc w:val="center"/>
              <w:spacing w:after="0" w:line="134" w:lineRule="exact"/>
              <w:rPr>
                <w:sz w:val="20"/>
                <w:szCs w:val="20"/>
                <w:color w:val="auto"/>
              </w:rPr>
            </w:pPr>
            <w:r>
              <w:rPr>
                <w:rFonts w:ascii="Calibri" w:cs="Calibri" w:eastAsia="Calibri" w:hAnsi="Calibri"/>
                <w:sz w:val="12"/>
                <w:szCs w:val="12"/>
                <w:b w:val="1"/>
                <w:bCs w:val="1"/>
                <w:color w:val="auto"/>
              </w:rPr>
              <w:t>Contractual Life</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center"/>
              <w:ind w:right="260"/>
              <w:spacing w:after="0" w:line="134" w:lineRule="exact"/>
              <w:rPr>
                <w:sz w:val="20"/>
                <w:szCs w:val="20"/>
                <w:color w:val="auto"/>
              </w:rPr>
            </w:pPr>
            <w:r>
              <w:rPr>
                <w:rFonts w:ascii="Calibri" w:cs="Calibri" w:eastAsia="Calibri" w:hAnsi="Calibri"/>
                <w:sz w:val="12"/>
                <w:szCs w:val="12"/>
                <w:b w:val="1"/>
                <w:bCs w:val="1"/>
                <w:color w:val="auto"/>
              </w:rPr>
              <w:t>Intrinsic</w:t>
            </w:r>
          </w:p>
        </w:tc>
      </w:tr>
      <w:tr>
        <w:trPr>
          <w:trHeight w:val="191"/>
        </w:trPr>
        <w:tc>
          <w:tcPr>
            <w:tcW w:w="5180" w:type="dxa"/>
            <w:vAlign w:val="bottom"/>
          </w:tcPr>
          <w:p>
            <w:pPr>
              <w:spacing w:after="0"/>
              <w:rPr>
                <w:sz w:val="16"/>
                <w:szCs w:val="16"/>
                <w:color w:val="auto"/>
              </w:rPr>
            </w:pPr>
          </w:p>
        </w:tc>
        <w:tc>
          <w:tcPr>
            <w:tcW w:w="1060" w:type="dxa"/>
            <w:vAlign w:val="bottom"/>
            <w:tcBorders>
              <w:bottom w:val="single" w:sz="8" w:color="auto"/>
            </w:tcBorders>
          </w:tcPr>
          <w:p>
            <w:pPr>
              <w:jc w:val="right"/>
              <w:ind w:right="327"/>
              <w:spacing w:after="0"/>
              <w:rPr>
                <w:sz w:val="20"/>
                <w:szCs w:val="20"/>
                <w:color w:val="auto"/>
              </w:rPr>
            </w:pPr>
            <w:r>
              <w:rPr>
                <w:rFonts w:ascii="Calibri" w:cs="Calibri" w:eastAsia="Calibri" w:hAnsi="Calibri"/>
                <w:sz w:val="12"/>
                <w:szCs w:val="12"/>
                <w:b w:val="1"/>
                <w:bCs w:val="1"/>
                <w:color w:val="auto"/>
              </w:rPr>
              <w:t>Stock</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49"/>
              <w:spacing w:after="0"/>
              <w:rPr>
                <w:sz w:val="20"/>
                <w:szCs w:val="20"/>
                <w:color w:val="auto"/>
              </w:rPr>
            </w:pPr>
            <w:r>
              <w:rPr>
                <w:rFonts w:ascii="Calibri" w:cs="Calibri" w:eastAsia="Calibri" w:hAnsi="Calibri"/>
                <w:sz w:val="12"/>
                <w:szCs w:val="12"/>
                <w:b w:val="1"/>
                <w:bCs w:val="1"/>
                <w:color w:val="auto"/>
              </w:rPr>
              <w:t>for Equity</w:t>
            </w:r>
          </w:p>
        </w:tc>
        <w:tc>
          <w:tcPr>
            <w:tcW w:w="200" w:type="dxa"/>
            <w:vAlign w:val="bottom"/>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Calibri" w:cs="Calibri" w:eastAsia="Calibri" w:hAnsi="Calibri"/>
                <w:sz w:val="12"/>
                <w:szCs w:val="12"/>
                <w:b w:val="1"/>
                <w:bCs w:val="1"/>
                <w:color w:val="auto"/>
              </w:rPr>
              <w:t>(In Years)</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90"/>
              <w:spacing w:after="0" w:line="190" w:lineRule="exact"/>
              <w:rPr>
                <w:sz w:val="20"/>
                <w:szCs w:val="20"/>
                <w:color w:val="auto"/>
              </w:rPr>
            </w:pPr>
            <w:r>
              <w:rPr>
                <w:rFonts w:ascii="Calibri" w:cs="Calibri" w:eastAsia="Calibri" w:hAnsi="Calibri"/>
                <w:sz w:val="12"/>
                <w:szCs w:val="12"/>
                <w:b w:val="1"/>
                <w:bCs w:val="1"/>
                <w:color w:val="auto"/>
                <w:w w:val="93"/>
              </w:rPr>
              <w:t>Value</w:t>
            </w:r>
            <w:r>
              <w:rPr>
                <w:rFonts w:ascii="Calibri" w:cs="Calibri" w:eastAsia="Calibri" w:hAnsi="Calibri"/>
                <w:sz w:val="16"/>
                <w:szCs w:val="16"/>
                <w:b w:val="1"/>
                <w:bCs w:val="1"/>
                <w:color w:val="auto"/>
                <w:w w:val="93"/>
                <w:vertAlign w:val="superscript"/>
              </w:rPr>
              <w:t>(1)</w:t>
            </w:r>
          </w:p>
        </w:tc>
        <w:tc>
          <w:tcPr>
            <w:tcW w:w="100" w:type="dxa"/>
            <w:vAlign w:val="bottom"/>
          </w:tcPr>
          <w:p>
            <w:pPr>
              <w:spacing w:after="0"/>
              <w:rPr>
                <w:sz w:val="16"/>
                <w:szCs w:val="16"/>
                <w:color w:val="auto"/>
              </w:rPr>
            </w:pPr>
          </w:p>
        </w:tc>
      </w:tr>
      <w:tr>
        <w:trPr>
          <w:trHeight w:val="180"/>
        </w:trPr>
        <w:tc>
          <w:tcPr>
            <w:tcW w:w="5180" w:type="dxa"/>
            <w:vAlign w:val="bottom"/>
            <w:tcBorders>
              <w:bottom w:val="single" w:sz="8" w:color="CFF0FC"/>
            </w:tcBorders>
            <w:shd w:val="clear" w:color="auto" w:fill="CFF0FC"/>
          </w:tcPr>
          <w:p>
            <w:pPr>
              <w:spacing w:after="0"/>
              <w:rPr>
                <w:sz w:val="20"/>
                <w:szCs w:val="20"/>
                <w:color w:val="auto"/>
              </w:rPr>
            </w:pPr>
            <w:r>
              <w:rPr>
                <w:rFonts w:ascii="MS PGothic" w:cs="MS PGothic" w:eastAsia="MS PGothic" w:hAnsi="MS PGothic"/>
                <w:sz w:val="15"/>
                <w:szCs w:val="15"/>
                <w:color w:val="auto"/>
              </w:rPr>
              <w:t>Outstanding, December 31, 2022</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MS PGothic" w:cs="MS PGothic" w:eastAsia="MS PGothic" w:hAnsi="MS PGothic"/>
                <w:sz w:val="15"/>
                <w:szCs w:val="15"/>
                <w:color w:val="auto"/>
              </w:rPr>
              <w:t>826,609</w:t>
            </w:r>
          </w:p>
        </w:tc>
        <w:tc>
          <w:tcPr>
            <w:tcW w:w="2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MS PGothic" w:cs="MS PGothic" w:eastAsia="MS PGothic" w:hAnsi="MS PGothic"/>
                <w:sz w:val="15"/>
                <w:szCs w:val="15"/>
                <w:color w:val="auto"/>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MS PGothic" w:cs="MS PGothic" w:eastAsia="MS PGothic" w:hAnsi="MS PGothic"/>
                <w:sz w:val="15"/>
                <w:szCs w:val="15"/>
                <w:color w:val="auto"/>
              </w:rPr>
              <w:t>25.22</w:t>
            </w:r>
          </w:p>
        </w:tc>
        <w:tc>
          <w:tcPr>
            <w:tcW w:w="1280" w:type="dxa"/>
            <w:vAlign w:val="bottom"/>
            <w:tcBorders>
              <w:bottom w:val="single" w:sz="8" w:color="CFF0FC"/>
            </w:tcBorders>
            <w:gridSpan w:val="2"/>
            <w:shd w:val="clear" w:color="auto" w:fill="CFF0FC"/>
          </w:tcPr>
          <w:p>
            <w:pPr>
              <w:jc w:val="right"/>
              <w:spacing w:after="0"/>
              <w:rPr>
                <w:sz w:val="20"/>
                <w:szCs w:val="20"/>
                <w:color w:val="auto"/>
              </w:rPr>
            </w:pPr>
            <w:r>
              <w:rPr>
                <w:rFonts w:ascii="MS PGothic" w:cs="MS PGothic" w:eastAsia="MS PGothic" w:hAnsi="MS PGothic"/>
                <w:sz w:val="15"/>
                <w:szCs w:val="15"/>
                <w:color w:val="auto"/>
              </w:rPr>
              <w:t>6.2</w:t>
            </w:r>
          </w:p>
        </w:tc>
        <w:tc>
          <w:tcPr>
            <w:tcW w:w="380" w:type="dxa"/>
            <w:vAlign w:val="bottom"/>
            <w:tcBorders>
              <w:bottom w:val="single" w:sz="8" w:color="CFF0FC"/>
            </w:tcBorders>
            <w:gridSpan w:val="2"/>
            <w:shd w:val="clear" w:color="auto" w:fill="CFF0FC"/>
          </w:tcPr>
          <w:p>
            <w:pPr>
              <w:jc w:val="right"/>
              <w:ind w:right="80"/>
              <w:spacing w:after="0"/>
              <w:rPr>
                <w:sz w:val="20"/>
                <w:szCs w:val="20"/>
                <w:color w:val="auto"/>
              </w:rPr>
            </w:pPr>
            <w:r>
              <w:rPr>
                <w:rFonts w:ascii="MS PGothic" w:cs="MS PGothic" w:eastAsia="MS PGothic" w:hAnsi="MS PGothic"/>
                <w:sz w:val="15"/>
                <w:szCs w:val="15"/>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MS PGothic" w:cs="MS PGothic" w:eastAsia="MS PGothic" w:hAnsi="MS PGothic"/>
                <w:sz w:val="15"/>
                <w:szCs w:val="15"/>
                <w:color w:val="auto"/>
              </w:rPr>
              <w:t>3,172</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83"/>
        </w:trPr>
        <w:tc>
          <w:tcPr>
            <w:tcW w:w="5180" w:type="dxa"/>
            <w:vAlign w:val="bottom"/>
          </w:tcPr>
          <w:p>
            <w:pPr>
              <w:ind w:left="160"/>
              <w:spacing w:after="0"/>
              <w:rPr>
                <w:sz w:val="20"/>
                <w:szCs w:val="20"/>
                <w:color w:val="auto"/>
              </w:rPr>
            </w:pPr>
            <w:r>
              <w:rPr>
                <w:rFonts w:ascii="MS PGothic" w:cs="MS PGothic" w:eastAsia="MS PGothic" w:hAnsi="MS PGothic"/>
                <w:sz w:val="15"/>
                <w:szCs w:val="15"/>
                <w:color w:val="auto"/>
              </w:rPr>
              <w:t>Granted</w:t>
            </w:r>
          </w:p>
        </w:tc>
        <w:tc>
          <w:tcPr>
            <w:tcW w:w="1300" w:type="dxa"/>
            <w:vAlign w:val="bottom"/>
            <w:gridSpan w:val="2"/>
          </w:tcPr>
          <w:p>
            <w:pPr>
              <w:jc w:val="right"/>
              <w:ind w:right="240"/>
              <w:spacing w:after="0"/>
              <w:rPr>
                <w:sz w:val="20"/>
                <w:szCs w:val="20"/>
                <w:color w:val="auto"/>
              </w:rPr>
            </w:pPr>
            <w:r>
              <w:rPr>
                <w:rFonts w:ascii="MS PGothic" w:cs="MS PGothic" w:eastAsia="MS PGothic" w:hAnsi="MS PGothic"/>
                <w:sz w:val="15"/>
                <w:szCs w:val="15"/>
                <w:color w:val="auto"/>
              </w:rPr>
              <w:t>—</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MS PGothic" w:cs="MS PGothic" w:eastAsia="MS PGothic" w:hAnsi="MS PGothic"/>
                <w:sz w:val="15"/>
                <w:szCs w:val="15"/>
                <w:color w:val="auto"/>
              </w:rPr>
              <w:t>—</w:t>
            </w: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
        </w:trPr>
        <w:tc>
          <w:tcPr>
            <w:tcW w:w="5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7"/>
        </w:trPr>
        <w:tc>
          <w:tcPr>
            <w:tcW w:w="5180" w:type="dxa"/>
            <w:vAlign w:val="bottom"/>
            <w:tcBorders>
              <w:bottom w:val="single" w:sz="8" w:color="CFF0FC"/>
            </w:tcBorders>
            <w:shd w:val="clear" w:color="auto" w:fill="CFF0FC"/>
          </w:tcPr>
          <w:p>
            <w:pPr>
              <w:ind w:left="160"/>
              <w:spacing w:after="0"/>
              <w:rPr>
                <w:sz w:val="20"/>
                <w:szCs w:val="20"/>
                <w:color w:val="auto"/>
              </w:rPr>
            </w:pPr>
            <w:r>
              <w:rPr>
                <w:rFonts w:ascii="MS PGothic" w:cs="MS PGothic" w:eastAsia="MS PGothic" w:hAnsi="MS PGothic"/>
                <w:sz w:val="15"/>
                <w:szCs w:val="15"/>
                <w:color w:val="auto"/>
              </w:rPr>
              <w:t>Exercised</w:t>
            </w:r>
          </w:p>
        </w:tc>
        <w:tc>
          <w:tcPr>
            <w:tcW w:w="130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MS PGothic" w:cs="MS PGothic" w:eastAsia="MS PGothic" w:hAnsi="MS PGothic"/>
                <w:sz w:val="15"/>
                <w:szCs w:val="15"/>
                <w:color w:val="auto"/>
              </w:rPr>
              <w:t>(15,834 )</w:t>
            </w:r>
          </w:p>
        </w:tc>
        <w:tc>
          <w:tcPr>
            <w:tcW w:w="140" w:type="dxa"/>
            <w:vAlign w:val="bottom"/>
            <w:tcBorders>
              <w:bottom w:val="single" w:sz="8" w:color="CFF0FC"/>
            </w:tcBorders>
            <w:shd w:val="clear" w:color="auto" w:fill="CFF0FC"/>
          </w:tcPr>
          <w:p>
            <w:pPr>
              <w:spacing w:after="0"/>
              <w:rPr>
                <w:sz w:val="16"/>
                <w:szCs w:val="16"/>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MS PGothic" w:cs="MS PGothic" w:eastAsia="MS PGothic" w:hAnsi="MS PGothic"/>
                <w:sz w:val="15"/>
                <w:szCs w:val="15"/>
                <w:color w:val="auto"/>
              </w:rPr>
              <w:t>4.69</w:t>
            </w:r>
          </w:p>
        </w:tc>
        <w:tc>
          <w:tcPr>
            <w:tcW w:w="200" w:type="dxa"/>
            <w:vAlign w:val="bottom"/>
            <w:tcBorders>
              <w:bottom w:val="single" w:sz="8" w:color="CFF0FC"/>
            </w:tcBorders>
            <w:shd w:val="clear" w:color="auto" w:fill="CFF0FC"/>
          </w:tcPr>
          <w:p>
            <w:pPr>
              <w:spacing w:after="0"/>
              <w:rPr>
                <w:sz w:val="16"/>
                <w:szCs w:val="16"/>
                <w:color w:val="auto"/>
              </w:rPr>
            </w:pPr>
          </w:p>
        </w:tc>
        <w:tc>
          <w:tcPr>
            <w:tcW w:w="108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MS PGothic" w:cs="MS PGothic" w:eastAsia="MS PGothic" w:hAnsi="MS PGothic"/>
                <w:sz w:val="15"/>
                <w:szCs w:val="15"/>
                <w:color w:val="auto"/>
              </w:rPr>
              <w:t>229</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99"/>
        </w:trPr>
        <w:tc>
          <w:tcPr>
            <w:tcW w:w="5180" w:type="dxa"/>
            <w:vAlign w:val="bottom"/>
          </w:tcPr>
          <w:p>
            <w:pPr>
              <w:ind w:left="160"/>
              <w:spacing w:after="0"/>
              <w:rPr>
                <w:sz w:val="20"/>
                <w:szCs w:val="20"/>
                <w:color w:val="auto"/>
              </w:rPr>
            </w:pPr>
            <w:r>
              <w:rPr>
                <w:rFonts w:ascii="MS PGothic" w:cs="MS PGothic" w:eastAsia="MS PGothic" w:hAnsi="MS PGothic"/>
                <w:sz w:val="15"/>
                <w:szCs w:val="15"/>
                <w:color w:val="auto"/>
              </w:rPr>
              <w:t>Forfeited or Expired</w:t>
            </w:r>
          </w:p>
        </w:tc>
        <w:tc>
          <w:tcPr>
            <w:tcW w:w="1300" w:type="dxa"/>
            <w:vAlign w:val="bottom"/>
            <w:gridSpan w:val="2"/>
          </w:tcPr>
          <w:p>
            <w:pPr>
              <w:jc w:val="right"/>
              <w:ind w:right="180"/>
              <w:spacing w:after="0"/>
              <w:rPr>
                <w:sz w:val="20"/>
                <w:szCs w:val="20"/>
                <w:color w:val="auto"/>
              </w:rPr>
            </w:pPr>
            <w:r>
              <w:rPr>
                <w:rFonts w:ascii="MS PGothic" w:cs="MS PGothic" w:eastAsia="MS PGothic" w:hAnsi="MS PGothic"/>
                <w:sz w:val="15"/>
                <w:szCs w:val="15"/>
                <w:color w:val="auto"/>
              </w:rPr>
              <w:t>(34,681 )</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MS PGothic" w:cs="MS PGothic" w:eastAsia="MS PGothic" w:hAnsi="MS PGothic"/>
                <w:sz w:val="15"/>
                <w:szCs w:val="15"/>
                <w:color w:val="auto"/>
              </w:rPr>
              <w:t>35.61</w:t>
            </w: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7"/>
        </w:trPr>
        <w:tc>
          <w:tcPr>
            <w:tcW w:w="5180" w:type="dxa"/>
            <w:vAlign w:val="bottom"/>
            <w:tcBorders>
              <w:bottom w:val="single" w:sz="8" w:color="CFF0FC"/>
            </w:tcBorders>
            <w:shd w:val="clear" w:color="auto" w:fill="CFF0FC"/>
          </w:tcPr>
          <w:p>
            <w:pPr>
              <w:spacing w:after="0"/>
              <w:rPr>
                <w:sz w:val="20"/>
                <w:szCs w:val="20"/>
                <w:color w:val="auto"/>
              </w:rPr>
            </w:pPr>
            <w:r>
              <w:rPr>
                <w:rFonts w:ascii="MS PGothic" w:cs="MS PGothic" w:eastAsia="MS PGothic" w:hAnsi="MS PGothic"/>
                <w:sz w:val="15"/>
                <w:szCs w:val="15"/>
                <w:color w:val="auto"/>
              </w:rPr>
              <w:t>Outstanding, December 31, 2023</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MS PGothic" w:cs="MS PGothic" w:eastAsia="MS PGothic" w:hAnsi="MS PGothic"/>
                <w:sz w:val="15"/>
                <w:szCs w:val="15"/>
                <w:color w:val="auto"/>
              </w:rPr>
              <w:t>776,094</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MS PGothic" w:cs="MS PGothic" w:eastAsia="MS PGothic" w:hAnsi="MS PGothic"/>
                <w:sz w:val="15"/>
                <w:szCs w:val="15"/>
                <w:color w:val="auto"/>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MS PGothic" w:cs="MS PGothic" w:eastAsia="MS PGothic" w:hAnsi="MS PGothic"/>
                <w:sz w:val="15"/>
                <w:szCs w:val="15"/>
                <w:color w:val="auto"/>
              </w:rPr>
              <w:t>25.17</w:t>
            </w:r>
          </w:p>
        </w:tc>
        <w:tc>
          <w:tcPr>
            <w:tcW w:w="1280" w:type="dxa"/>
            <w:vAlign w:val="bottom"/>
            <w:tcBorders>
              <w:bottom w:val="single" w:sz="8" w:color="CFF0FC"/>
            </w:tcBorders>
            <w:gridSpan w:val="2"/>
            <w:shd w:val="clear" w:color="auto" w:fill="CFF0FC"/>
          </w:tcPr>
          <w:p>
            <w:pPr>
              <w:jc w:val="right"/>
              <w:spacing w:after="0"/>
              <w:rPr>
                <w:sz w:val="20"/>
                <w:szCs w:val="20"/>
                <w:color w:val="auto"/>
              </w:rPr>
            </w:pPr>
            <w:r>
              <w:rPr>
                <w:rFonts w:ascii="MS PGothic" w:cs="MS PGothic" w:eastAsia="MS PGothic" w:hAnsi="MS PGothic"/>
                <w:sz w:val="15"/>
                <w:szCs w:val="15"/>
                <w:color w:val="auto"/>
              </w:rPr>
              <w:t>5.3</w:t>
            </w:r>
          </w:p>
        </w:tc>
        <w:tc>
          <w:tcPr>
            <w:tcW w:w="380" w:type="dxa"/>
            <w:vAlign w:val="bottom"/>
            <w:tcBorders>
              <w:bottom w:val="single" w:sz="8" w:color="CFF0FC"/>
            </w:tcBorders>
            <w:gridSpan w:val="2"/>
            <w:shd w:val="clear" w:color="auto" w:fill="CFF0FC"/>
          </w:tcPr>
          <w:p>
            <w:pPr>
              <w:jc w:val="right"/>
              <w:ind w:right="80"/>
              <w:spacing w:after="0"/>
              <w:rPr>
                <w:sz w:val="20"/>
                <w:szCs w:val="20"/>
                <w:color w:val="auto"/>
              </w:rPr>
            </w:pPr>
            <w:r>
              <w:rPr>
                <w:rFonts w:ascii="MS PGothic" w:cs="MS PGothic" w:eastAsia="MS PGothic" w:hAnsi="MS PGothic"/>
                <w:sz w:val="15"/>
                <w:szCs w:val="15"/>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MS PGothic" w:cs="MS PGothic" w:eastAsia="MS PGothic" w:hAnsi="MS PGothic"/>
                <w:sz w:val="15"/>
                <w:szCs w:val="15"/>
                <w:color w:val="auto"/>
              </w:rPr>
              <w:t>5,442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82"/>
        </w:trPr>
        <w:tc>
          <w:tcPr>
            <w:tcW w:w="5180" w:type="dxa"/>
            <w:vAlign w:val="bottom"/>
          </w:tcPr>
          <w:p>
            <w:pPr>
              <w:spacing w:after="0"/>
              <w:rPr>
                <w:sz w:val="20"/>
                <w:szCs w:val="20"/>
                <w:color w:val="auto"/>
              </w:rPr>
            </w:pPr>
            <w:r>
              <w:rPr>
                <w:rFonts w:ascii="MS PGothic" w:cs="MS PGothic" w:eastAsia="MS PGothic" w:hAnsi="MS PGothic"/>
                <w:sz w:val="15"/>
                <w:szCs w:val="15"/>
                <w:color w:val="auto"/>
              </w:rPr>
              <w:t>Exercisable as of December 31, 2023</w:t>
            </w:r>
          </w:p>
        </w:tc>
        <w:tc>
          <w:tcPr>
            <w:tcW w:w="1060" w:type="dxa"/>
            <w:vAlign w:val="bottom"/>
            <w:tcBorders>
              <w:bottom w:val="single" w:sz="8" w:color="auto"/>
            </w:tcBorders>
          </w:tcPr>
          <w:p>
            <w:pPr>
              <w:jc w:val="right"/>
              <w:spacing w:after="0"/>
              <w:rPr>
                <w:sz w:val="20"/>
                <w:szCs w:val="20"/>
                <w:color w:val="auto"/>
              </w:rPr>
            </w:pPr>
            <w:r>
              <w:rPr>
                <w:rFonts w:ascii="MS PGothic" w:cs="MS PGothic" w:eastAsia="MS PGothic" w:hAnsi="MS PGothic"/>
                <w:sz w:val="15"/>
                <w:szCs w:val="15"/>
                <w:color w:val="auto"/>
              </w:rPr>
              <w:t>590,401</w:t>
            </w:r>
          </w:p>
        </w:tc>
        <w:tc>
          <w:tcPr>
            <w:tcW w:w="24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MS PGothic" w:cs="MS PGothic" w:eastAsia="MS PGothic" w:hAnsi="MS PGothic"/>
                <w:sz w:val="15"/>
                <w:szCs w:val="15"/>
                <w:color w:val="auto"/>
              </w:rPr>
              <w:t>$</w:t>
            </w:r>
          </w:p>
        </w:tc>
        <w:tc>
          <w:tcPr>
            <w:tcW w:w="900" w:type="dxa"/>
            <w:vAlign w:val="bottom"/>
          </w:tcPr>
          <w:p>
            <w:pPr>
              <w:jc w:val="right"/>
              <w:spacing w:after="0"/>
              <w:rPr>
                <w:sz w:val="20"/>
                <w:szCs w:val="20"/>
                <w:color w:val="auto"/>
              </w:rPr>
            </w:pPr>
            <w:r>
              <w:rPr>
                <w:rFonts w:ascii="MS PGothic" w:cs="MS PGothic" w:eastAsia="MS PGothic" w:hAnsi="MS PGothic"/>
                <w:sz w:val="15"/>
                <w:szCs w:val="15"/>
                <w:color w:val="auto"/>
              </w:rPr>
              <w:t>21.83</w:t>
            </w:r>
          </w:p>
        </w:tc>
        <w:tc>
          <w:tcPr>
            <w:tcW w:w="1280" w:type="dxa"/>
            <w:vAlign w:val="bottom"/>
            <w:gridSpan w:val="2"/>
          </w:tcPr>
          <w:p>
            <w:pPr>
              <w:jc w:val="right"/>
              <w:spacing w:after="0"/>
              <w:rPr>
                <w:sz w:val="20"/>
                <w:szCs w:val="20"/>
                <w:color w:val="auto"/>
              </w:rPr>
            </w:pPr>
            <w:r>
              <w:rPr>
                <w:rFonts w:ascii="MS PGothic" w:cs="MS PGothic" w:eastAsia="MS PGothic" w:hAnsi="MS PGothic"/>
                <w:sz w:val="15"/>
                <w:szCs w:val="15"/>
                <w:color w:val="auto"/>
              </w:rPr>
              <w:t>4.7</w:t>
            </w:r>
          </w:p>
        </w:tc>
        <w:tc>
          <w:tcPr>
            <w:tcW w:w="380" w:type="dxa"/>
            <w:vAlign w:val="bottom"/>
            <w:gridSpan w:val="2"/>
          </w:tcPr>
          <w:p>
            <w:pPr>
              <w:jc w:val="right"/>
              <w:ind w:right="80"/>
              <w:spacing w:after="0"/>
              <w:rPr>
                <w:sz w:val="20"/>
                <w:szCs w:val="20"/>
                <w:color w:val="auto"/>
              </w:rPr>
            </w:pPr>
            <w:r>
              <w:rPr>
                <w:rFonts w:ascii="MS PGothic" w:cs="MS PGothic" w:eastAsia="MS PGothic" w:hAnsi="MS PGothic"/>
                <w:sz w:val="15"/>
                <w:szCs w:val="15"/>
                <w:color w:val="auto"/>
              </w:rPr>
              <w:t>$</w:t>
            </w:r>
          </w:p>
        </w:tc>
        <w:tc>
          <w:tcPr>
            <w:tcW w:w="860" w:type="dxa"/>
            <w:vAlign w:val="bottom"/>
          </w:tcPr>
          <w:p>
            <w:pPr>
              <w:jc w:val="right"/>
              <w:spacing w:after="0"/>
              <w:rPr>
                <w:sz w:val="20"/>
                <w:szCs w:val="20"/>
                <w:color w:val="auto"/>
              </w:rPr>
            </w:pPr>
            <w:r>
              <w:rPr>
                <w:rFonts w:ascii="MS PGothic" w:cs="MS PGothic" w:eastAsia="MS PGothic" w:hAnsi="MS PGothic"/>
                <w:sz w:val="15"/>
                <w:szCs w:val="15"/>
                <w:color w:val="auto"/>
              </w:rPr>
              <w:t>5,442</w:t>
            </w:r>
          </w:p>
        </w:tc>
        <w:tc>
          <w:tcPr>
            <w:tcW w:w="100" w:type="dxa"/>
            <w:vAlign w:val="bottom"/>
          </w:tcPr>
          <w:p>
            <w:pPr>
              <w:spacing w:after="0"/>
              <w:rPr>
                <w:sz w:val="15"/>
                <w:szCs w:val="15"/>
                <w:color w:val="auto"/>
              </w:rPr>
            </w:pPr>
          </w:p>
        </w:tc>
      </w:tr>
      <w:tr>
        <w:trPr>
          <w:trHeight w:val="20"/>
        </w:trPr>
        <w:tc>
          <w:tcPr>
            <w:tcW w:w="51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4319905</wp:posOffset>
            </wp:positionH>
            <wp:positionV relativeFrom="paragraph">
              <wp:posOffset>-174625</wp:posOffset>
            </wp:positionV>
            <wp:extent cx="66040" cy="762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4319905</wp:posOffset>
            </wp:positionH>
            <wp:positionV relativeFrom="paragraph">
              <wp:posOffset>-160020</wp:posOffset>
            </wp:positionV>
            <wp:extent cx="66040" cy="762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6040" cy="7620"/>
                    </a:xfrm>
                    <a:prstGeom prst="rect">
                      <a:avLst/>
                    </a:prstGeom>
                    <a:noFill/>
                  </pic:spPr>
                </pic:pic>
              </a:graphicData>
            </a:graphic>
          </wp:anchor>
        </w:drawing>
      </w:r>
    </w:p>
    <w:p>
      <w:pPr>
        <w:spacing w:after="0" w:line="67" w:lineRule="exact"/>
        <w:rPr>
          <w:sz w:val="20"/>
          <w:szCs w:val="20"/>
          <w:color w:val="auto"/>
        </w:rPr>
      </w:pPr>
    </w:p>
    <w:p>
      <w:pPr>
        <w:ind w:left="1020" w:hanging="522"/>
        <w:spacing w:after="0" w:line="190" w:lineRule="auto"/>
        <w:tabs>
          <w:tab w:leader="none" w:pos="1020" w:val="left"/>
        </w:tabs>
        <w:numPr>
          <w:ilvl w:val="0"/>
          <w:numId w:val="31"/>
        </w:numPr>
        <w:rPr>
          <w:rFonts w:ascii="Calibri" w:cs="Calibri" w:eastAsia="Calibri" w:hAnsi="Calibri"/>
          <w:sz w:val="18"/>
          <w:szCs w:val="18"/>
          <w:color w:val="auto"/>
          <w:vertAlign w:val="subscript"/>
        </w:rPr>
      </w:pPr>
      <w:r>
        <w:rPr>
          <w:rFonts w:ascii="Calibri" w:cs="Calibri" w:eastAsia="Calibri" w:hAnsi="Calibri"/>
          <w:sz w:val="10"/>
          <w:szCs w:val="10"/>
          <w:color w:val="auto"/>
        </w:rPr>
        <w:t>As of December 31, 2023 and 2022, the aggregate intrinsic value was calculated based on the positve diference, if any, between the estmated fair value of common stock on December 31, 2023 and 2022, respectvely, or the date of exercise, as appropriate, and the exercise price of the underlying optons.</w:t>
      </w:r>
    </w:p>
    <w:p>
      <w:pPr>
        <w:spacing w:after="0" w:line="199" w:lineRule="exact"/>
        <w:rPr>
          <w:sz w:val="20"/>
          <w:szCs w:val="20"/>
          <w:color w:val="auto"/>
        </w:rPr>
      </w:pPr>
    </w:p>
    <w:p>
      <w:pPr>
        <w:ind w:left="500"/>
        <w:spacing w:after="0"/>
        <w:rPr>
          <w:sz w:val="20"/>
          <w:szCs w:val="20"/>
          <w:color w:val="auto"/>
        </w:rPr>
      </w:pPr>
      <w:r>
        <w:rPr>
          <w:rFonts w:ascii="MS PGothic" w:cs="MS PGothic" w:eastAsia="MS PGothic" w:hAnsi="MS PGothic"/>
          <w:sz w:val="15"/>
          <w:szCs w:val="15"/>
          <w:color w:val="auto"/>
        </w:rPr>
        <w:t>During the year ended December 31, 2022, there were 30,266 optons granted. During the year ended December 31, 2021, there were 619,618 optons granted.</w:t>
      </w:r>
    </w:p>
    <w:p>
      <w:pPr>
        <w:spacing w:after="0" w:line="218" w:lineRule="exact"/>
        <w:rPr>
          <w:sz w:val="20"/>
          <w:szCs w:val="20"/>
          <w:color w:val="auto"/>
        </w:rPr>
      </w:pPr>
    </w:p>
    <w:p>
      <w:pPr>
        <w:ind w:left="500"/>
        <w:spacing w:after="0"/>
        <w:rPr>
          <w:sz w:val="20"/>
          <w:szCs w:val="20"/>
          <w:color w:val="auto"/>
        </w:rPr>
      </w:pPr>
      <w:r>
        <w:rPr>
          <w:rFonts w:ascii="MS PGothic" w:cs="MS PGothic" w:eastAsia="MS PGothic" w:hAnsi="MS PGothic"/>
          <w:sz w:val="15"/>
          <w:szCs w:val="15"/>
          <w:color w:val="auto"/>
        </w:rPr>
        <w:t>During the years ended December 31, 2022 and 2021, the aggregate intrinsic value for optons exercised was $3,774 and $6,027, respectvely.</w:t>
      </w:r>
    </w:p>
    <w:p>
      <w:pPr>
        <w:spacing w:after="0" w:line="218" w:lineRule="exact"/>
        <w:rPr>
          <w:sz w:val="20"/>
          <w:szCs w:val="20"/>
          <w:color w:val="auto"/>
        </w:rPr>
      </w:pPr>
    </w:p>
    <w:p>
      <w:pPr>
        <w:ind w:firstLine="511"/>
        <w:spacing w:after="0" w:line="347" w:lineRule="auto"/>
        <w:rPr>
          <w:sz w:val="20"/>
          <w:szCs w:val="20"/>
          <w:color w:val="auto"/>
        </w:rPr>
      </w:pPr>
      <w:r>
        <w:rPr>
          <w:rFonts w:ascii="MS PGothic" w:cs="MS PGothic" w:eastAsia="MS PGothic" w:hAnsi="MS PGothic"/>
          <w:sz w:val="15"/>
          <w:szCs w:val="15"/>
          <w:color w:val="auto"/>
        </w:rPr>
        <w:t>As of December 31, 2023, there was $2,623 unrecognized stock‑based compensaton expense related to unvested stock optons that is expected to be recognized over a weighted‑average period of 1.3 years.</w:t>
      </w:r>
    </w:p>
    <w:p>
      <w:pPr>
        <w:spacing w:after="0" w:line="118" w:lineRule="exact"/>
        <w:rPr>
          <w:sz w:val="20"/>
          <w:szCs w:val="20"/>
          <w:color w:val="auto"/>
        </w:rPr>
      </w:pPr>
    </w:p>
    <w:p>
      <w:pPr>
        <w:spacing w:after="0"/>
        <w:rPr>
          <w:sz w:val="20"/>
          <w:szCs w:val="20"/>
          <w:color w:val="auto"/>
        </w:rPr>
      </w:pPr>
      <w:r>
        <w:rPr>
          <w:rFonts w:ascii="Calibri" w:cs="Calibri" w:eastAsia="Calibri" w:hAnsi="Calibri"/>
          <w:sz w:val="15"/>
          <w:szCs w:val="15"/>
          <w:b w:val="1"/>
          <w:bCs w:val="1"/>
          <w:i w:val="1"/>
          <w:iCs w:val="1"/>
          <w:color w:val="auto"/>
        </w:rPr>
        <w:t>Restricted Stock Units</w:t>
      </w:r>
    </w:p>
    <w:p>
      <w:pPr>
        <w:spacing w:after="0" w:line="185" w:lineRule="exact"/>
        <w:rPr>
          <w:sz w:val="20"/>
          <w:szCs w:val="20"/>
          <w:color w:val="auto"/>
        </w:rPr>
      </w:pPr>
    </w:p>
    <w:p>
      <w:pPr>
        <w:ind w:left="500"/>
        <w:spacing w:after="0"/>
        <w:rPr>
          <w:sz w:val="20"/>
          <w:szCs w:val="20"/>
          <w:color w:val="auto"/>
        </w:rPr>
      </w:pPr>
      <w:r>
        <w:rPr>
          <w:rFonts w:ascii="MS PGothic" w:cs="MS PGothic" w:eastAsia="MS PGothic" w:hAnsi="MS PGothic"/>
          <w:sz w:val="15"/>
          <w:szCs w:val="15"/>
          <w:color w:val="auto"/>
        </w:rPr>
        <w:t>During the year ended December 31, 2023, RSU actvity is as follows:</w:t>
      </w:r>
    </w:p>
    <w:p>
      <w:pPr>
        <w:spacing w:after="0" w:line="327" w:lineRule="exact"/>
        <w:rPr>
          <w:sz w:val="20"/>
          <w:szCs w:val="20"/>
          <w:color w:val="auto"/>
        </w:rPr>
      </w:pPr>
    </w:p>
    <w:tbl>
      <w:tblPr>
        <w:tblLayout w:type="fixed"/>
        <w:tblInd w:w="560" w:type="dxa"/>
        <w:tblCellMar>
          <w:top w:w="0" w:type="dxa"/>
          <w:left w:w="0" w:type="dxa"/>
          <w:bottom w:w="0" w:type="dxa"/>
          <w:right w:w="0" w:type="dxa"/>
        </w:tblCellMar>
      </w:tblPr>
      <w:tr>
        <w:trPr>
          <w:trHeight w:val="146"/>
        </w:trPr>
        <w:tc>
          <w:tcPr>
            <w:tcW w:w="59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109"/>
              <w:spacing w:after="0"/>
              <w:rPr>
                <w:sz w:val="20"/>
                <w:szCs w:val="20"/>
                <w:color w:val="auto"/>
              </w:rPr>
            </w:pPr>
            <w:r>
              <w:rPr>
                <w:rFonts w:ascii="Calibri" w:cs="Calibri" w:eastAsia="Calibri" w:hAnsi="Calibri"/>
                <w:sz w:val="12"/>
                <w:szCs w:val="12"/>
                <w:b w:val="1"/>
                <w:bCs w:val="1"/>
                <w:color w:val="auto"/>
                <w:w w:val="99"/>
              </w:rPr>
              <w:t>Weighted-</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center"/>
              <w:ind w:right="300"/>
              <w:spacing w:after="0"/>
              <w:rPr>
                <w:sz w:val="20"/>
                <w:szCs w:val="20"/>
                <w:color w:val="auto"/>
              </w:rPr>
            </w:pPr>
            <w:r>
              <w:rPr>
                <w:rFonts w:ascii="Calibri" w:cs="Calibri" w:eastAsia="Calibri" w:hAnsi="Calibri"/>
                <w:sz w:val="12"/>
                <w:szCs w:val="12"/>
                <w:b w:val="1"/>
                <w:bCs w:val="1"/>
                <w:color w:val="auto"/>
                <w:w w:val="98"/>
              </w:rPr>
              <w:t>Aggregate</w:t>
            </w:r>
          </w:p>
        </w:tc>
      </w:tr>
      <w:tr>
        <w:trPr>
          <w:trHeight w:val="150"/>
        </w:trPr>
        <w:tc>
          <w:tcPr>
            <w:tcW w:w="5920" w:type="dxa"/>
            <w:vAlign w:val="bottom"/>
          </w:tcPr>
          <w:p>
            <w:pPr>
              <w:spacing w:after="0"/>
              <w:rPr>
                <w:sz w:val="13"/>
                <w:szCs w:val="13"/>
                <w:color w:val="auto"/>
              </w:rPr>
            </w:pPr>
          </w:p>
        </w:tc>
        <w:tc>
          <w:tcPr>
            <w:tcW w:w="1500" w:type="dxa"/>
            <w:vAlign w:val="bottom"/>
            <w:gridSpan w:val="2"/>
          </w:tcPr>
          <w:p>
            <w:pPr>
              <w:jc w:val="right"/>
              <w:ind w:right="600"/>
              <w:spacing w:after="0"/>
              <w:rPr>
                <w:sz w:val="20"/>
                <w:szCs w:val="20"/>
                <w:color w:val="auto"/>
              </w:rPr>
            </w:pPr>
            <w:r>
              <w:rPr>
                <w:rFonts w:ascii="Calibri" w:cs="Calibri" w:eastAsia="Calibri" w:hAnsi="Calibri"/>
                <w:sz w:val="12"/>
                <w:szCs w:val="12"/>
                <w:b w:val="1"/>
                <w:bCs w:val="1"/>
                <w:color w:val="auto"/>
              </w:rPr>
              <w:t>Number of</w:t>
            </w:r>
          </w:p>
        </w:tc>
        <w:tc>
          <w:tcPr>
            <w:tcW w:w="140" w:type="dxa"/>
            <w:vAlign w:val="bottom"/>
          </w:tcPr>
          <w:p>
            <w:pPr>
              <w:spacing w:after="0"/>
              <w:rPr>
                <w:sz w:val="13"/>
                <w:szCs w:val="13"/>
                <w:color w:val="auto"/>
              </w:rPr>
            </w:pPr>
          </w:p>
        </w:tc>
        <w:tc>
          <w:tcPr>
            <w:tcW w:w="1060" w:type="dxa"/>
            <w:vAlign w:val="bottom"/>
          </w:tcPr>
          <w:p>
            <w:pPr>
              <w:jc w:val="center"/>
              <w:ind w:right="69"/>
              <w:spacing w:after="0"/>
              <w:rPr>
                <w:sz w:val="20"/>
                <w:szCs w:val="20"/>
                <w:color w:val="auto"/>
              </w:rPr>
            </w:pPr>
            <w:r>
              <w:rPr>
                <w:rFonts w:ascii="Calibri" w:cs="Calibri" w:eastAsia="Calibri" w:hAnsi="Calibri"/>
                <w:sz w:val="12"/>
                <w:szCs w:val="12"/>
                <w:b w:val="1"/>
                <w:bCs w:val="1"/>
                <w:color w:val="auto"/>
                <w:w w:val="99"/>
              </w:rPr>
              <w:t>Average Grant</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jc w:val="center"/>
              <w:ind w:right="300"/>
              <w:spacing w:after="0"/>
              <w:rPr>
                <w:sz w:val="20"/>
                <w:szCs w:val="20"/>
                <w:color w:val="auto"/>
              </w:rPr>
            </w:pPr>
            <w:r>
              <w:rPr>
                <w:rFonts w:ascii="Calibri" w:cs="Calibri" w:eastAsia="Calibri" w:hAnsi="Calibri"/>
                <w:sz w:val="12"/>
                <w:szCs w:val="12"/>
                <w:b w:val="1"/>
                <w:bCs w:val="1"/>
                <w:color w:val="auto"/>
              </w:rPr>
              <w:t>Intrinsic</w:t>
            </w:r>
          </w:p>
        </w:tc>
      </w:tr>
      <w:tr>
        <w:trPr>
          <w:trHeight w:val="150"/>
        </w:trPr>
        <w:tc>
          <w:tcPr>
            <w:tcW w:w="5920" w:type="dxa"/>
            <w:vAlign w:val="bottom"/>
          </w:tcPr>
          <w:p>
            <w:pPr>
              <w:spacing w:after="0"/>
              <w:rPr>
                <w:sz w:val="13"/>
                <w:szCs w:val="13"/>
                <w:color w:val="auto"/>
              </w:rPr>
            </w:pPr>
          </w:p>
        </w:tc>
        <w:tc>
          <w:tcPr>
            <w:tcW w:w="1500" w:type="dxa"/>
            <w:vAlign w:val="bottom"/>
            <w:gridSpan w:val="2"/>
          </w:tcPr>
          <w:p>
            <w:pPr>
              <w:jc w:val="right"/>
              <w:ind w:right="720"/>
              <w:spacing w:after="0"/>
              <w:rPr>
                <w:sz w:val="20"/>
                <w:szCs w:val="20"/>
                <w:color w:val="auto"/>
              </w:rPr>
            </w:pPr>
            <w:r>
              <w:rPr>
                <w:rFonts w:ascii="Calibri" w:cs="Calibri" w:eastAsia="Calibri" w:hAnsi="Calibri"/>
                <w:sz w:val="12"/>
                <w:szCs w:val="12"/>
                <w:b w:val="1"/>
                <w:bCs w:val="1"/>
                <w:color w:val="auto"/>
              </w:rPr>
              <w:t>Shares</w:t>
            </w:r>
          </w:p>
        </w:tc>
        <w:tc>
          <w:tcPr>
            <w:tcW w:w="140" w:type="dxa"/>
            <w:vAlign w:val="bottom"/>
          </w:tcPr>
          <w:p>
            <w:pPr>
              <w:spacing w:after="0"/>
              <w:rPr>
                <w:sz w:val="13"/>
                <w:szCs w:val="13"/>
                <w:color w:val="auto"/>
              </w:rPr>
            </w:pPr>
          </w:p>
        </w:tc>
        <w:tc>
          <w:tcPr>
            <w:tcW w:w="1060" w:type="dxa"/>
            <w:vAlign w:val="bottom"/>
          </w:tcPr>
          <w:p>
            <w:pPr>
              <w:jc w:val="center"/>
              <w:ind w:right="69"/>
              <w:spacing w:after="0"/>
              <w:rPr>
                <w:sz w:val="20"/>
                <w:szCs w:val="20"/>
                <w:color w:val="auto"/>
              </w:rPr>
            </w:pPr>
            <w:r>
              <w:rPr>
                <w:rFonts w:ascii="Calibri" w:cs="Calibri" w:eastAsia="Calibri" w:hAnsi="Calibri"/>
                <w:sz w:val="12"/>
                <w:szCs w:val="12"/>
                <w:b w:val="1"/>
                <w:bCs w:val="1"/>
                <w:color w:val="auto"/>
                <w:w w:val="99"/>
              </w:rPr>
              <w:t>Date Fair Value</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jc w:val="center"/>
              <w:ind w:right="320"/>
              <w:spacing w:after="0"/>
              <w:rPr>
                <w:sz w:val="20"/>
                <w:szCs w:val="20"/>
                <w:color w:val="auto"/>
              </w:rPr>
            </w:pPr>
            <w:r>
              <w:rPr>
                <w:rFonts w:ascii="Calibri" w:cs="Calibri" w:eastAsia="Calibri" w:hAnsi="Calibri"/>
                <w:sz w:val="12"/>
                <w:szCs w:val="12"/>
                <w:b w:val="1"/>
                <w:bCs w:val="1"/>
                <w:color w:val="auto"/>
                <w:w w:val="98"/>
              </w:rPr>
              <w:t>Value</w:t>
            </w:r>
          </w:p>
        </w:tc>
      </w:tr>
      <w:tr>
        <w:trPr>
          <w:trHeight w:val="28"/>
        </w:trPr>
        <w:tc>
          <w:tcPr>
            <w:tcW w:w="59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79"/>
        </w:trPr>
        <w:tc>
          <w:tcPr>
            <w:tcW w:w="5920" w:type="dxa"/>
            <w:vAlign w:val="bottom"/>
            <w:tcBorders>
              <w:bottom w:val="single" w:sz="8" w:color="CFF0FC"/>
            </w:tcBorders>
            <w:shd w:val="clear" w:color="auto" w:fill="CFF0FC"/>
          </w:tcPr>
          <w:p>
            <w:pPr>
              <w:spacing w:after="0"/>
              <w:rPr>
                <w:sz w:val="20"/>
                <w:szCs w:val="20"/>
                <w:color w:val="auto"/>
              </w:rPr>
            </w:pPr>
            <w:r>
              <w:rPr>
                <w:rFonts w:ascii="MS PGothic" w:cs="MS PGothic" w:eastAsia="MS PGothic" w:hAnsi="MS PGothic"/>
                <w:sz w:val="15"/>
                <w:szCs w:val="15"/>
                <w:color w:val="auto"/>
              </w:rPr>
              <w:t>Unvested outstanding, December 31, 2022</w:t>
            </w:r>
          </w:p>
        </w:tc>
        <w:tc>
          <w:tcPr>
            <w:tcW w:w="1240" w:type="dxa"/>
            <w:vAlign w:val="bottom"/>
            <w:tcBorders>
              <w:bottom w:val="single" w:sz="8" w:color="CFF0FC"/>
            </w:tcBorders>
            <w:shd w:val="clear" w:color="auto" w:fill="CFF0FC"/>
          </w:tcPr>
          <w:p>
            <w:pPr>
              <w:jc w:val="right"/>
              <w:spacing w:after="0"/>
              <w:rPr>
                <w:sz w:val="20"/>
                <w:szCs w:val="20"/>
                <w:color w:val="auto"/>
              </w:rPr>
            </w:pPr>
            <w:r>
              <w:rPr>
                <w:rFonts w:ascii="MS PGothic" w:cs="MS PGothic" w:eastAsia="MS PGothic" w:hAnsi="MS PGothic"/>
                <w:sz w:val="15"/>
                <w:szCs w:val="15"/>
                <w:color w:val="auto"/>
              </w:rPr>
              <w:t>4,484,291</w:t>
            </w:r>
          </w:p>
        </w:tc>
        <w:tc>
          <w:tcPr>
            <w:tcW w:w="26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MS PGothic" w:cs="MS PGothic" w:eastAsia="MS PGothic" w:hAnsi="MS PGothic"/>
                <w:sz w:val="15"/>
                <w:szCs w:val="15"/>
                <w:color w:val="auto"/>
                <w:w w:val="79"/>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MS PGothic" w:cs="MS PGothic" w:eastAsia="MS PGothic" w:hAnsi="MS PGothic"/>
                <w:sz w:val="15"/>
                <w:szCs w:val="15"/>
                <w:color w:val="auto"/>
              </w:rPr>
              <w:t>29.36</w:t>
            </w:r>
          </w:p>
        </w:tc>
        <w:tc>
          <w:tcPr>
            <w:tcW w:w="44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MS PGothic" w:cs="MS PGothic" w:eastAsia="MS PGothic" w:hAnsi="MS PGothic"/>
                <w:sz w:val="15"/>
                <w:szCs w:val="15"/>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MS PGothic" w:cs="MS PGothic" w:eastAsia="MS PGothic" w:hAnsi="MS PGothic"/>
                <w:sz w:val="15"/>
                <w:szCs w:val="15"/>
                <w:color w:val="auto"/>
              </w:rPr>
              <w:t>62,825</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83"/>
        </w:trPr>
        <w:tc>
          <w:tcPr>
            <w:tcW w:w="5920" w:type="dxa"/>
            <w:vAlign w:val="bottom"/>
          </w:tcPr>
          <w:p>
            <w:pPr>
              <w:ind w:left="160"/>
              <w:spacing w:after="0"/>
              <w:rPr>
                <w:sz w:val="20"/>
                <w:szCs w:val="20"/>
                <w:color w:val="auto"/>
              </w:rPr>
            </w:pPr>
            <w:r>
              <w:rPr>
                <w:rFonts w:ascii="MS PGothic" w:cs="MS PGothic" w:eastAsia="MS PGothic" w:hAnsi="MS PGothic"/>
                <w:sz w:val="15"/>
                <w:szCs w:val="15"/>
                <w:color w:val="auto"/>
              </w:rPr>
              <w:t>Granted</w:t>
            </w:r>
          </w:p>
        </w:tc>
        <w:tc>
          <w:tcPr>
            <w:tcW w:w="1240" w:type="dxa"/>
            <w:vAlign w:val="bottom"/>
          </w:tcPr>
          <w:p>
            <w:pPr>
              <w:jc w:val="right"/>
              <w:spacing w:after="0"/>
              <w:rPr>
                <w:sz w:val="20"/>
                <w:szCs w:val="20"/>
                <w:color w:val="auto"/>
              </w:rPr>
            </w:pPr>
            <w:r>
              <w:rPr>
                <w:rFonts w:ascii="MS PGothic" w:cs="MS PGothic" w:eastAsia="MS PGothic" w:hAnsi="MS PGothic"/>
                <w:sz w:val="15"/>
                <w:szCs w:val="15"/>
                <w:color w:val="auto"/>
              </w:rPr>
              <w:t>4,133,865</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MS PGothic" w:cs="MS PGothic" w:eastAsia="MS PGothic" w:hAnsi="MS PGothic"/>
                <w:sz w:val="15"/>
                <w:szCs w:val="15"/>
                <w:color w:val="auto"/>
              </w:rPr>
              <w:t>17.47</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
        </w:trPr>
        <w:tc>
          <w:tcPr>
            <w:tcW w:w="59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7"/>
        </w:trPr>
        <w:tc>
          <w:tcPr>
            <w:tcW w:w="5920" w:type="dxa"/>
            <w:vAlign w:val="bottom"/>
            <w:tcBorders>
              <w:bottom w:val="single" w:sz="8" w:color="CFF0FC"/>
            </w:tcBorders>
            <w:shd w:val="clear" w:color="auto" w:fill="CFF0FC"/>
          </w:tcPr>
          <w:p>
            <w:pPr>
              <w:ind w:left="160"/>
              <w:spacing w:after="0"/>
              <w:rPr>
                <w:sz w:val="20"/>
                <w:szCs w:val="20"/>
                <w:color w:val="auto"/>
              </w:rPr>
            </w:pPr>
            <w:r>
              <w:rPr>
                <w:rFonts w:ascii="MS PGothic" w:cs="MS PGothic" w:eastAsia="MS PGothic" w:hAnsi="MS PGothic"/>
                <w:sz w:val="15"/>
                <w:szCs w:val="15"/>
                <w:color w:val="auto"/>
              </w:rPr>
              <w:t>Vested</w:t>
            </w:r>
          </w:p>
        </w:tc>
        <w:tc>
          <w:tcPr>
            <w:tcW w:w="150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MS PGothic" w:cs="MS PGothic" w:eastAsia="MS PGothic" w:hAnsi="MS PGothic"/>
                <w:sz w:val="15"/>
                <w:szCs w:val="15"/>
                <w:color w:val="auto"/>
              </w:rPr>
              <w:t>(2,440,510 )</w:t>
            </w:r>
          </w:p>
        </w:tc>
        <w:tc>
          <w:tcPr>
            <w:tcW w:w="140" w:type="dxa"/>
            <w:vAlign w:val="bottom"/>
            <w:tcBorders>
              <w:bottom w:val="single" w:sz="8" w:color="CFF0FC"/>
            </w:tcBorders>
            <w:shd w:val="clear" w:color="auto" w:fill="CFF0FC"/>
          </w:tcPr>
          <w:p>
            <w:pPr>
              <w:spacing w:after="0"/>
              <w:rPr>
                <w:sz w:val="16"/>
                <w:szCs w:val="16"/>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MS PGothic" w:cs="MS PGothic" w:eastAsia="MS PGothic" w:hAnsi="MS PGothic"/>
                <w:sz w:val="15"/>
                <w:szCs w:val="15"/>
                <w:color w:val="auto"/>
              </w:rPr>
              <w:t>26.83</w:t>
            </w:r>
          </w:p>
        </w:tc>
        <w:tc>
          <w:tcPr>
            <w:tcW w:w="24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9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r>
      <w:tr>
        <w:trPr>
          <w:trHeight w:val="199"/>
        </w:trPr>
        <w:tc>
          <w:tcPr>
            <w:tcW w:w="5920" w:type="dxa"/>
            <w:vAlign w:val="bottom"/>
          </w:tcPr>
          <w:p>
            <w:pPr>
              <w:ind w:left="160"/>
              <w:spacing w:after="0"/>
              <w:rPr>
                <w:sz w:val="20"/>
                <w:szCs w:val="20"/>
                <w:color w:val="auto"/>
              </w:rPr>
            </w:pPr>
            <w:r>
              <w:rPr>
                <w:rFonts w:ascii="MS PGothic" w:cs="MS PGothic" w:eastAsia="MS PGothic" w:hAnsi="MS PGothic"/>
                <w:sz w:val="15"/>
                <w:szCs w:val="15"/>
                <w:color w:val="auto"/>
              </w:rPr>
              <w:t>Forfeited</w:t>
            </w:r>
          </w:p>
        </w:tc>
        <w:tc>
          <w:tcPr>
            <w:tcW w:w="1500" w:type="dxa"/>
            <w:vAlign w:val="bottom"/>
            <w:gridSpan w:val="2"/>
          </w:tcPr>
          <w:p>
            <w:pPr>
              <w:jc w:val="right"/>
              <w:ind w:right="200"/>
              <w:spacing w:after="0"/>
              <w:rPr>
                <w:sz w:val="20"/>
                <w:szCs w:val="20"/>
                <w:color w:val="auto"/>
              </w:rPr>
            </w:pPr>
            <w:r>
              <w:rPr>
                <w:rFonts w:ascii="MS PGothic" w:cs="MS PGothic" w:eastAsia="MS PGothic" w:hAnsi="MS PGothic"/>
                <w:sz w:val="15"/>
                <w:szCs w:val="15"/>
                <w:color w:val="auto"/>
              </w:rPr>
              <w:t>(489,935 )</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MS PGothic" w:cs="MS PGothic" w:eastAsia="MS PGothic" w:hAnsi="MS PGothic"/>
                <w:sz w:val="15"/>
                <w:szCs w:val="15"/>
                <w:color w:val="auto"/>
              </w:rPr>
              <w:t>24.30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7"/>
        </w:trPr>
        <w:tc>
          <w:tcPr>
            <w:tcW w:w="5920" w:type="dxa"/>
            <w:vAlign w:val="bottom"/>
            <w:tcBorders>
              <w:bottom w:val="single" w:sz="8" w:color="CFF0FC"/>
            </w:tcBorders>
            <w:shd w:val="clear" w:color="auto" w:fill="CFF0FC"/>
          </w:tcPr>
          <w:p>
            <w:pPr>
              <w:spacing w:after="0"/>
              <w:rPr>
                <w:sz w:val="20"/>
                <w:szCs w:val="20"/>
                <w:color w:val="auto"/>
              </w:rPr>
            </w:pPr>
            <w:r>
              <w:rPr>
                <w:rFonts w:ascii="MS PGothic" w:cs="MS PGothic" w:eastAsia="MS PGothic" w:hAnsi="MS PGothic"/>
                <w:sz w:val="15"/>
                <w:szCs w:val="15"/>
                <w:color w:val="auto"/>
              </w:rPr>
              <w:t>Unvested outstanding, December 31, 2023</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MS PGothic" w:cs="MS PGothic" w:eastAsia="MS PGothic" w:hAnsi="MS PGothic"/>
                <w:sz w:val="15"/>
                <w:szCs w:val="15"/>
                <w:color w:val="auto"/>
              </w:rPr>
              <w:t>5,687,711</w:t>
            </w: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MS PGothic" w:cs="MS PGothic" w:eastAsia="MS PGothic" w:hAnsi="MS PGothic"/>
                <w:sz w:val="15"/>
                <w:szCs w:val="15"/>
                <w:color w:val="auto"/>
                <w:w w:val="79"/>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MS PGothic" w:cs="MS PGothic" w:eastAsia="MS PGothic" w:hAnsi="MS PGothic"/>
                <w:sz w:val="15"/>
                <w:szCs w:val="15"/>
                <w:color w:val="auto"/>
              </w:rPr>
              <w:t>22.02</w:t>
            </w:r>
          </w:p>
        </w:tc>
        <w:tc>
          <w:tcPr>
            <w:tcW w:w="44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MS PGothic" w:cs="MS PGothic" w:eastAsia="MS PGothic" w:hAnsi="MS PGothic"/>
                <w:sz w:val="15"/>
                <w:szCs w:val="15"/>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MS PGothic" w:cs="MS PGothic" w:eastAsia="MS PGothic" w:hAnsi="MS PGothic"/>
                <w:sz w:val="15"/>
                <w:szCs w:val="15"/>
                <w:color w:val="auto"/>
              </w:rPr>
              <w:t>137,415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4897120</wp:posOffset>
            </wp:positionH>
            <wp:positionV relativeFrom="paragraph">
              <wp:posOffset>-21590</wp:posOffset>
            </wp:positionV>
            <wp:extent cx="66040" cy="762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4897120</wp:posOffset>
            </wp:positionH>
            <wp:positionV relativeFrom="paragraph">
              <wp:posOffset>-6985</wp:posOffset>
            </wp:positionV>
            <wp:extent cx="66040" cy="762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6040" cy="7620"/>
                    </a:xfrm>
                    <a:prstGeom prst="rect">
                      <a:avLst/>
                    </a:prstGeom>
                    <a:noFill/>
                  </pic:spPr>
                </pic:pic>
              </a:graphicData>
            </a:graphic>
          </wp:anchor>
        </w:drawing>
      </w:r>
    </w:p>
    <w:p>
      <w:pPr>
        <w:spacing w:after="0" w:line="146" w:lineRule="exact"/>
        <w:rPr>
          <w:sz w:val="20"/>
          <w:szCs w:val="20"/>
          <w:color w:val="auto"/>
        </w:rPr>
      </w:pPr>
    </w:p>
    <w:p>
      <w:pPr>
        <w:ind w:left="500"/>
        <w:spacing w:after="0"/>
        <w:rPr>
          <w:sz w:val="20"/>
          <w:szCs w:val="20"/>
          <w:color w:val="auto"/>
        </w:rPr>
      </w:pPr>
      <w:r>
        <w:rPr>
          <w:rFonts w:ascii="MS PGothic" w:cs="MS PGothic" w:eastAsia="MS PGothic" w:hAnsi="MS PGothic"/>
          <w:sz w:val="15"/>
          <w:szCs w:val="15"/>
          <w:color w:val="auto"/>
        </w:rPr>
        <w:t>During the years ended December 31, 2022 and 2021, the weighted-average grant-date fair value of RSUs granted was $28.94 and $33.83 per share, respectvely.</w:t>
      </w:r>
    </w:p>
    <w:p>
      <w:pPr>
        <w:spacing w:after="0" w:line="218" w:lineRule="exact"/>
        <w:rPr>
          <w:sz w:val="20"/>
          <w:szCs w:val="20"/>
          <w:color w:val="auto"/>
        </w:rPr>
      </w:pPr>
    </w:p>
    <w:p>
      <w:pPr>
        <w:jc w:val="center"/>
        <w:spacing w:after="0"/>
        <w:rPr>
          <w:sz w:val="20"/>
          <w:szCs w:val="20"/>
          <w:color w:val="auto"/>
        </w:rPr>
      </w:pPr>
      <w:r>
        <w:rPr>
          <w:rFonts w:ascii="MS PGothic" w:cs="MS PGothic" w:eastAsia="MS PGothic" w:hAnsi="MS PGothic"/>
          <w:sz w:val="15"/>
          <w:szCs w:val="15"/>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422275</wp:posOffset>
            </wp:positionV>
            <wp:extent cx="7178040" cy="4000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3" w:right="319" w:bottom="1440" w:gutter="0" w:footer="0" w:header="0"/>
        </w:sectPr>
      </w:pPr>
    </w:p>
    <w:bookmarkStart w:id="123" w:name="page124"/>
    <w:bookmarkEnd w:id="123"/>
    <w:p>
      <w:pPr>
        <w:ind w:left="500"/>
        <w:spacing w:after="0"/>
        <w:rPr>
          <w:sz w:val="20"/>
          <w:szCs w:val="20"/>
          <w:color w:val="auto"/>
        </w:rPr>
      </w:pPr>
      <w:r>
        <w:rPr>
          <w:rFonts w:ascii="MS PGothic" w:cs="MS PGothic" w:eastAsia="MS PGothic" w:hAnsi="MS PGothic"/>
          <w:sz w:val="15"/>
          <w:szCs w:val="15"/>
          <w:color w:val="auto"/>
        </w:rPr>
        <w:t>During the years ended December 31, 2022 and 2021, RSUs that vested and setled totaled 1,649,294 and 1,575,206, respectvely.</w:t>
      </w:r>
    </w:p>
    <w:p>
      <w:pPr>
        <w:spacing w:after="0" w:line="218" w:lineRule="exact"/>
        <w:rPr>
          <w:sz w:val="20"/>
          <w:szCs w:val="20"/>
          <w:color w:val="auto"/>
        </w:rPr>
      </w:pPr>
    </w:p>
    <w:p>
      <w:pPr>
        <w:ind w:left="500"/>
        <w:spacing w:after="0"/>
        <w:rPr>
          <w:sz w:val="20"/>
          <w:szCs w:val="20"/>
          <w:color w:val="auto"/>
        </w:rPr>
      </w:pPr>
      <w:r>
        <w:rPr>
          <w:rFonts w:ascii="MS PGothic" w:cs="MS PGothic" w:eastAsia="MS PGothic" w:hAnsi="MS PGothic"/>
          <w:sz w:val="15"/>
          <w:szCs w:val="15"/>
          <w:color w:val="auto"/>
        </w:rPr>
        <w:t>During the years ended December 31, 2022 and 2021, the total fair value of RSUs vested was $55,136 and $52,423, respectvely.</w:t>
      </w:r>
    </w:p>
    <w:p>
      <w:pPr>
        <w:spacing w:after="0" w:line="218" w:lineRule="exact"/>
        <w:rPr>
          <w:sz w:val="20"/>
          <w:szCs w:val="20"/>
          <w:color w:val="auto"/>
        </w:rPr>
      </w:pPr>
    </w:p>
    <w:p>
      <w:pPr>
        <w:jc w:val="both"/>
        <w:ind w:firstLine="511"/>
        <w:spacing w:after="0" w:line="347" w:lineRule="auto"/>
        <w:rPr>
          <w:sz w:val="20"/>
          <w:szCs w:val="20"/>
          <w:color w:val="auto"/>
        </w:rPr>
      </w:pPr>
      <w:r>
        <w:rPr>
          <w:rFonts w:ascii="MS PGothic" w:cs="MS PGothic" w:eastAsia="MS PGothic" w:hAnsi="MS PGothic"/>
          <w:sz w:val="15"/>
          <w:szCs w:val="15"/>
          <w:color w:val="auto"/>
        </w:rPr>
        <w:t>As of December 31, 2023, there was $108,714 of unrecognized stock‑based compensaton expense related to unvested RSUs that is expected to be recognized over a weighted‑average period of 2.5 years.</w:t>
      </w:r>
    </w:p>
    <w:p>
      <w:pPr>
        <w:spacing w:after="0" w:line="118" w:lineRule="exact"/>
        <w:rPr>
          <w:sz w:val="20"/>
          <w:szCs w:val="20"/>
          <w:color w:val="auto"/>
        </w:rPr>
      </w:pPr>
    </w:p>
    <w:p>
      <w:pPr>
        <w:spacing w:after="0"/>
        <w:rPr>
          <w:sz w:val="20"/>
          <w:szCs w:val="20"/>
          <w:color w:val="auto"/>
        </w:rPr>
      </w:pPr>
      <w:r>
        <w:rPr>
          <w:rFonts w:ascii="Calibri" w:cs="Calibri" w:eastAsia="Calibri" w:hAnsi="Calibri"/>
          <w:sz w:val="15"/>
          <w:szCs w:val="15"/>
          <w:b w:val="1"/>
          <w:bCs w:val="1"/>
          <w:i w:val="1"/>
          <w:iCs w:val="1"/>
          <w:color w:val="auto"/>
        </w:rPr>
        <w:t>Stock-based Compensaton Expense</w:t>
      </w:r>
    </w:p>
    <w:p>
      <w:pPr>
        <w:spacing w:after="0" w:line="185" w:lineRule="exact"/>
        <w:rPr>
          <w:sz w:val="20"/>
          <w:szCs w:val="20"/>
          <w:color w:val="auto"/>
        </w:rPr>
      </w:pPr>
    </w:p>
    <w:p>
      <w:pPr>
        <w:jc w:val="both"/>
        <w:ind w:firstLine="511"/>
        <w:spacing w:after="0" w:line="347" w:lineRule="auto"/>
        <w:rPr>
          <w:sz w:val="20"/>
          <w:szCs w:val="20"/>
          <w:color w:val="auto"/>
        </w:rPr>
      </w:pPr>
      <w:r>
        <w:rPr>
          <w:rFonts w:ascii="MS PGothic" w:cs="MS PGothic" w:eastAsia="MS PGothic" w:hAnsi="MS PGothic"/>
          <w:sz w:val="15"/>
          <w:szCs w:val="15"/>
          <w:color w:val="auto"/>
        </w:rPr>
        <w:t>For the year ended December 31, 2023, 2022, and 2021, stock-based compensaton expense by award type and where the stock-based compensaton expense was recognized in the Company’s consolidated income statements is as follows:</w:t>
      </w:r>
    </w:p>
    <w:p>
      <w:pPr>
        <w:spacing w:after="0" w:line="228" w:lineRule="exact"/>
        <w:rPr>
          <w:sz w:val="20"/>
          <w:szCs w:val="20"/>
          <w:color w:val="auto"/>
        </w:rPr>
      </w:pPr>
    </w:p>
    <w:tbl>
      <w:tblPr>
        <w:tblLayout w:type="fixed"/>
        <w:tblInd w:w="560" w:type="dxa"/>
        <w:tblCellMar>
          <w:top w:w="0" w:type="dxa"/>
          <w:left w:w="0" w:type="dxa"/>
          <w:bottom w:w="0" w:type="dxa"/>
          <w:right w:w="0" w:type="dxa"/>
        </w:tblCellMar>
      </w:tblPr>
      <w:tr>
        <w:trPr>
          <w:trHeight w:val="146"/>
        </w:trPr>
        <w:tc>
          <w:tcPr>
            <w:tcW w:w="5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700" w:type="dxa"/>
            <w:vAlign w:val="bottom"/>
            <w:gridSpan w:val="4"/>
          </w:tcPr>
          <w:p>
            <w:pPr>
              <w:jc w:val="right"/>
              <w:ind w:right="220"/>
              <w:spacing w:after="0"/>
              <w:rPr>
                <w:sz w:val="20"/>
                <w:szCs w:val="20"/>
                <w:color w:val="auto"/>
              </w:rPr>
            </w:pPr>
            <w:r>
              <w:rPr>
                <w:rFonts w:ascii="Calibri" w:cs="Calibri" w:eastAsia="Calibri" w:hAnsi="Calibri"/>
                <w:sz w:val="12"/>
                <w:szCs w:val="12"/>
                <w:b w:val="1"/>
                <w:bCs w:val="1"/>
                <w:color w:val="auto"/>
              </w:rPr>
              <w:t>Year Ended December 31,</w:t>
            </w: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8"/>
        </w:trPr>
        <w:tc>
          <w:tcPr>
            <w:tcW w:w="59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37"/>
        </w:trPr>
        <w:tc>
          <w:tcPr>
            <w:tcW w:w="59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jc w:val="right"/>
              <w:ind w:right="406"/>
              <w:spacing w:after="0" w:line="138" w:lineRule="exact"/>
              <w:rPr>
                <w:sz w:val="20"/>
                <w:szCs w:val="20"/>
                <w:color w:val="auto"/>
              </w:rPr>
            </w:pPr>
            <w:r>
              <w:rPr>
                <w:rFonts w:ascii="Calibri" w:cs="Calibri" w:eastAsia="Calibri" w:hAnsi="Calibri"/>
                <w:sz w:val="12"/>
                <w:szCs w:val="12"/>
                <w:b w:val="1"/>
                <w:bCs w:val="1"/>
                <w:color w:val="auto"/>
              </w:rPr>
              <w:t>2023</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jc w:val="right"/>
              <w:ind w:right="406"/>
              <w:spacing w:after="0" w:line="138" w:lineRule="exact"/>
              <w:rPr>
                <w:sz w:val="20"/>
                <w:szCs w:val="20"/>
                <w:color w:val="auto"/>
              </w:rPr>
            </w:pPr>
            <w:r>
              <w:rPr>
                <w:rFonts w:ascii="Calibri" w:cs="Calibri" w:eastAsia="Calibri" w:hAnsi="Calibri"/>
                <w:sz w:val="12"/>
                <w:szCs w:val="12"/>
                <w:b w:val="1"/>
                <w:bCs w:val="1"/>
                <w:color w:val="auto"/>
              </w:rPr>
              <w:t>2022</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jc w:val="right"/>
              <w:ind w:right="386"/>
              <w:spacing w:after="0" w:line="138" w:lineRule="exact"/>
              <w:rPr>
                <w:sz w:val="20"/>
                <w:szCs w:val="20"/>
                <w:color w:val="auto"/>
              </w:rPr>
            </w:pPr>
            <w:r>
              <w:rPr>
                <w:rFonts w:ascii="Calibri" w:cs="Calibri" w:eastAsia="Calibri" w:hAnsi="Calibri"/>
                <w:sz w:val="12"/>
                <w:szCs w:val="12"/>
                <w:b w:val="1"/>
                <w:bCs w:val="1"/>
                <w:color w:val="auto"/>
              </w:rPr>
              <w:t>2021</w:t>
            </w:r>
          </w:p>
        </w:tc>
        <w:tc>
          <w:tcPr>
            <w:tcW w:w="100" w:type="dxa"/>
            <w:vAlign w:val="bottom"/>
          </w:tcPr>
          <w:p>
            <w:pPr>
              <w:spacing w:after="0"/>
              <w:rPr>
                <w:sz w:val="11"/>
                <w:szCs w:val="11"/>
                <w:color w:val="auto"/>
              </w:rPr>
            </w:pPr>
          </w:p>
        </w:tc>
      </w:tr>
      <w:tr>
        <w:trPr>
          <w:trHeight w:val="27"/>
        </w:trPr>
        <w:tc>
          <w:tcPr>
            <w:tcW w:w="59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79"/>
        </w:trPr>
        <w:tc>
          <w:tcPr>
            <w:tcW w:w="5960" w:type="dxa"/>
            <w:vAlign w:val="bottom"/>
            <w:tcBorders>
              <w:bottom w:val="single" w:sz="8" w:color="CFF0FC"/>
            </w:tcBorders>
            <w:shd w:val="clear" w:color="auto" w:fill="CFF0FC"/>
          </w:tcPr>
          <w:p>
            <w:pPr>
              <w:spacing w:after="0"/>
              <w:rPr>
                <w:sz w:val="20"/>
                <w:szCs w:val="20"/>
                <w:color w:val="auto"/>
              </w:rPr>
            </w:pPr>
            <w:r>
              <w:rPr>
                <w:rFonts w:ascii="MS PGothic" w:cs="MS PGothic" w:eastAsia="MS PGothic" w:hAnsi="MS PGothic"/>
                <w:sz w:val="15"/>
                <w:szCs w:val="15"/>
                <w:color w:val="auto"/>
              </w:rPr>
              <w:t>Optons</w:t>
            </w:r>
          </w:p>
        </w:tc>
        <w:tc>
          <w:tcPr>
            <w:tcW w:w="280" w:type="dxa"/>
            <w:vAlign w:val="bottom"/>
            <w:tcBorders>
              <w:bottom w:val="single" w:sz="8" w:color="CFF0FC"/>
            </w:tcBorders>
            <w:shd w:val="clear" w:color="auto" w:fill="CFF0FC"/>
          </w:tcPr>
          <w:p>
            <w:pPr>
              <w:jc w:val="right"/>
              <w:ind w:right="123"/>
              <w:spacing w:after="0"/>
              <w:rPr>
                <w:sz w:val="20"/>
                <w:szCs w:val="20"/>
                <w:color w:val="auto"/>
              </w:rPr>
            </w:pPr>
            <w:r>
              <w:rPr>
                <w:rFonts w:ascii="MS PGothic" w:cs="MS PGothic" w:eastAsia="MS PGothic" w:hAnsi="MS PGothic"/>
                <w:sz w:val="15"/>
                <w:szCs w:val="15"/>
                <w:color w:val="auto"/>
                <w:w w:val="79"/>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MS PGothic" w:cs="MS PGothic" w:eastAsia="MS PGothic" w:hAnsi="MS PGothic"/>
                <w:sz w:val="15"/>
                <w:szCs w:val="15"/>
                <w:color w:val="auto"/>
              </w:rPr>
              <w:t>2,386</w:t>
            </w:r>
          </w:p>
        </w:tc>
        <w:tc>
          <w:tcPr>
            <w:tcW w:w="54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MS PGothic" w:cs="MS PGothic" w:eastAsia="MS PGothic" w:hAnsi="MS PGothic"/>
                <w:sz w:val="15"/>
                <w:szCs w:val="15"/>
                <w:color w:val="auto"/>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MS PGothic" w:cs="MS PGothic" w:eastAsia="MS PGothic" w:hAnsi="MS PGothic"/>
                <w:sz w:val="15"/>
                <w:szCs w:val="15"/>
                <w:color w:val="auto"/>
              </w:rPr>
              <w:t>2,553</w:t>
            </w:r>
          </w:p>
        </w:tc>
        <w:tc>
          <w:tcPr>
            <w:tcW w:w="24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jc w:val="right"/>
              <w:ind w:right="123"/>
              <w:spacing w:after="0"/>
              <w:rPr>
                <w:sz w:val="20"/>
                <w:szCs w:val="20"/>
                <w:color w:val="auto"/>
              </w:rPr>
            </w:pPr>
            <w:r>
              <w:rPr>
                <w:rFonts w:ascii="MS PGothic" w:cs="MS PGothic" w:eastAsia="MS PGothic" w:hAnsi="MS PGothic"/>
                <w:sz w:val="15"/>
                <w:szCs w:val="15"/>
                <w:color w:val="auto"/>
                <w:w w:val="79"/>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MS PGothic" w:cs="MS PGothic" w:eastAsia="MS PGothic" w:hAnsi="MS PGothic"/>
                <w:sz w:val="15"/>
                <w:szCs w:val="15"/>
                <w:color w:val="auto"/>
              </w:rPr>
              <w:t>2,471</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83"/>
        </w:trPr>
        <w:tc>
          <w:tcPr>
            <w:tcW w:w="5960" w:type="dxa"/>
            <w:vAlign w:val="bottom"/>
          </w:tcPr>
          <w:p>
            <w:pPr>
              <w:spacing w:after="0"/>
              <w:rPr>
                <w:sz w:val="20"/>
                <w:szCs w:val="20"/>
                <w:color w:val="auto"/>
              </w:rPr>
            </w:pPr>
            <w:r>
              <w:rPr>
                <w:rFonts w:ascii="MS PGothic" w:cs="MS PGothic" w:eastAsia="MS PGothic" w:hAnsi="MS PGothic"/>
                <w:sz w:val="15"/>
                <w:szCs w:val="15"/>
                <w:color w:val="auto"/>
              </w:rPr>
              <w:t>Restricted Stock Units</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MS PGothic" w:cs="MS PGothic" w:eastAsia="MS PGothic" w:hAnsi="MS PGothic"/>
                <w:sz w:val="15"/>
                <w:szCs w:val="15"/>
                <w:color w:val="auto"/>
              </w:rPr>
              <w:t>55,527</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MS PGothic" w:cs="MS PGothic" w:eastAsia="MS PGothic" w:hAnsi="MS PGothic"/>
                <w:sz w:val="15"/>
                <w:szCs w:val="15"/>
                <w:color w:val="auto"/>
              </w:rPr>
              <w:t>52,224</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MS PGothic" w:cs="MS PGothic" w:eastAsia="MS PGothic" w:hAnsi="MS PGothic"/>
                <w:sz w:val="15"/>
                <w:szCs w:val="15"/>
                <w:color w:val="auto"/>
              </w:rPr>
              <w:t>52,916</w:t>
            </w:r>
          </w:p>
        </w:tc>
        <w:tc>
          <w:tcPr>
            <w:tcW w:w="100" w:type="dxa"/>
            <w:vAlign w:val="bottom"/>
          </w:tcPr>
          <w:p>
            <w:pPr>
              <w:spacing w:after="0"/>
              <w:rPr>
                <w:sz w:val="15"/>
                <w:szCs w:val="15"/>
                <w:color w:val="auto"/>
              </w:rPr>
            </w:pPr>
          </w:p>
        </w:tc>
      </w:tr>
      <w:tr>
        <w:trPr>
          <w:trHeight w:val="24"/>
        </w:trPr>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7"/>
        </w:trPr>
        <w:tc>
          <w:tcPr>
            <w:tcW w:w="5960" w:type="dxa"/>
            <w:vAlign w:val="bottom"/>
            <w:tcBorders>
              <w:bottom w:val="single" w:sz="8" w:color="CFF0FC"/>
            </w:tcBorders>
            <w:shd w:val="clear" w:color="auto" w:fill="CFF0FC"/>
          </w:tcPr>
          <w:p>
            <w:pPr>
              <w:spacing w:after="0"/>
              <w:rPr>
                <w:sz w:val="20"/>
                <w:szCs w:val="20"/>
                <w:color w:val="auto"/>
              </w:rPr>
            </w:pPr>
            <w:r>
              <w:rPr>
                <w:rFonts w:ascii="MS PGothic" w:cs="MS PGothic" w:eastAsia="MS PGothic" w:hAnsi="MS PGothic"/>
                <w:sz w:val="15"/>
                <w:szCs w:val="15"/>
                <w:color w:val="auto"/>
              </w:rPr>
              <w:t>CO Incentve Units and Subject Units</w:t>
            </w:r>
          </w:p>
        </w:tc>
        <w:tc>
          <w:tcPr>
            <w:tcW w:w="280" w:type="dxa"/>
            <w:vAlign w:val="bottom"/>
            <w:tcBorders>
              <w:bottom w:val="single" w:sz="8" w:color="CFF0FC"/>
            </w:tcBorders>
            <w:shd w:val="clear" w:color="auto" w:fill="CFF0FC"/>
          </w:tcPr>
          <w:p>
            <w:pPr>
              <w:spacing w:after="0"/>
              <w:rPr>
                <w:sz w:val="16"/>
                <w:szCs w:val="16"/>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MS PGothic" w:cs="MS PGothic" w:eastAsia="MS PGothic" w:hAnsi="MS PGothic"/>
                <w:sz w:val="15"/>
                <w:szCs w:val="15"/>
                <w:color w:val="auto"/>
              </w:rPr>
              <w:t>26,552</w:t>
            </w:r>
          </w:p>
        </w:tc>
        <w:tc>
          <w:tcPr>
            <w:tcW w:w="26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116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MS PGothic" w:cs="MS PGothic" w:eastAsia="MS PGothic" w:hAnsi="MS PGothic"/>
                <w:sz w:val="15"/>
                <w:szCs w:val="15"/>
                <w:color w:val="auto"/>
              </w:rPr>
              <w:t>(21,095 )</w:t>
            </w:r>
          </w:p>
        </w:tc>
        <w:tc>
          <w:tcPr>
            <w:tcW w:w="280" w:type="dxa"/>
            <w:vAlign w:val="bottom"/>
            <w:tcBorders>
              <w:bottom w:val="single" w:sz="8" w:color="CFF0FC"/>
            </w:tcBorders>
            <w:shd w:val="clear" w:color="auto" w:fill="CFF0FC"/>
          </w:tcPr>
          <w:p>
            <w:pPr>
              <w:spacing w:after="0"/>
              <w:rPr>
                <w:sz w:val="16"/>
                <w:szCs w:val="16"/>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MS PGothic" w:cs="MS PGothic" w:eastAsia="MS PGothic" w:hAnsi="MS PGothic"/>
                <w:sz w:val="15"/>
                <w:szCs w:val="15"/>
                <w:color w:val="auto"/>
              </w:rPr>
              <w:t>22,323</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5960" w:type="dxa"/>
            <w:vAlign w:val="bottom"/>
          </w:tcPr>
          <w:p>
            <w:pPr>
              <w:spacing w:after="0"/>
              <w:rPr>
                <w:sz w:val="20"/>
                <w:szCs w:val="20"/>
                <w:color w:val="auto"/>
              </w:rPr>
            </w:pPr>
            <w:r>
              <w:rPr>
                <w:rFonts w:ascii="MS PGothic" w:cs="MS PGothic" w:eastAsia="MS PGothic" w:hAnsi="MS PGothic"/>
                <w:sz w:val="15"/>
                <w:szCs w:val="15"/>
                <w:color w:val="auto"/>
              </w:rPr>
              <w:t>Noncontrolling Interest Units</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MS PGothic" w:cs="MS PGothic" w:eastAsia="MS PGothic" w:hAnsi="MS PGothic"/>
                <w:sz w:val="15"/>
                <w:szCs w:val="15"/>
                <w:color w:val="auto"/>
              </w:rPr>
              <w:t>28,991</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gridSpan w:val="2"/>
          </w:tcPr>
          <w:p>
            <w:pPr>
              <w:jc w:val="right"/>
              <w:ind w:right="260"/>
              <w:spacing w:after="0"/>
              <w:rPr>
                <w:sz w:val="20"/>
                <w:szCs w:val="20"/>
                <w:color w:val="auto"/>
              </w:rPr>
            </w:pPr>
            <w:r>
              <w:rPr>
                <w:rFonts w:ascii="MS PGothic" w:cs="MS PGothic" w:eastAsia="MS PGothic" w:hAnsi="MS PGothic"/>
                <w:sz w:val="15"/>
                <w:szCs w:val="15"/>
                <w:color w:val="auto"/>
              </w:rPr>
              <w:t>—</w:t>
            </w:r>
          </w:p>
        </w:tc>
        <w:tc>
          <w:tcPr>
            <w:tcW w:w="28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MS PGothic" w:cs="MS PGothic" w:eastAsia="MS PGothic" w:hAnsi="MS PGothic"/>
                <w:sz w:val="15"/>
                <w:szCs w:val="15"/>
                <w:color w:val="auto"/>
              </w:rPr>
              <w:t>—</w:t>
            </w:r>
          </w:p>
        </w:tc>
      </w:tr>
      <w:tr>
        <w:trPr>
          <w:trHeight w:val="24"/>
        </w:trPr>
        <w:tc>
          <w:tcPr>
            <w:tcW w:w="59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24"/>
        </w:trPr>
        <w:tc>
          <w:tcPr>
            <w:tcW w:w="5960" w:type="dxa"/>
            <w:vAlign w:val="bottom"/>
            <w:tcBorders>
              <w:bottom w:val="single" w:sz="8" w:color="CFF0FC"/>
            </w:tcBorders>
            <w:shd w:val="clear" w:color="auto" w:fill="CFF0FC"/>
          </w:tcPr>
          <w:p>
            <w:pPr>
              <w:ind w:left="240"/>
              <w:spacing w:after="0"/>
              <w:rPr>
                <w:sz w:val="20"/>
                <w:szCs w:val="20"/>
                <w:color w:val="auto"/>
              </w:rPr>
            </w:pPr>
            <w:r>
              <w:rPr>
                <w:rFonts w:ascii="MS PGothic" w:cs="MS PGothic" w:eastAsia="MS PGothic" w:hAnsi="MS PGothic"/>
                <w:sz w:val="15"/>
                <w:szCs w:val="15"/>
                <w:color w:val="auto"/>
              </w:rPr>
              <w:t>Total</w:t>
            </w:r>
          </w:p>
        </w:tc>
        <w:tc>
          <w:tcPr>
            <w:tcW w:w="280" w:type="dxa"/>
            <w:vAlign w:val="bottom"/>
            <w:tcBorders>
              <w:bottom w:val="single" w:sz="8" w:color="CFF0FC"/>
            </w:tcBorders>
            <w:shd w:val="clear" w:color="auto" w:fill="CFF0FC"/>
          </w:tcPr>
          <w:p>
            <w:pPr>
              <w:jc w:val="right"/>
              <w:ind w:right="123"/>
              <w:spacing w:after="0"/>
              <w:rPr>
                <w:sz w:val="20"/>
                <w:szCs w:val="20"/>
                <w:color w:val="auto"/>
              </w:rPr>
            </w:pPr>
            <w:r>
              <w:rPr>
                <w:rFonts w:ascii="MS PGothic" w:cs="MS PGothic" w:eastAsia="MS PGothic" w:hAnsi="MS PGothic"/>
                <w:sz w:val="15"/>
                <w:szCs w:val="15"/>
                <w:color w:val="auto"/>
                <w:w w:val="79"/>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MS PGothic" w:cs="MS PGothic" w:eastAsia="MS PGothic" w:hAnsi="MS PGothic"/>
                <w:sz w:val="15"/>
                <w:szCs w:val="15"/>
                <w:color w:val="auto"/>
              </w:rPr>
              <w:t>113,456</w:t>
            </w:r>
          </w:p>
        </w:tc>
        <w:tc>
          <w:tcPr>
            <w:tcW w:w="54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MS PGothic" w:cs="MS PGothic" w:eastAsia="MS PGothic" w:hAnsi="MS PGothic"/>
                <w:sz w:val="15"/>
                <w:szCs w:val="15"/>
                <w:color w:val="auto"/>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MS PGothic" w:cs="MS PGothic" w:eastAsia="MS PGothic" w:hAnsi="MS PGothic"/>
                <w:sz w:val="15"/>
                <w:szCs w:val="15"/>
                <w:color w:val="auto"/>
              </w:rPr>
              <w:t>33,682</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jc w:val="right"/>
              <w:ind w:right="123"/>
              <w:spacing w:after="0"/>
              <w:rPr>
                <w:sz w:val="20"/>
                <w:szCs w:val="20"/>
                <w:color w:val="auto"/>
              </w:rPr>
            </w:pPr>
            <w:r>
              <w:rPr>
                <w:rFonts w:ascii="MS PGothic" w:cs="MS PGothic" w:eastAsia="MS PGothic" w:hAnsi="MS PGothic"/>
                <w:sz w:val="15"/>
                <w:szCs w:val="15"/>
                <w:color w:val="auto"/>
                <w:w w:val="79"/>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MS PGothic" w:cs="MS PGothic" w:eastAsia="MS PGothic" w:hAnsi="MS PGothic"/>
                <w:sz w:val="15"/>
                <w:szCs w:val="15"/>
                <w:color w:val="auto"/>
              </w:rPr>
              <w:t>77,710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9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4904740</wp:posOffset>
            </wp:positionH>
            <wp:positionV relativeFrom="paragraph">
              <wp:posOffset>-21590</wp:posOffset>
            </wp:positionV>
            <wp:extent cx="66040" cy="762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4904740</wp:posOffset>
            </wp:positionH>
            <wp:positionV relativeFrom="paragraph">
              <wp:posOffset>-6985</wp:posOffset>
            </wp:positionV>
            <wp:extent cx="66040" cy="762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5824855</wp:posOffset>
            </wp:positionH>
            <wp:positionV relativeFrom="paragraph">
              <wp:posOffset>-21590</wp:posOffset>
            </wp:positionV>
            <wp:extent cx="58420" cy="762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8420" cy="7620"/>
                    </a:xfrm>
                    <a:prstGeom prst="rect">
                      <a:avLst/>
                    </a:prstGeom>
                    <a:noFill/>
                  </pic:spPr>
                </pic:pic>
              </a:graphicData>
            </a:graphic>
          </wp:anchor>
        </w:drawing>
        <w:drawing>
          <wp:anchor simplePos="0" relativeHeight="251657728" behindDoc="1" locked="0" layoutInCell="0" allowOverlap="1">
            <wp:simplePos x="0" y="0"/>
            <wp:positionH relativeFrom="column">
              <wp:posOffset>5824855</wp:posOffset>
            </wp:positionH>
            <wp:positionV relativeFrom="paragraph">
              <wp:posOffset>-6985</wp:posOffset>
            </wp:positionV>
            <wp:extent cx="58420" cy="762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8420" cy="7620"/>
                    </a:xfrm>
                    <a:prstGeom prst="rect">
                      <a:avLst/>
                    </a:prstGeom>
                    <a:noFill/>
                  </pic:spPr>
                </pic:pic>
              </a:graphicData>
            </a:graphic>
          </wp:anchor>
        </w:drawing>
        <w:drawing>
          <wp:anchor simplePos="0" relativeHeight="251657728" behindDoc="1" locked="0" layoutInCell="0" allowOverlap="1">
            <wp:simplePos x="0" y="0"/>
            <wp:positionH relativeFrom="column">
              <wp:posOffset>6731000</wp:posOffset>
            </wp:positionH>
            <wp:positionV relativeFrom="paragraph">
              <wp:posOffset>-21590</wp:posOffset>
            </wp:positionV>
            <wp:extent cx="58420" cy="762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8420" cy="7620"/>
                    </a:xfrm>
                    <a:prstGeom prst="rect">
                      <a:avLst/>
                    </a:prstGeom>
                    <a:noFill/>
                  </pic:spPr>
                </pic:pic>
              </a:graphicData>
            </a:graphic>
          </wp:anchor>
        </w:drawing>
        <w:drawing>
          <wp:anchor simplePos="0" relativeHeight="251657728" behindDoc="1" locked="0" layoutInCell="0" allowOverlap="1">
            <wp:simplePos x="0" y="0"/>
            <wp:positionH relativeFrom="column">
              <wp:posOffset>6731000</wp:posOffset>
            </wp:positionH>
            <wp:positionV relativeFrom="paragraph">
              <wp:posOffset>-6985</wp:posOffset>
            </wp:positionV>
            <wp:extent cx="58420" cy="762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8420" cy="7620"/>
                    </a:xfrm>
                    <a:prstGeom prst="rect">
                      <a:avLst/>
                    </a:prstGeom>
                    <a:noFill/>
                  </pic:spPr>
                </pic:pic>
              </a:graphicData>
            </a:graphic>
          </wp:anchor>
        </w:drawing>
      </w:r>
    </w:p>
    <w:p>
      <w:pPr>
        <w:spacing w:after="0" w:line="146" w:lineRule="exact"/>
        <w:rPr>
          <w:sz w:val="20"/>
          <w:szCs w:val="20"/>
          <w:color w:val="auto"/>
        </w:rPr>
      </w:pPr>
    </w:p>
    <w:p>
      <w:pPr>
        <w:jc w:val="both"/>
        <w:ind w:firstLine="511"/>
        <w:spacing w:after="0" w:line="320" w:lineRule="auto"/>
        <w:rPr>
          <w:sz w:val="20"/>
          <w:szCs w:val="20"/>
          <w:color w:val="auto"/>
        </w:rPr>
      </w:pPr>
      <w:r>
        <w:rPr>
          <w:rFonts w:ascii="MS PGothic" w:cs="MS PGothic" w:eastAsia="MS PGothic" w:hAnsi="MS PGothic"/>
          <w:sz w:val="15"/>
          <w:szCs w:val="15"/>
          <w:color w:val="auto"/>
        </w:rPr>
        <w:t>CO Incentve Units and Subject Units stock-based compensaton expense increased $47,647, primarily due to the redempton of the units in connecton with the 2023 CarOfer Transacton. See Note 4 of these consolidated fnancial statements for additonal informaton. Additonally, this increase was due in part to the prior-year revaluaton of these liability-based awards which brought the value down to zero, thus resultng in negatve expense for the year ended December 31, 2022.</w:t>
      </w:r>
    </w:p>
    <w:p>
      <w:pPr>
        <w:spacing w:after="0" w:line="136" w:lineRule="exact"/>
        <w:rPr>
          <w:sz w:val="20"/>
          <w:szCs w:val="20"/>
          <w:color w:val="auto"/>
        </w:rPr>
      </w:pPr>
    </w:p>
    <w:p>
      <w:pPr>
        <w:jc w:val="both"/>
        <w:ind w:firstLine="511"/>
        <w:spacing w:after="0" w:line="347" w:lineRule="auto"/>
        <w:rPr>
          <w:sz w:val="20"/>
          <w:szCs w:val="20"/>
          <w:color w:val="auto"/>
        </w:rPr>
      </w:pPr>
      <w:r>
        <w:rPr>
          <w:rFonts w:ascii="MS PGothic" w:cs="MS PGothic" w:eastAsia="MS PGothic" w:hAnsi="MS PGothic"/>
          <w:sz w:val="15"/>
          <w:szCs w:val="15"/>
          <w:color w:val="auto"/>
        </w:rPr>
        <w:t>Noncontrolling Interest Units, which were employee-owned, increased $28,991 for the year ended December 31, 2023 compared to the year ended December 31, 2022, due to the redempton of the Noncontrolling Interest Units in connecton with the completon of the 2023 CarOfer Transacton.</w:t>
      </w:r>
    </w:p>
    <w:p>
      <w:pPr>
        <w:spacing w:after="0" w:line="320" w:lineRule="exact"/>
        <w:rPr>
          <w:sz w:val="20"/>
          <w:szCs w:val="20"/>
          <w:color w:val="auto"/>
        </w:rPr>
      </w:pPr>
    </w:p>
    <w:tbl>
      <w:tblPr>
        <w:tblLayout w:type="fixed"/>
        <w:tblInd w:w="560" w:type="dxa"/>
        <w:tblCellMar>
          <w:top w:w="0" w:type="dxa"/>
          <w:left w:w="0" w:type="dxa"/>
          <w:bottom w:w="0" w:type="dxa"/>
          <w:right w:w="0" w:type="dxa"/>
        </w:tblCellMar>
      </w:tblPr>
      <w:tr>
        <w:trPr>
          <w:trHeight w:val="146"/>
        </w:trPr>
        <w:tc>
          <w:tcPr>
            <w:tcW w:w="5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20" w:type="dxa"/>
            <w:vAlign w:val="bottom"/>
            <w:gridSpan w:val="3"/>
          </w:tcPr>
          <w:p>
            <w:pPr>
              <w:jc w:val="right"/>
              <w:spacing w:after="0"/>
              <w:rPr>
                <w:sz w:val="20"/>
                <w:szCs w:val="20"/>
                <w:color w:val="auto"/>
              </w:rPr>
            </w:pPr>
            <w:r>
              <w:rPr>
                <w:rFonts w:ascii="Calibri" w:cs="Calibri" w:eastAsia="Calibri" w:hAnsi="Calibri"/>
                <w:sz w:val="12"/>
                <w:szCs w:val="12"/>
                <w:b w:val="1"/>
                <w:bCs w:val="1"/>
                <w:color w:val="auto"/>
              </w:rPr>
              <w:t>Year Ended December 31,</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8"/>
        </w:trPr>
        <w:tc>
          <w:tcPr>
            <w:tcW w:w="58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37"/>
        </w:trPr>
        <w:tc>
          <w:tcPr>
            <w:tcW w:w="5800" w:type="dxa"/>
            <w:vAlign w:val="bottom"/>
          </w:tcPr>
          <w:p>
            <w:pPr>
              <w:spacing w:after="0"/>
              <w:rPr>
                <w:sz w:val="11"/>
                <w:szCs w:val="11"/>
                <w:color w:val="auto"/>
              </w:rPr>
            </w:pPr>
          </w:p>
        </w:tc>
        <w:tc>
          <w:tcPr>
            <w:tcW w:w="760" w:type="dxa"/>
            <w:vAlign w:val="bottom"/>
          </w:tcPr>
          <w:p>
            <w:pPr>
              <w:jc w:val="right"/>
              <w:spacing w:after="0" w:line="138" w:lineRule="exact"/>
              <w:rPr>
                <w:sz w:val="20"/>
                <w:szCs w:val="20"/>
                <w:color w:val="auto"/>
              </w:rPr>
            </w:pPr>
            <w:r>
              <w:rPr>
                <w:rFonts w:ascii="Calibri" w:cs="Calibri" w:eastAsia="Calibri" w:hAnsi="Calibri"/>
                <w:sz w:val="12"/>
                <w:szCs w:val="12"/>
                <w:b w:val="1"/>
                <w:bCs w:val="1"/>
                <w:color w:val="auto"/>
              </w:rPr>
              <w:t>2023</w:t>
            </w: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jc w:val="right"/>
              <w:ind w:right="426"/>
              <w:spacing w:after="0" w:line="138" w:lineRule="exact"/>
              <w:rPr>
                <w:sz w:val="20"/>
                <w:szCs w:val="20"/>
                <w:color w:val="auto"/>
              </w:rPr>
            </w:pPr>
            <w:r>
              <w:rPr>
                <w:rFonts w:ascii="Calibri" w:cs="Calibri" w:eastAsia="Calibri" w:hAnsi="Calibri"/>
                <w:sz w:val="12"/>
                <w:szCs w:val="12"/>
                <w:b w:val="1"/>
                <w:bCs w:val="1"/>
                <w:color w:val="auto"/>
              </w:rPr>
              <w:t>2022</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jc w:val="right"/>
              <w:ind w:right="406"/>
              <w:spacing w:after="0" w:line="138" w:lineRule="exact"/>
              <w:rPr>
                <w:sz w:val="20"/>
                <w:szCs w:val="20"/>
                <w:color w:val="auto"/>
              </w:rPr>
            </w:pPr>
            <w:r>
              <w:rPr>
                <w:rFonts w:ascii="Calibri" w:cs="Calibri" w:eastAsia="Calibri" w:hAnsi="Calibri"/>
                <w:sz w:val="12"/>
                <w:szCs w:val="12"/>
                <w:b w:val="1"/>
                <w:bCs w:val="1"/>
                <w:color w:val="auto"/>
              </w:rPr>
              <w:t>2021</w:t>
            </w:r>
          </w:p>
        </w:tc>
        <w:tc>
          <w:tcPr>
            <w:tcW w:w="100" w:type="dxa"/>
            <w:vAlign w:val="bottom"/>
          </w:tcPr>
          <w:p>
            <w:pPr>
              <w:spacing w:after="0"/>
              <w:rPr>
                <w:sz w:val="11"/>
                <w:szCs w:val="11"/>
                <w:color w:val="auto"/>
              </w:rPr>
            </w:pPr>
          </w:p>
        </w:tc>
      </w:tr>
      <w:tr>
        <w:trPr>
          <w:trHeight w:val="27"/>
        </w:trPr>
        <w:tc>
          <w:tcPr>
            <w:tcW w:w="58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79"/>
        </w:trPr>
        <w:tc>
          <w:tcPr>
            <w:tcW w:w="5800" w:type="dxa"/>
            <w:vAlign w:val="bottom"/>
            <w:tcBorders>
              <w:bottom w:val="single" w:sz="8" w:color="CFF0FC"/>
            </w:tcBorders>
            <w:shd w:val="clear" w:color="auto" w:fill="CFF0FC"/>
          </w:tcPr>
          <w:p>
            <w:pPr>
              <w:spacing w:after="0"/>
              <w:rPr>
                <w:sz w:val="20"/>
                <w:szCs w:val="20"/>
                <w:color w:val="auto"/>
              </w:rPr>
            </w:pPr>
            <w:r>
              <w:rPr>
                <w:rFonts w:ascii="MS PGothic" w:cs="MS PGothic" w:eastAsia="MS PGothic" w:hAnsi="MS PGothic"/>
                <w:sz w:val="15"/>
                <w:szCs w:val="15"/>
                <w:color w:val="auto"/>
              </w:rPr>
              <w:t>Cost of revenue</w:t>
            </w:r>
          </w:p>
        </w:tc>
        <w:tc>
          <w:tcPr>
            <w:tcW w:w="760" w:type="dxa"/>
            <w:vAlign w:val="bottom"/>
            <w:tcBorders>
              <w:bottom w:val="single" w:sz="8" w:color="CFF0FC"/>
            </w:tcBorders>
            <w:shd w:val="clear" w:color="auto" w:fill="CFF0FC"/>
          </w:tcPr>
          <w:p>
            <w:pPr>
              <w:jc w:val="right"/>
              <w:ind w:right="608"/>
              <w:spacing w:after="0"/>
              <w:rPr>
                <w:sz w:val="20"/>
                <w:szCs w:val="20"/>
                <w:color w:val="auto"/>
              </w:rPr>
            </w:pPr>
            <w:r>
              <w:rPr>
                <w:rFonts w:ascii="MS PGothic" w:cs="MS PGothic" w:eastAsia="MS PGothic" w:hAnsi="MS PGothic"/>
                <w:sz w:val="15"/>
                <w:szCs w:val="15"/>
                <w:color w:val="auto"/>
                <w:w w:val="79"/>
              </w:rPr>
              <w:t>$</w:t>
            </w:r>
          </w:p>
        </w:tc>
        <w:tc>
          <w:tcPr>
            <w:tcW w:w="500" w:type="dxa"/>
            <w:vAlign w:val="bottom"/>
            <w:tcBorders>
              <w:bottom w:val="single" w:sz="8" w:color="CFF0FC"/>
            </w:tcBorders>
            <w:shd w:val="clear" w:color="auto" w:fill="CFF0FC"/>
          </w:tcPr>
          <w:p>
            <w:pPr>
              <w:jc w:val="right"/>
              <w:spacing w:after="0"/>
              <w:rPr>
                <w:sz w:val="20"/>
                <w:szCs w:val="20"/>
                <w:color w:val="auto"/>
              </w:rPr>
            </w:pPr>
            <w:r>
              <w:rPr>
                <w:rFonts w:ascii="MS PGothic" w:cs="MS PGothic" w:eastAsia="MS PGothic" w:hAnsi="MS PGothic"/>
                <w:sz w:val="15"/>
                <w:szCs w:val="15"/>
                <w:color w:val="auto"/>
              </w:rPr>
              <w:t>2,370</w:t>
            </w:r>
          </w:p>
        </w:tc>
        <w:tc>
          <w:tcPr>
            <w:tcW w:w="56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MS PGothic" w:cs="MS PGothic" w:eastAsia="MS PGothic" w:hAnsi="MS PGothic"/>
                <w:sz w:val="15"/>
                <w:szCs w:val="15"/>
                <w:color w:val="auto"/>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MS PGothic" w:cs="MS PGothic" w:eastAsia="MS PGothic" w:hAnsi="MS PGothic"/>
                <w:sz w:val="15"/>
                <w:szCs w:val="15"/>
                <w:color w:val="auto"/>
              </w:rPr>
              <w:t>475</w:t>
            </w:r>
          </w:p>
        </w:tc>
        <w:tc>
          <w:tcPr>
            <w:tcW w:w="54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MS PGothic" w:cs="MS PGothic" w:eastAsia="MS PGothic" w:hAnsi="MS PGothic"/>
                <w:sz w:val="15"/>
                <w:szCs w:val="15"/>
                <w:color w:val="auto"/>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MS PGothic" w:cs="MS PGothic" w:eastAsia="MS PGothic" w:hAnsi="MS PGothic"/>
                <w:sz w:val="15"/>
                <w:szCs w:val="15"/>
                <w:color w:val="auto"/>
              </w:rPr>
              <w:t>417</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83"/>
        </w:trPr>
        <w:tc>
          <w:tcPr>
            <w:tcW w:w="5800" w:type="dxa"/>
            <w:vAlign w:val="bottom"/>
          </w:tcPr>
          <w:p>
            <w:pPr>
              <w:spacing w:after="0"/>
              <w:rPr>
                <w:sz w:val="20"/>
                <w:szCs w:val="20"/>
                <w:color w:val="auto"/>
              </w:rPr>
            </w:pPr>
            <w:r>
              <w:rPr>
                <w:rFonts w:ascii="MS PGothic" w:cs="MS PGothic" w:eastAsia="MS PGothic" w:hAnsi="MS PGothic"/>
                <w:sz w:val="15"/>
                <w:szCs w:val="15"/>
                <w:color w:val="auto"/>
              </w:rPr>
              <w:t>Sales and marketng expense</w:t>
            </w:r>
          </w:p>
        </w:tc>
        <w:tc>
          <w:tcPr>
            <w:tcW w:w="7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MS PGothic" w:cs="MS PGothic" w:eastAsia="MS PGothic" w:hAnsi="MS PGothic"/>
                <w:sz w:val="15"/>
                <w:szCs w:val="15"/>
                <w:color w:val="auto"/>
              </w:rPr>
              <w:t>13,710</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MS PGothic" w:cs="MS PGothic" w:eastAsia="MS PGothic" w:hAnsi="MS PGothic"/>
                <w:sz w:val="15"/>
                <w:szCs w:val="15"/>
                <w:color w:val="auto"/>
              </w:rPr>
              <w:t>7,733</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MS PGothic" w:cs="MS PGothic" w:eastAsia="MS PGothic" w:hAnsi="MS PGothic"/>
                <w:sz w:val="15"/>
                <w:szCs w:val="15"/>
                <w:color w:val="auto"/>
              </w:rPr>
              <w:t>12,801</w:t>
            </w:r>
          </w:p>
        </w:tc>
        <w:tc>
          <w:tcPr>
            <w:tcW w:w="100" w:type="dxa"/>
            <w:vAlign w:val="bottom"/>
          </w:tcPr>
          <w:p>
            <w:pPr>
              <w:spacing w:after="0"/>
              <w:rPr>
                <w:sz w:val="15"/>
                <w:szCs w:val="15"/>
                <w:color w:val="auto"/>
              </w:rPr>
            </w:pPr>
          </w:p>
        </w:tc>
      </w:tr>
      <w:tr>
        <w:trPr>
          <w:trHeight w:val="24"/>
        </w:trPr>
        <w:tc>
          <w:tcPr>
            <w:tcW w:w="5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7"/>
        </w:trPr>
        <w:tc>
          <w:tcPr>
            <w:tcW w:w="5800" w:type="dxa"/>
            <w:vAlign w:val="bottom"/>
            <w:tcBorders>
              <w:bottom w:val="single" w:sz="8" w:color="CFF0FC"/>
            </w:tcBorders>
            <w:shd w:val="clear" w:color="auto" w:fill="CFF0FC"/>
          </w:tcPr>
          <w:p>
            <w:pPr>
              <w:spacing w:after="0"/>
              <w:rPr>
                <w:sz w:val="20"/>
                <w:szCs w:val="20"/>
                <w:color w:val="auto"/>
              </w:rPr>
            </w:pPr>
            <w:r>
              <w:rPr>
                <w:rFonts w:ascii="MS PGothic" w:cs="MS PGothic" w:eastAsia="MS PGothic" w:hAnsi="MS PGothic"/>
                <w:sz w:val="15"/>
                <w:szCs w:val="15"/>
                <w:color w:val="auto"/>
              </w:rPr>
              <w:t>Product, technology, and development expense</w:t>
            </w:r>
          </w:p>
        </w:tc>
        <w:tc>
          <w:tcPr>
            <w:tcW w:w="760" w:type="dxa"/>
            <w:vAlign w:val="bottom"/>
            <w:tcBorders>
              <w:bottom w:val="single" w:sz="8" w:color="CFF0FC"/>
            </w:tcBorders>
            <w:shd w:val="clear" w:color="auto" w:fill="CFF0FC"/>
          </w:tcPr>
          <w:p>
            <w:pPr>
              <w:spacing w:after="0"/>
              <w:rPr>
                <w:sz w:val="16"/>
                <w:szCs w:val="16"/>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MS PGothic" w:cs="MS PGothic" w:eastAsia="MS PGothic" w:hAnsi="MS PGothic"/>
                <w:sz w:val="15"/>
                <w:szCs w:val="15"/>
                <w:color w:val="auto"/>
              </w:rPr>
              <w:t>25,934</w:t>
            </w:r>
          </w:p>
        </w:tc>
        <w:tc>
          <w:tcPr>
            <w:tcW w:w="26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CFF0FC"/>
            </w:tcBorders>
            <w:shd w:val="clear" w:color="auto" w:fill="CFF0FC"/>
          </w:tcPr>
          <w:p>
            <w:pPr>
              <w:spacing w:after="0"/>
              <w:rPr>
                <w:sz w:val="16"/>
                <w:szCs w:val="16"/>
                <w:color w:val="auto"/>
              </w:rPr>
            </w:pPr>
          </w:p>
        </w:tc>
        <w:tc>
          <w:tcPr>
            <w:tcW w:w="960" w:type="dxa"/>
            <w:vAlign w:val="bottom"/>
            <w:tcBorders>
              <w:bottom w:val="single" w:sz="8" w:color="CFF0FC"/>
            </w:tcBorders>
            <w:shd w:val="clear" w:color="auto" w:fill="CFF0FC"/>
          </w:tcPr>
          <w:p>
            <w:pPr>
              <w:jc w:val="right"/>
              <w:spacing w:after="0"/>
              <w:rPr>
                <w:sz w:val="20"/>
                <w:szCs w:val="20"/>
                <w:color w:val="auto"/>
              </w:rPr>
            </w:pPr>
            <w:r>
              <w:rPr>
                <w:rFonts w:ascii="MS PGothic" w:cs="MS PGothic" w:eastAsia="MS PGothic" w:hAnsi="MS PGothic"/>
                <w:sz w:val="15"/>
                <w:szCs w:val="15"/>
                <w:color w:val="auto"/>
              </w:rPr>
              <w:t>20,266</w:t>
            </w:r>
          </w:p>
        </w:tc>
        <w:tc>
          <w:tcPr>
            <w:tcW w:w="26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MS PGothic" w:cs="MS PGothic" w:eastAsia="MS PGothic" w:hAnsi="MS PGothic"/>
                <w:sz w:val="15"/>
                <w:szCs w:val="15"/>
                <w:color w:val="auto"/>
              </w:rPr>
              <w:t>22,289</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5800" w:type="dxa"/>
            <w:vAlign w:val="bottom"/>
          </w:tcPr>
          <w:p>
            <w:pPr>
              <w:spacing w:after="0"/>
              <w:rPr>
                <w:sz w:val="20"/>
                <w:szCs w:val="20"/>
                <w:color w:val="auto"/>
              </w:rPr>
            </w:pPr>
            <w:r>
              <w:rPr>
                <w:rFonts w:ascii="MS PGothic" w:cs="MS PGothic" w:eastAsia="MS PGothic" w:hAnsi="MS PGothic"/>
                <w:sz w:val="15"/>
                <w:szCs w:val="15"/>
                <w:color w:val="auto"/>
              </w:rPr>
              <w:t>General and administratve expense</w:t>
            </w:r>
          </w:p>
        </w:tc>
        <w:tc>
          <w:tcPr>
            <w:tcW w:w="7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MS PGothic" w:cs="MS PGothic" w:eastAsia="MS PGothic" w:hAnsi="MS PGothic"/>
                <w:sz w:val="15"/>
                <w:szCs w:val="15"/>
                <w:color w:val="auto"/>
              </w:rPr>
              <w:t>71,442</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MS PGothic" w:cs="MS PGothic" w:eastAsia="MS PGothic" w:hAnsi="MS PGothic"/>
                <w:sz w:val="15"/>
                <w:szCs w:val="15"/>
                <w:color w:val="auto"/>
              </w:rPr>
              <w:t>5,208</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MS PGothic" w:cs="MS PGothic" w:eastAsia="MS PGothic" w:hAnsi="MS PGothic"/>
                <w:sz w:val="15"/>
                <w:szCs w:val="15"/>
                <w:color w:val="auto"/>
              </w:rPr>
              <w:t>42,203</w:t>
            </w:r>
          </w:p>
        </w:tc>
        <w:tc>
          <w:tcPr>
            <w:tcW w:w="100" w:type="dxa"/>
            <w:vAlign w:val="bottom"/>
          </w:tcPr>
          <w:p>
            <w:pPr>
              <w:spacing w:after="0"/>
              <w:rPr>
                <w:sz w:val="15"/>
                <w:szCs w:val="15"/>
                <w:color w:val="auto"/>
              </w:rPr>
            </w:pPr>
          </w:p>
        </w:tc>
      </w:tr>
      <w:tr>
        <w:trPr>
          <w:trHeight w:val="24"/>
        </w:trPr>
        <w:tc>
          <w:tcPr>
            <w:tcW w:w="58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24"/>
        </w:trPr>
        <w:tc>
          <w:tcPr>
            <w:tcW w:w="5800" w:type="dxa"/>
            <w:vAlign w:val="bottom"/>
            <w:tcBorders>
              <w:bottom w:val="single" w:sz="8" w:color="CFF0FC"/>
            </w:tcBorders>
            <w:shd w:val="clear" w:color="auto" w:fill="CFF0FC"/>
          </w:tcPr>
          <w:p>
            <w:pPr>
              <w:ind w:left="240"/>
              <w:spacing w:after="0"/>
              <w:rPr>
                <w:sz w:val="20"/>
                <w:szCs w:val="20"/>
                <w:color w:val="auto"/>
              </w:rPr>
            </w:pPr>
            <w:r>
              <w:rPr>
                <w:rFonts w:ascii="MS PGothic" w:cs="MS PGothic" w:eastAsia="MS PGothic" w:hAnsi="MS PGothic"/>
                <w:sz w:val="15"/>
                <w:szCs w:val="15"/>
                <w:color w:val="auto"/>
              </w:rPr>
              <w:t>Total</w:t>
            </w:r>
          </w:p>
        </w:tc>
        <w:tc>
          <w:tcPr>
            <w:tcW w:w="760" w:type="dxa"/>
            <w:vAlign w:val="bottom"/>
            <w:tcBorders>
              <w:bottom w:val="single" w:sz="8" w:color="CFF0FC"/>
            </w:tcBorders>
            <w:shd w:val="clear" w:color="auto" w:fill="CFF0FC"/>
          </w:tcPr>
          <w:p>
            <w:pPr>
              <w:jc w:val="right"/>
              <w:ind w:right="608"/>
              <w:spacing w:after="0"/>
              <w:rPr>
                <w:sz w:val="20"/>
                <w:szCs w:val="20"/>
                <w:color w:val="auto"/>
              </w:rPr>
            </w:pPr>
            <w:r>
              <w:rPr>
                <w:rFonts w:ascii="MS PGothic" w:cs="MS PGothic" w:eastAsia="MS PGothic" w:hAnsi="MS PGothic"/>
                <w:sz w:val="15"/>
                <w:szCs w:val="15"/>
                <w:color w:val="auto"/>
                <w:w w:val="79"/>
              </w:rPr>
              <w:t>$</w:t>
            </w:r>
          </w:p>
        </w:tc>
        <w:tc>
          <w:tcPr>
            <w:tcW w:w="500" w:type="dxa"/>
            <w:vAlign w:val="bottom"/>
            <w:tcBorders>
              <w:bottom w:val="single" w:sz="8" w:color="CFF0FC"/>
            </w:tcBorders>
            <w:shd w:val="clear" w:color="auto" w:fill="CFF0FC"/>
          </w:tcPr>
          <w:p>
            <w:pPr>
              <w:jc w:val="right"/>
              <w:spacing w:after="0"/>
              <w:rPr>
                <w:sz w:val="20"/>
                <w:szCs w:val="20"/>
                <w:color w:val="auto"/>
              </w:rPr>
            </w:pPr>
            <w:r>
              <w:rPr>
                <w:rFonts w:ascii="MS PGothic" w:cs="MS PGothic" w:eastAsia="MS PGothic" w:hAnsi="MS PGothic"/>
                <w:sz w:val="15"/>
                <w:szCs w:val="15"/>
                <w:color w:val="auto"/>
                <w:w w:val="99"/>
              </w:rPr>
              <w:t>113,456</w:t>
            </w:r>
          </w:p>
        </w:tc>
        <w:tc>
          <w:tcPr>
            <w:tcW w:w="56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MS PGothic" w:cs="MS PGothic" w:eastAsia="MS PGothic" w:hAnsi="MS PGothic"/>
                <w:sz w:val="15"/>
                <w:szCs w:val="15"/>
                <w:color w:val="auto"/>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MS PGothic" w:cs="MS PGothic" w:eastAsia="MS PGothic" w:hAnsi="MS PGothic"/>
                <w:sz w:val="15"/>
                <w:szCs w:val="15"/>
                <w:color w:val="auto"/>
              </w:rPr>
              <w:t>33,682</w:t>
            </w:r>
          </w:p>
        </w:tc>
        <w:tc>
          <w:tcPr>
            <w:tcW w:w="54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MS PGothic" w:cs="MS PGothic" w:eastAsia="MS PGothic" w:hAnsi="MS PGothic"/>
                <w:sz w:val="15"/>
                <w:szCs w:val="15"/>
                <w:color w:val="auto"/>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MS PGothic" w:cs="MS PGothic" w:eastAsia="MS PGothic" w:hAnsi="MS PGothic"/>
                <w:sz w:val="15"/>
                <w:szCs w:val="15"/>
                <w:color w:val="auto"/>
              </w:rPr>
              <w:t>77,710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80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4838700</wp:posOffset>
            </wp:positionH>
            <wp:positionV relativeFrom="paragraph">
              <wp:posOffset>-21590</wp:posOffset>
            </wp:positionV>
            <wp:extent cx="66040" cy="762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4838700</wp:posOffset>
            </wp:positionH>
            <wp:positionV relativeFrom="paragraph">
              <wp:posOffset>-6985</wp:posOffset>
            </wp:positionV>
            <wp:extent cx="66040" cy="762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5803265</wp:posOffset>
            </wp:positionH>
            <wp:positionV relativeFrom="paragraph">
              <wp:posOffset>-21590</wp:posOffset>
            </wp:positionV>
            <wp:extent cx="66040" cy="762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5803265</wp:posOffset>
            </wp:positionH>
            <wp:positionV relativeFrom="paragraph">
              <wp:posOffset>-6985</wp:posOffset>
            </wp:positionV>
            <wp:extent cx="66040" cy="762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6731000</wp:posOffset>
            </wp:positionH>
            <wp:positionV relativeFrom="paragraph">
              <wp:posOffset>-21590</wp:posOffset>
            </wp:positionV>
            <wp:extent cx="58420" cy="762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8420" cy="7620"/>
                    </a:xfrm>
                    <a:prstGeom prst="rect">
                      <a:avLst/>
                    </a:prstGeom>
                    <a:noFill/>
                  </pic:spPr>
                </pic:pic>
              </a:graphicData>
            </a:graphic>
          </wp:anchor>
        </w:drawing>
        <w:drawing>
          <wp:anchor simplePos="0" relativeHeight="251657728" behindDoc="1" locked="0" layoutInCell="0" allowOverlap="1">
            <wp:simplePos x="0" y="0"/>
            <wp:positionH relativeFrom="column">
              <wp:posOffset>6731000</wp:posOffset>
            </wp:positionH>
            <wp:positionV relativeFrom="paragraph">
              <wp:posOffset>-6985</wp:posOffset>
            </wp:positionV>
            <wp:extent cx="58420" cy="762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58420" cy="7620"/>
                    </a:xfrm>
                    <a:prstGeom prst="rect">
                      <a:avLst/>
                    </a:prstGeom>
                    <a:noFill/>
                  </pic:spPr>
                </pic:pic>
              </a:graphicData>
            </a:graphic>
          </wp:anchor>
        </w:drawing>
      </w:r>
    </w:p>
    <w:p>
      <w:pPr>
        <w:spacing w:after="0" w:line="146" w:lineRule="exact"/>
        <w:rPr>
          <w:sz w:val="20"/>
          <w:szCs w:val="20"/>
          <w:color w:val="auto"/>
        </w:rPr>
      </w:pPr>
    </w:p>
    <w:p>
      <w:pPr>
        <w:jc w:val="both"/>
        <w:ind w:right="20" w:firstLine="511"/>
        <w:spacing w:after="0" w:line="347" w:lineRule="auto"/>
        <w:rPr>
          <w:sz w:val="20"/>
          <w:szCs w:val="20"/>
          <w:color w:val="auto"/>
        </w:rPr>
      </w:pPr>
      <w:r>
        <w:rPr>
          <w:rFonts w:ascii="MS PGothic" w:cs="MS PGothic" w:eastAsia="MS PGothic" w:hAnsi="MS PGothic"/>
          <w:sz w:val="15"/>
          <w:szCs w:val="15"/>
          <w:color w:val="auto"/>
        </w:rPr>
        <w:t>For the years ended December 31, 2023, 2022, and 2021, stock-based compensaton expense excluded $5,472, $4,468, and $3,247, respectvely, of capitalized website development costs, capitalized internal-use sofware costs, and capitalized hostng arrangements.</w:t>
      </w:r>
    </w:p>
    <w:p>
      <w:pPr>
        <w:spacing w:after="0" w:line="119" w:lineRule="exact"/>
        <w:rPr>
          <w:sz w:val="20"/>
          <w:szCs w:val="20"/>
          <w:color w:val="auto"/>
        </w:rPr>
      </w:pPr>
    </w:p>
    <w:p>
      <w:pPr>
        <w:jc w:val="both"/>
        <w:ind w:firstLine="511"/>
        <w:spacing w:after="0" w:line="347" w:lineRule="auto"/>
        <w:rPr>
          <w:sz w:val="20"/>
          <w:szCs w:val="20"/>
          <w:color w:val="auto"/>
        </w:rPr>
      </w:pPr>
      <w:r>
        <w:rPr>
          <w:rFonts w:ascii="MS PGothic" w:cs="MS PGothic" w:eastAsia="MS PGothic" w:hAnsi="MS PGothic"/>
          <w:sz w:val="15"/>
          <w:szCs w:val="15"/>
          <w:color w:val="auto"/>
        </w:rPr>
        <w:t>For the years ended December 31, 2023, 2022, and 2021, the income tax beneft from stock-based compensaton expense, recognized through the Company's deferred tax asset in the consolidated balance sheets was $5,353, $5,441, and $5,301, respectvely.</w:t>
      </w:r>
    </w:p>
    <w:p>
      <w:pPr>
        <w:spacing w:after="0" w:line="119" w:lineRule="exact"/>
        <w:rPr>
          <w:sz w:val="20"/>
          <w:szCs w:val="20"/>
          <w:color w:val="auto"/>
        </w:rPr>
      </w:pPr>
    </w:p>
    <w:p>
      <w:pPr>
        <w:jc w:val="both"/>
        <w:ind w:firstLine="511"/>
        <w:spacing w:after="0" w:line="312" w:lineRule="auto"/>
        <w:rPr>
          <w:sz w:val="20"/>
          <w:szCs w:val="20"/>
          <w:color w:val="auto"/>
        </w:rPr>
      </w:pPr>
      <w:r>
        <w:rPr>
          <w:rFonts w:ascii="MS PGothic" w:cs="MS PGothic" w:eastAsia="MS PGothic" w:hAnsi="MS PGothic"/>
          <w:sz w:val="15"/>
          <w:szCs w:val="15"/>
          <w:color w:val="auto"/>
        </w:rPr>
        <w:t>During the years ended December 31, 2023, 2022, and 2021, the Company withheld 840,995, 566,267, and 527,237 shares of Class A common stock, respectvely, to satsfy employee tax withholding requirements for net share setlements of RSUs. The shares withheld return to the authorized, but unissued pool under the 2017 Plan and can be reissued by the Company. For the years ended December 31, 2023, 2022, and 2021, total payments to satsfy employee tax withholding requirements for net share setlements of RSUs, were $15,729, $16,025, and $15,388, respectvely, and are refected as a fnancing actvity in the consolidated statements of cash fows.</w:t>
      </w:r>
    </w:p>
    <w:p>
      <w:pPr>
        <w:spacing w:after="0" w:line="140" w:lineRule="exact"/>
        <w:rPr>
          <w:sz w:val="20"/>
          <w:szCs w:val="20"/>
          <w:color w:val="auto"/>
        </w:rPr>
      </w:pPr>
    </w:p>
    <w:p>
      <w:pPr>
        <w:jc w:val="center"/>
        <w:spacing w:after="0"/>
        <w:rPr>
          <w:sz w:val="20"/>
          <w:szCs w:val="20"/>
          <w:color w:val="auto"/>
        </w:rPr>
      </w:pPr>
      <w:r>
        <w:rPr>
          <w:rFonts w:ascii="MS PGothic" w:cs="MS PGothic" w:eastAsia="MS PGothic" w:hAnsi="MS PGothic"/>
          <w:sz w:val="15"/>
          <w:szCs w:val="15"/>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422275</wp:posOffset>
            </wp:positionV>
            <wp:extent cx="7178040" cy="4000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4" w:right="319" w:bottom="1440" w:gutter="0" w:footer="0" w:header="0"/>
        </w:sectPr>
      </w:pPr>
    </w:p>
    <w:bookmarkStart w:id="124" w:name="page125"/>
    <w:bookmarkEnd w:id="124"/>
    <w:p>
      <w:pPr>
        <w:jc w:val="both"/>
        <w:ind w:firstLine="511"/>
        <w:spacing w:after="0" w:line="241" w:lineRule="auto"/>
        <w:rPr>
          <w:sz w:val="20"/>
          <w:szCs w:val="20"/>
          <w:color w:val="auto"/>
        </w:rPr>
      </w:pPr>
      <w:r>
        <w:rPr>
          <w:rFonts w:ascii="Calibri" w:cs="Calibri" w:eastAsia="Calibri" w:hAnsi="Calibri"/>
          <w:sz w:val="15"/>
          <w:szCs w:val="15"/>
          <w:color w:val="auto"/>
        </w:rPr>
        <w:t>For the year ended December 31, 2023, total payments to satsfy employee tax withholding requirements for net share setlements of RSUs were $15,729, of which $15,597 was paid and refected as a fnancing actvity in the consolidated statements of cash fows. For the year ended December 31, 2022, total payments to satsfy employee tax withholding requirements for net share setlements of RSUs were $16,025, of which $16,022 was paid and refected as a fnancing actvity in the consolidated statements of cash fows.</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b w:val="1"/>
          <w:bCs w:val="1"/>
          <w:i w:val="1"/>
          <w:iCs w:val="1"/>
          <w:color w:val="auto"/>
        </w:rPr>
        <w:t>2023 CarOfer Transacton</w:t>
      </w:r>
    </w:p>
    <w:p>
      <w:pPr>
        <w:spacing w:after="0" w:line="185" w:lineRule="exact"/>
        <w:rPr>
          <w:sz w:val="20"/>
          <w:szCs w:val="20"/>
          <w:color w:val="auto"/>
        </w:rPr>
      </w:pPr>
    </w:p>
    <w:p>
      <w:pPr>
        <w:ind w:left="500"/>
        <w:spacing w:after="0"/>
        <w:rPr>
          <w:sz w:val="20"/>
          <w:szCs w:val="20"/>
          <w:color w:val="auto"/>
        </w:rPr>
      </w:pPr>
      <w:r>
        <w:rPr>
          <w:rFonts w:ascii="Calibri" w:cs="Calibri" w:eastAsia="Calibri" w:hAnsi="Calibri"/>
          <w:sz w:val="15"/>
          <w:szCs w:val="15"/>
          <w:color w:val="auto"/>
        </w:rPr>
        <w:t>In connecton with the 2023 CarOfer Transacton, the Company redeemed all remaining CO Incentve Units, Subject Units, and Noncontrolling Interest Units.</w:t>
      </w:r>
    </w:p>
    <w:p>
      <w:pPr>
        <w:spacing w:after="0" w:line="185" w:lineRule="exact"/>
        <w:rPr>
          <w:sz w:val="20"/>
          <w:szCs w:val="20"/>
          <w:color w:val="auto"/>
        </w:rPr>
      </w:pPr>
    </w:p>
    <w:p>
      <w:pPr>
        <w:jc w:val="both"/>
        <w:ind w:right="20" w:firstLine="511"/>
        <w:spacing w:after="0" w:line="241" w:lineRule="auto"/>
        <w:rPr>
          <w:sz w:val="20"/>
          <w:szCs w:val="20"/>
          <w:color w:val="auto"/>
        </w:rPr>
      </w:pPr>
      <w:r>
        <w:rPr>
          <w:rFonts w:ascii="Calibri" w:cs="Calibri" w:eastAsia="Calibri" w:hAnsi="Calibri"/>
          <w:sz w:val="15"/>
          <w:szCs w:val="15"/>
          <w:color w:val="auto"/>
        </w:rPr>
        <w:t>Certain of the Noncontrolling Interest Units were employee owned. The Company paid $28,991 for these units and accounted for this porton of the 2023 CarOfer Transacton as stock-based compensaton in its consolidated income statements. For all other Noncontrolling Interest Units, the Company reduced the remaining redeemable noncontrolling interest on its consolidated balance sheets to zero and recorded excess cash paid to these unit holders as a deemed dividend of $5,838.</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As part of the 2023 CarOfer Transacton, Subject Units and CO Incentve Units were modifed such that any remaining unvested units received accelerated vestng. As part of the 2023 CarOfer Transacton, the Company purchased all outstanding Subject Units and CO Incentve Units and recognized approximately $20,655 of stock-based compensaton in its consolidated income statements.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860" w:type="dxa"/>
            <w:vAlign w:val="bottom"/>
            <w:gridSpan w:val="2"/>
          </w:tcPr>
          <w:p>
            <w:pPr>
              <w:spacing w:after="0"/>
              <w:rPr>
                <w:sz w:val="20"/>
                <w:szCs w:val="20"/>
                <w:color w:val="auto"/>
              </w:rPr>
            </w:pPr>
            <w:r>
              <w:rPr>
                <w:rFonts w:ascii="Calibri" w:cs="Calibri" w:eastAsia="Calibri" w:hAnsi="Calibri"/>
                <w:sz w:val="15"/>
                <w:szCs w:val="15"/>
                <w:b w:val="1"/>
                <w:bCs w:val="1"/>
                <w:i w:val="1"/>
                <w:iCs w:val="1"/>
                <w:color w:val="auto"/>
              </w:rPr>
              <w:t>Common Stock Reserved for Future Issuance</w:t>
            </w: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68"/>
        </w:trPr>
        <w:tc>
          <w:tcPr>
            <w:tcW w:w="8860" w:type="dxa"/>
            <w:vAlign w:val="bottom"/>
            <w:gridSpan w:val="2"/>
          </w:tcPr>
          <w:p>
            <w:pPr>
              <w:ind w:left="500"/>
              <w:spacing w:after="0"/>
              <w:rPr>
                <w:sz w:val="20"/>
                <w:szCs w:val="20"/>
                <w:color w:val="auto"/>
              </w:rPr>
            </w:pPr>
            <w:r>
              <w:rPr>
                <w:rFonts w:ascii="Calibri" w:cs="Calibri" w:eastAsia="Calibri" w:hAnsi="Calibri"/>
                <w:sz w:val="15"/>
                <w:szCs w:val="15"/>
                <w:color w:val="auto"/>
              </w:rPr>
              <w:t>As of December 31, 2023, the Company had reserved the following shares of Class A common stock for future issuance:</w:t>
            </w: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6"/>
        </w:trPr>
        <w:tc>
          <w:tcPr>
            <w:tcW w:w="56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560" w:type="dxa"/>
            <w:vAlign w:val="bottom"/>
          </w:tcPr>
          <w:p>
            <w:pPr>
              <w:spacing w:after="0"/>
              <w:rPr>
                <w:sz w:val="16"/>
                <w:szCs w:val="16"/>
                <w:color w:val="auto"/>
              </w:rPr>
            </w:pPr>
          </w:p>
        </w:tc>
        <w:tc>
          <w:tcPr>
            <w:tcW w:w="830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5"/>
                <w:szCs w:val="15"/>
                <w:color w:val="auto"/>
              </w:rPr>
              <w:t>Common stock optons outstanding</w:t>
            </w:r>
          </w:p>
        </w:tc>
        <w:tc>
          <w:tcPr>
            <w:tcW w:w="174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776,094</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560" w:type="dxa"/>
            <w:vAlign w:val="bottom"/>
          </w:tcPr>
          <w:p>
            <w:pPr>
              <w:spacing w:after="0"/>
              <w:rPr>
                <w:sz w:val="15"/>
                <w:szCs w:val="15"/>
                <w:color w:val="auto"/>
              </w:rPr>
            </w:pPr>
          </w:p>
        </w:tc>
        <w:tc>
          <w:tcPr>
            <w:tcW w:w="8300" w:type="dxa"/>
            <w:vAlign w:val="bottom"/>
          </w:tcPr>
          <w:p>
            <w:pPr>
              <w:spacing w:after="0"/>
              <w:rPr>
                <w:sz w:val="20"/>
                <w:szCs w:val="20"/>
                <w:color w:val="auto"/>
              </w:rPr>
            </w:pPr>
            <w:r>
              <w:rPr>
                <w:rFonts w:ascii="Calibri" w:cs="Calibri" w:eastAsia="Calibri" w:hAnsi="Calibri"/>
                <w:sz w:val="15"/>
                <w:szCs w:val="15"/>
                <w:color w:val="auto"/>
              </w:rPr>
              <w:t>Unvested restricted stock units outstanding</w:t>
            </w:r>
          </w:p>
        </w:tc>
        <w:tc>
          <w:tcPr>
            <w:tcW w:w="1740" w:type="dxa"/>
            <w:vAlign w:val="bottom"/>
          </w:tcPr>
          <w:p>
            <w:pPr>
              <w:jc w:val="right"/>
              <w:spacing w:after="0"/>
              <w:rPr>
                <w:sz w:val="20"/>
                <w:szCs w:val="20"/>
                <w:color w:val="auto"/>
              </w:rPr>
            </w:pPr>
            <w:r>
              <w:rPr>
                <w:rFonts w:ascii="Calibri" w:cs="Calibri" w:eastAsia="Calibri" w:hAnsi="Calibri"/>
                <w:sz w:val="15"/>
                <w:szCs w:val="15"/>
                <w:color w:val="auto"/>
              </w:rPr>
              <w:t>5,687,711</w:t>
            </w:r>
          </w:p>
        </w:tc>
        <w:tc>
          <w:tcPr>
            <w:tcW w:w="100" w:type="dxa"/>
            <w:vAlign w:val="bottom"/>
          </w:tcPr>
          <w:p>
            <w:pPr>
              <w:spacing w:after="0"/>
              <w:rPr>
                <w:sz w:val="15"/>
                <w:szCs w:val="15"/>
                <w:color w:val="auto"/>
              </w:rPr>
            </w:pPr>
          </w:p>
        </w:tc>
      </w:tr>
      <w:tr>
        <w:trPr>
          <w:trHeight w:val="24"/>
        </w:trPr>
        <w:tc>
          <w:tcPr>
            <w:tcW w:w="560" w:type="dxa"/>
            <w:vAlign w:val="bottom"/>
          </w:tcPr>
          <w:p>
            <w:pPr>
              <w:spacing w:after="0"/>
              <w:rPr>
                <w:sz w:val="2"/>
                <w:szCs w:val="2"/>
                <w:color w:val="auto"/>
              </w:rPr>
            </w:pPr>
          </w:p>
        </w:tc>
        <w:tc>
          <w:tcPr>
            <w:tcW w:w="83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2"/>
        </w:trPr>
        <w:tc>
          <w:tcPr>
            <w:tcW w:w="560" w:type="dxa"/>
            <w:vAlign w:val="bottom"/>
          </w:tcPr>
          <w:p>
            <w:pPr>
              <w:spacing w:after="0"/>
              <w:rPr>
                <w:sz w:val="18"/>
                <w:szCs w:val="18"/>
                <w:color w:val="auto"/>
              </w:rPr>
            </w:pPr>
          </w:p>
        </w:tc>
        <w:tc>
          <w:tcPr>
            <w:tcW w:w="830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5"/>
                <w:szCs w:val="15"/>
                <w:color w:val="auto"/>
              </w:rPr>
              <w:t>Shares available for issuance under the 2017 Plan</w:t>
            </w:r>
          </w:p>
        </w:tc>
        <w:tc>
          <w:tcPr>
            <w:tcW w:w="174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6,236,628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75"/>
        </w:trPr>
        <w:tc>
          <w:tcPr>
            <w:tcW w:w="560" w:type="dxa"/>
            <w:vAlign w:val="bottom"/>
          </w:tcPr>
          <w:p>
            <w:pPr>
              <w:spacing w:after="0"/>
              <w:rPr>
                <w:sz w:val="15"/>
                <w:szCs w:val="15"/>
                <w:color w:val="auto"/>
              </w:rPr>
            </w:pPr>
          </w:p>
        </w:tc>
        <w:tc>
          <w:tcPr>
            <w:tcW w:w="8300" w:type="dxa"/>
            <w:vAlign w:val="bottom"/>
            <w:tcBorders>
              <w:top w:val="single" w:sz="8" w:color="CFF0FC"/>
            </w:tcBorders>
          </w:tcPr>
          <w:p>
            <w:pPr>
              <w:spacing w:after="0" w:line="174" w:lineRule="exact"/>
              <w:rPr>
                <w:sz w:val="20"/>
                <w:szCs w:val="20"/>
                <w:color w:val="auto"/>
              </w:rPr>
            </w:pPr>
            <w:r>
              <w:rPr>
                <w:rFonts w:ascii="Calibri" w:cs="Calibri" w:eastAsia="Calibri" w:hAnsi="Calibri"/>
                <w:sz w:val="15"/>
                <w:szCs w:val="15"/>
                <w:color w:val="auto"/>
              </w:rPr>
              <w:t>Total shares of authorized common stock reserved for future issuance</w:t>
            </w:r>
          </w:p>
        </w:tc>
        <w:tc>
          <w:tcPr>
            <w:tcW w:w="1740" w:type="dxa"/>
            <w:vAlign w:val="bottom"/>
            <w:tcBorders>
              <w:top w:val="single" w:sz="8" w:color="auto"/>
            </w:tcBorders>
          </w:tcPr>
          <w:p>
            <w:pPr>
              <w:jc w:val="right"/>
              <w:spacing w:after="0" w:line="174" w:lineRule="exact"/>
              <w:rPr>
                <w:sz w:val="20"/>
                <w:szCs w:val="20"/>
                <w:color w:val="auto"/>
              </w:rPr>
            </w:pPr>
            <w:r>
              <w:rPr>
                <w:rFonts w:ascii="Calibri" w:cs="Calibri" w:eastAsia="Calibri" w:hAnsi="Calibri"/>
                <w:sz w:val="15"/>
                <w:szCs w:val="15"/>
                <w:color w:val="auto"/>
              </w:rPr>
              <w:t>12,700,433</w:t>
            </w:r>
          </w:p>
        </w:tc>
        <w:tc>
          <w:tcPr>
            <w:tcW w:w="100" w:type="dxa"/>
            <w:vAlign w:val="bottom"/>
            <w:tcBorders>
              <w:top w:val="single" w:sz="8" w:color="CFF0FC"/>
            </w:tcBorders>
          </w:tcPr>
          <w:p>
            <w:pPr>
              <w:spacing w:after="0"/>
              <w:rPr>
                <w:sz w:val="15"/>
                <w:szCs w:val="15"/>
                <w:color w:val="auto"/>
              </w:rPr>
            </w:pPr>
          </w:p>
        </w:tc>
      </w:tr>
      <w:tr>
        <w:trPr>
          <w:trHeight w:val="24"/>
        </w:trPr>
        <w:tc>
          <w:tcPr>
            <w:tcW w:w="560" w:type="dxa"/>
            <w:vAlign w:val="bottom"/>
          </w:tcPr>
          <w:p>
            <w:pPr>
              <w:spacing w:after="0"/>
              <w:rPr>
                <w:sz w:val="2"/>
                <w:szCs w:val="2"/>
                <w:color w:val="auto"/>
              </w:rPr>
            </w:pPr>
          </w:p>
        </w:tc>
        <w:tc>
          <w:tcPr>
            <w:tcW w:w="830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
        </w:trPr>
        <w:tc>
          <w:tcPr>
            <w:tcW w:w="56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6731000</wp:posOffset>
            </wp:positionH>
            <wp:positionV relativeFrom="paragraph">
              <wp:posOffset>-160020</wp:posOffset>
            </wp:positionV>
            <wp:extent cx="58420" cy="762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8420" cy="7620"/>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Calibri" w:cs="Calibri" w:eastAsia="Calibri" w:hAnsi="Calibri"/>
          <w:sz w:val="15"/>
          <w:szCs w:val="15"/>
          <w:b w:val="1"/>
          <w:bCs w:val="1"/>
          <w:i w:val="1"/>
          <w:iCs w:val="1"/>
          <w:color w:val="auto"/>
        </w:rPr>
        <w:t>Common Stock Share Repurchases</w:t>
      </w:r>
    </w:p>
    <w:p>
      <w:pPr>
        <w:spacing w:after="0" w:line="185" w:lineRule="exact"/>
        <w:rPr>
          <w:sz w:val="20"/>
          <w:szCs w:val="20"/>
          <w:color w:val="auto"/>
        </w:rPr>
      </w:pPr>
    </w:p>
    <w:p>
      <w:pPr>
        <w:jc w:val="both"/>
        <w:ind w:firstLine="511"/>
        <w:spacing w:after="0" w:line="261" w:lineRule="auto"/>
        <w:rPr>
          <w:sz w:val="20"/>
          <w:szCs w:val="20"/>
          <w:color w:val="auto"/>
        </w:rPr>
      </w:pPr>
      <w:r>
        <w:rPr>
          <w:rFonts w:ascii="Calibri" w:cs="Calibri" w:eastAsia="Calibri" w:hAnsi="Calibri"/>
          <w:sz w:val="14"/>
          <w:szCs w:val="14"/>
          <w:color w:val="auto"/>
        </w:rPr>
        <w:t>On November 7, 2023, the Company announced that the Board authorized a share repurchase program (the “2024 Share Repurchase Program”), pursuant to which the Company may, from tme to tme, purchase shares of its Class A common stock for an aggregate purchase price not to exceed $250.0 million. Share repurchases under the 2024 Share Repurchase Program may be made through a variety of methods, including but not limited to open market purchases, privately negotated transactons, and transactons that may be efected pursuant to one or more plans under Rule 10b5-1 and/or Rule 10b-18 of the Securites Exchange Act of 1934. The 2024 Share Repurchase Program does not obligate the Company to repurchase any minimum dollar amount or number of shares. The 2024 Share Repurchase Program has an efectve date of January 1, 2024, and an expiraton date of December 31, 2024, and prior to its expiraton may be modifed, suspended, or discontnued by the Board at any tme without prior notce. All repurchased shares under the 2024 Share Repurchase Program will be retred. The Company expects to fund share repurchases under the 2024 Share Repurchase Program through cash on hand and cash generated from operatons.</w:t>
      </w:r>
    </w:p>
    <w:p>
      <w:pPr>
        <w:spacing w:after="0" w:line="172"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On December 8, 2022, the Company announced that the Board authorized a share repurchase program (the “2022 Share Repurchase Program”) pursuant to which the Company could, from tme to tme, purchase shares of its Class A common stock for an aggregate purchase price not to exceed $250.0 million. The 2022 Share Repurchase Program expired on December 31, 2023. The 2022 Share Repurchase Program did not obligate the Company to repurchase any minimum dollar amount or number of shares. All repurchased shares under the 2022 Share Repurchase Program were retred. The Company funded share repurchases under the 2022 Share Repurchase Program through cash on hand and cash generated from operatons.</w:t>
      </w:r>
    </w:p>
    <w:p>
      <w:pPr>
        <w:spacing w:after="0" w:line="185" w:lineRule="exact"/>
        <w:rPr>
          <w:sz w:val="20"/>
          <w:szCs w:val="20"/>
          <w:color w:val="auto"/>
        </w:rPr>
      </w:pPr>
    </w:p>
    <w:p>
      <w:pPr>
        <w:jc w:val="center"/>
        <w:spacing w:after="0"/>
        <w:rPr>
          <w:sz w:val="20"/>
          <w:szCs w:val="20"/>
          <w:color w:val="auto"/>
        </w:rPr>
      </w:pPr>
      <w:r>
        <w:rPr>
          <w:rFonts w:ascii="Calibri" w:cs="Calibri" w:eastAsia="Calibri" w:hAnsi="Calibri"/>
          <w:sz w:val="15"/>
          <w:szCs w:val="15"/>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401320</wp:posOffset>
            </wp:positionV>
            <wp:extent cx="7178040" cy="4000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4" w:right="319" w:bottom="1440" w:gutter="0" w:footer="0" w:header="0"/>
        </w:sectPr>
      </w:pPr>
    </w:p>
    <w:bookmarkStart w:id="125" w:name="page126"/>
    <w:bookmarkEnd w:id="125"/>
    <w:p>
      <w:pPr>
        <w:jc w:val="both"/>
        <w:ind w:firstLine="511"/>
        <w:spacing w:after="0" w:line="347" w:lineRule="auto"/>
        <w:rPr>
          <w:sz w:val="20"/>
          <w:szCs w:val="20"/>
          <w:color w:val="auto"/>
        </w:rPr>
      </w:pPr>
      <w:r>
        <w:rPr>
          <w:rFonts w:ascii="MS PGothic" w:cs="MS PGothic" w:eastAsia="MS PGothic" w:hAnsi="MS PGothic"/>
          <w:sz w:val="15"/>
          <w:szCs w:val="15"/>
          <w:color w:val="auto"/>
        </w:rPr>
        <w:t>During the year ended December 31, 2023, the Company repurchased and retred 11,076,755 shares for $204,127, exclusive of commissions and excise tax, at an average cost of $18.43 per share, under the 2022 Share Repurchase Program. As of December 31, 2023, the 2022 Share Repurchase Program expired.</w:t>
      </w:r>
    </w:p>
    <w:p>
      <w:pPr>
        <w:spacing w:after="0" w:line="118" w:lineRule="exact"/>
        <w:rPr>
          <w:sz w:val="20"/>
          <w:szCs w:val="20"/>
          <w:color w:val="auto"/>
        </w:rPr>
      </w:pPr>
    </w:p>
    <w:p>
      <w:pPr>
        <w:spacing w:after="0"/>
        <w:rPr>
          <w:sz w:val="20"/>
          <w:szCs w:val="20"/>
          <w:color w:val="auto"/>
        </w:rPr>
      </w:pPr>
      <w:r>
        <w:rPr>
          <w:rFonts w:ascii="Calibri" w:cs="Calibri" w:eastAsia="Calibri" w:hAnsi="Calibri"/>
          <w:sz w:val="15"/>
          <w:szCs w:val="15"/>
          <w:b w:val="1"/>
          <w:bCs w:val="1"/>
          <w:color w:val="auto"/>
        </w:rPr>
        <w:t>12. Earnings Per Share</w:t>
      </w:r>
    </w:p>
    <w:p>
      <w:pPr>
        <w:spacing w:after="0" w:line="185" w:lineRule="exact"/>
        <w:rPr>
          <w:sz w:val="20"/>
          <w:szCs w:val="20"/>
          <w:color w:val="auto"/>
        </w:rPr>
      </w:pPr>
    </w:p>
    <w:p>
      <w:pPr>
        <w:jc w:val="both"/>
        <w:ind w:firstLine="511"/>
        <w:spacing w:after="0" w:line="305" w:lineRule="auto"/>
        <w:rPr>
          <w:sz w:val="20"/>
          <w:szCs w:val="20"/>
          <w:color w:val="auto"/>
        </w:rPr>
      </w:pPr>
      <w:r>
        <w:rPr>
          <w:rFonts w:ascii="MS PGothic" w:cs="MS PGothic" w:eastAsia="MS PGothic" w:hAnsi="MS PGothic"/>
          <w:sz w:val="15"/>
          <w:szCs w:val="15"/>
          <w:color w:val="auto"/>
        </w:rPr>
        <w:t>The Company has two classes of common stock authorized: Class A common stock and Class B common stock. The rights of the holders of Class A and Class B common stock are identcal, except with respect to votng and conversion. Each share of Class A common stock is enttled to one vote per share and each share of Class B common stock is enttled to ten votes per share. Each share of Class B common stock is convertble into one share of Class A common stock at the opton of the holder at any tme or automatcally upon certain events described in the Company’s amended and restated certfcate of incorporaton, including upon either the death or voluntary terminaton of the Company’s Executve Chair. The Company allocates undistributed earnings atributable to common stock between the common stock classes on a one‑to‑one basis when computng net income (loss) per share. As a result, basic and diluted net income (loss) per share of Class A common stock and per share of Class B common stock are equivalent.</w:t>
      </w:r>
    </w:p>
    <w:p>
      <w:pPr>
        <w:spacing w:after="0" w:line="145" w:lineRule="exact"/>
        <w:rPr>
          <w:sz w:val="20"/>
          <w:szCs w:val="20"/>
          <w:color w:val="auto"/>
        </w:rPr>
      </w:pPr>
    </w:p>
    <w:p>
      <w:pPr>
        <w:jc w:val="both"/>
        <w:ind w:right="20" w:firstLine="511"/>
        <w:spacing w:after="0" w:line="347" w:lineRule="auto"/>
        <w:rPr>
          <w:sz w:val="20"/>
          <w:szCs w:val="20"/>
          <w:color w:val="auto"/>
        </w:rPr>
      </w:pPr>
      <w:r>
        <w:rPr>
          <w:rFonts w:ascii="MS PGothic" w:cs="MS PGothic" w:eastAsia="MS PGothic" w:hAnsi="MS PGothic"/>
          <w:sz w:val="15"/>
          <w:szCs w:val="15"/>
          <w:color w:val="auto"/>
        </w:rPr>
        <w:t>During the years ended December 31, 2023 and 2022, no shares of Class B common stock were converted into Class A common stock. During the year ended 2021, holders of Class B common stock converted 3,077,327 shares of Class B common stock to Class A common stock.</w:t>
      </w:r>
    </w:p>
    <w:p>
      <w:pPr>
        <w:spacing w:after="0" w:line="119" w:lineRule="exact"/>
        <w:rPr>
          <w:sz w:val="20"/>
          <w:szCs w:val="20"/>
          <w:color w:val="auto"/>
        </w:rPr>
      </w:pPr>
    </w:p>
    <w:p>
      <w:pPr>
        <w:jc w:val="both"/>
        <w:ind w:firstLine="511"/>
        <w:spacing w:after="0" w:line="307" w:lineRule="auto"/>
        <w:rPr>
          <w:sz w:val="20"/>
          <w:szCs w:val="20"/>
          <w:color w:val="auto"/>
        </w:rPr>
      </w:pPr>
      <w:r>
        <w:rPr>
          <w:rFonts w:ascii="MS PGothic" w:cs="MS PGothic" w:eastAsia="MS PGothic" w:hAnsi="MS PGothic"/>
          <w:sz w:val="15"/>
          <w:szCs w:val="15"/>
          <w:color w:val="auto"/>
        </w:rPr>
        <w:t>Basic net income (loss) per share (“Basic EPS”) is computed by dividing consolidated net income adjusted for net loss atributable to redeemable noncontrolling interest and changes in the redempton value of redeemable noncontrolling interest, if applicable, by the weighted-average number of common shares outstanding during the reportng period. The Company computes the weighted-average number of common shares outstanding during the reportng period using the total number of shares of Class A common stock and Class B common stock outstanding as of the last day of the previous year plus the weighted-average of any additonal shares issued and outstanding during the reportng period, less the weighted-average of any shares repurchased during the period.</w:t>
      </w:r>
    </w:p>
    <w:p>
      <w:pPr>
        <w:spacing w:after="0" w:line="145" w:lineRule="exact"/>
        <w:rPr>
          <w:sz w:val="20"/>
          <w:szCs w:val="20"/>
          <w:color w:val="auto"/>
        </w:rPr>
      </w:pPr>
    </w:p>
    <w:p>
      <w:pPr>
        <w:jc w:val="both"/>
        <w:ind w:firstLine="511"/>
        <w:spacing w:after="0" w:line="302" w:lineRule="auto"/>
        <w:rPr>
          <w:sz w:val="20"/>
          <w:szCs w:val="20"/>
          <w:color w:val="auto"/>
        </w:rPr>
      </w:pPr>
      <w:r>
        <w:rPr>
          <w:rFonts w:ascii="MS PGothic" w:cs="MS PGothic" w:eastAsia="MS PGothic" w:hAnsi="MS PGothic"/>
          <w:sz w:val="15"/>
          <w:szCs w:val="15"/>
          <w:color w:val="auto"/>
        </w:rPr>
        <w:t>Diluted net income (loss) per share (“Diluted EPS”) gives efect to all potentally dilutve securites. Diluted EPS is computed by dividing consolidated net income adjusted for net loss atributable to redeemable noncontrolling interest and changes in the redempton value of redeemable noncontrolling interest, if applicable and dilutve, by the weighted-average number of common shares outstanding during the reportng period using (i) the number of shares of common stock used in the Basic EPS calculaton as indicated above, (ii) if dilutve, the incremental weighted-average common stock that the Company would issue upon the exercise of stock optons and the vestng of RSUs, and (iii) if dilutve, market-based performance awards based on the number of shares that would be issuable as of the end of the reportng period assuming the end of the reportng period was also the end of the contngency period. The dilutve efect of these common stock equivalents is refected in diluted earnings per share by applicaton of the treasury stock method. For previous periods, the if-converted method was used to calculate the number of shares issuable upon exercise of the 2024 Put Right, inclusive of CarOfer noncontrolling interest and CO Incentve and Subject Units, that would have been issuable as of the end of the reportng period assuming the end of the reportng period was also the end of the contngency period.</w:t>
      </w:r>
    </w:p>
    <w:p>
      <w:pPr>
        <w:spacing w:after="0" w:line="147" w:lineRule="exact"/>
        <w:rPr>
          <w:sz w:val="20"/>
          <w:szCs w:val="20"/>
          <w:color w:val="auto"/>
        </w:rPr>
      </w:pPr>
    </w:p>
    <w:p>
      <w:pPr>
        <w:jc w:val="center"/>
        <w:spacing w:after="0"/>
        <w:rPr>
          <w:sz w:val="20"/>
          <w:szCs w:val="20"/>
          <w:color w:val="auto"/>
        </w:rPr>
      </w:pPr>
      <w:r>
        <w:rPr>
          <w:rFonts w:ascii="MS PGothic" w:cs="MS PGothic" w:eastAsia="MS PGothic" w:hAnsi="MS PGothic"/>
          <w:sz w:val="15"/>
          <w:szCs w:val="15"/>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422275</wp:posOffset>
            </wp:positionV>
            <wp:extent cx="7178040" cy="4000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4" w:right="319" w:bottom="1440" w:gutter="0" w:footer="0" w:header="0"/>
        </w:sectPr>
      </w:pPr>
    </w:p>
    <w:bookmarkStart w:id="126" w:name="page127"/>
    <w:bookmarkEnd w:id="126"/>
    <w:p>
      <w:pPr>
        <w:ind w:right="20" w:firstLine="511"/>
        <w:spacing w:after="0" w:line="347" w:lineRule="auto"/>
        <w:rPr>
          <w:sz w:val="20"/>
          <w:szCs w:val="20"/>
          <w:color w:val="auto"/>
        </w:rPr>
      </w:pPr>
      <w:r>
        <w:rPr>
          <w:rFonts w:ascii="MS PGothic" w:cs="MS PGothic" w:eastAsia="MS PGothic" w:hAnsi="MS PGothic"/>
          <w:sz w:val="15"/>
          <w:szCs w:val="15"/>
          <w:color w:val="auto"/>
        </w:rPr>
        <w:t>For the years ended December 31, 2023, 2022, and 2021, a reconciliaton of the numerator and denominator used in the calculaton of basic and diluted net income (loss) per share is as follows:</w:t>
      </w:r>
    </w:p>
    <w:p>
      <w:pPr>
        <w:spacing w:after="0" w:line="228" w:lineRule="exact"/>
        <w:rPr>
          <w:sz w:val="20"/>
          <w:szCs w:val="20"/>
          <w:color w:val="auto"/>
        </w:rPr>
      </w:pPr>
    </w:p>
    <w:tbl>
      <w:tblPr>
        <w:tblLayout w:type="fixed"/>
        <w:tblInd w:w="560" w:type="dxa"/>
        <w:tblCellMar>
          <w:top w:w="0" w:type="dxa"/>
          <w:left w:w="0" w:type="dxa"/>
          <w:bottom w:w="0" w:type="dxa"/>
          <w:right w:w="0" w:type="dxa"/>
        </w:tblCellMar>
      </w:tblPr>
      <w:tr>
        <w:trPr>
          <w:trHeight w:val="146"/>
        </w:trPr>
        <w:tc>
          <w:tcPr>
            <w:tcW w:w="5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4"/>
          </w:tcPr>
          <w:p>
            <w:pPr>
              <w:jc w:val="right"/>
              <w:ind w:right="220"/>
              <w:spacing w:after="0"/>
              <w:rPr>
                <w:sz w:val="20"/>
                <w:szCs w:val="20"/>
                <w:color w:val="auto"/>
              </w:rPr>
            </w:pPr>
            <w:r>
              <w:rPr>
                <w:rFonts w:ascii="Calibri" w:cs="Calibri" w:eastAsia="Calibri" w:hAnsi="Calibri"/>
                <w:sz w:val="12"/>
                <w:szCs w:val="12"/>
                <w:b w:val="1"/>
                <w:bCs w:val="1"/>
                <w:color w:val="auto"/>
              </w:rPr>
              <w:t>Year Ended December 31,</w:t>
            </w: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59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5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jc w:val="right"/>
              <w:ind w:right="404"/>
              <w:spacing w:after="0" w:line="138" w:lineRule="exact"/>
              <w:rPr>
                <w:sz w:val="20"/>
                <w:szCs w:val="20"/>
                <w:color w:val="auto"/>
              </w:rPr>
            </w:pPr>
            <w:r>
              <w:rPr>
                <w:rFonts w:ascii="Calibri" w:cs="Calibri" w:eastAsia="Calibri" w:hAnsi="Calibri"/>
                <w:sz w:val="12"/>
                <w:szCs w:val="12"/>
                <w:b w:val="1"/>
                <w:bCs w:val="1"/>
                <w:color w:val="auto"/>
              </w:rPr>
              <w:t>2023</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jc w:val="right"/>
              <w:ind w:right="404"/>
              <w:spacing w:after="0" w:line="138" w:lineRule="exact"/>
              <w:rPr>
                <w:sz w:val="20"/>
                <w:szCs w:val="20"/>
                <w:color w:val="auto"/>
              </w:rPr>
            </w:pPr>
            <w:r>
              <w:rPr>
                <w:rFonts w:ascii="Calibri" w:cs="Calibri" w:eastAsia="Calibri" w:hAnsi="Calibri"/>
                <w:sz w:val="12"/>
                <w:szCs w:val="12"/>
                <w:b w:val="1"/>
                <w:bCs w:val="1"/>
                <w:color w:val="auto"/>
              </w:rPr>
              <w:t>2022</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jc w:val="right"/>
              <w:ind w:right="384"/>
              <w:spacing w:after="0" w:line="138" w:lineRule="exact"/>
              <w:rPr>
                <w:sz w:val="20"/>
                <w:szCs w:val="20"/>
                <w:color w:val="auto"/>
              </w:rPr>
            </w:pPr>
            <w:r>
              <w:rPr>
                <w:rFonts w:ascii="Calibri" w:cs="Calibri" w:eastAsia="Calibri" w:hAnsi="Calibri"/>
                <w:sz w:val="12"/>
                <w:szCs w:val="12"/>
                <w:b w:val="1"/>
                <w:bCs w:val="1"/>
                <w:color w:val="auto"/>
              </w:rPr>
              <w:t>2021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5960" w:type="dxa"/>
            <w:vAlign w:val="bottom"/>
            <w:tcBorders>
              <w:bottom w:val="single" w:sz="8" w:color="CFF0FC"/>
            </w:tcBorders>
            <w:shd w:val="clear" w:color="auto" w:fill="CFF0FC"/>
          </w:tcPr>
          <w:p>
            <w:pPr>
              <w:spacing w:after="0" w:line="174" w:lineRule="exact"/>
              <w:rPr>
                <w:sz w:val="20"/>
                <w:szCs w:val="20"/>
                <w:color w:val="auto"/>
              </w:rPr>
            </w:pPr>
            <w:r>
              <w:rPr>
                <w:rFonts w:ascii="Calibri" w:cs="Calibri" w:eastAsia="Calibri" w:hAnsi="Calibri"/>
                <w:sz w:val="15"/>
                <w:szCs w:val="15"/>
                <w:b w:val="1"/>
                <w:bCs w:val="1"/>
                <w:color w:val="auto"/>
              </w:rPr>
              <w:t>Numerator:</w:t>
            </w:r>
          </w:p>
        </w:tc>
        <w:tc>
          <w:tcPr>
            <w:tcW w:w="260" w:type="dxa"/>
            <w:vAlign w:val="bottom"/>
            <w:tcBorders>
              <w:bottom w:val="single" w:sz="8" w:color="CFF0FC"/>
            </w:tcBorders>
            <w:shd w:val="clear" w:color="auto" w:fill="CFF0FC"/>
          </w:tcPr>
          <w:p>
            <w:pPr>
              <w:spacing w:after="0"/>
              <w:rPr>
                <w:sz w:val="15"/>
                <w:szCs w:val="15"/>
                <w:color w:val="auto"/>
              </w:rPr>
            </w:pPr>
          </w:p>
        </w:tc>
        <w:tc>
          <w:tcPr>
            <w:tcW w:w="9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9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9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960" w:type="dxa"/>
            <w:vAlign w:val="bottom"/>
          </w:tcPr>
          <w:p>
            <w:pPr>
              <w:spacing w:after="0"/>
              <w:rPr>
                <w:sz w:val="20"/>
                <w:szCs w:val="20"/>
                <w:color w:val="auto"/>
              </w:rPr>
            </w:pPr>
            <w:r>
              <w:rPr>
                <w:rFonts w:ascii="MS PGothic" w:cs="MS PGothic" w:eastAsia="MS PGothic" w:hAnsi="MS PGothic"/>
                <w:sz w:val="15"/>
                <w:szCs w:val="15"/>
                <w:color w:val="auto"/>
              </w:rPr>
              <w:t>Consolidated net income</w:t>
            </w:r>
          </w:p>
        </w:tc>
        <w:tc>
          <w:tcPr>
            <w:tcW w:w="260" w:type="dxa"/>
            <w:vAlign w:val="bottom"/>
          </w:tcPr>
          <w:p>
            <w:pPr>
              <w:jc w:val="right"/>
              <w:ind w:right="103"/>
              <w:spacing w:after="0"/>
              <w:rPr>
                <w:sz w:val="20"/>
                <w:szCs w:val="20"/>
                <w:color w:val="auto"/>
              </w:rPr>
            </w:pPr>
            <w:r>
              <w:rPr>
                <w:rFonts w:ascii="MS PGothic" w:cs="MS PGothic" w:eastAsia="MS PGothic" w:hAnsi="MS PGothic"/>
                <w:sz w:val="15"/>
                <w:szCs w:val="15"/>
                <w:color w:val="auto"/>
                <w:w w:val="79"/>
              </w:rPr>
              <w:t>$</w:t>
            </w:r>
          </w:p>
        </w:tc>
        <w:tc>
          <w:tcPr>
            <w:tcW w:w="940" w:type="dxa"/>
            <w:vAlign w:val="bottom"/>
          </w:tcPr>
          <w:p>
            <w:pPr>
              <w:jc w:val="right"/>
              <w:spacing w:after="0"/>
              <w:rPr>
                <w:sz w:val="20"/>
                <w:szCs w:val="20"/>
                <w:color w:val="auto"/>
              </w:rPr>
            </w:pPr>
            <w:r>
              <w:rPr>
                <w:rFonts w:ascii="MS PGothic" w:cs="MS PGothic" w:eastAsia="MS PGothic" w:hAnsi="MS PGothic"/>
                <w:sz w:val="15"/>
                <w:szCs w:val="15"/>
                <w:color w:val="auto"/>
              </w:rPr>
              <w:t>22,053</w:t>
            </w:r>
          </w:p>
        </w:tc>
        <w:tc>
          <w:tcPr>
            <w:tcW w:w="120" w:type="dxa"/>
            <w:vAlign w:val="bottom"/>
          </w:tcPr>
          <w:p>
            <w:pPr>
              <w:spacing w:after="0"/>
              <w:rPr>
                <w:sz w:val="15"/>
                <w:szCs w:val="15"/>
                <w:color w:val="auto"/>
              </w:rPr>
            </w:pPr>
          </w:p>
        </w:tc>
        <w:tc>
          <w:tcPr>
            <w:tcW w:w="400" w:type="dxa"/>
            <w:vAlign w:val="bottom"/>
            <w:gridSpan w:val="2"/>
          </w:tcPr>
          <w:p>
            <w:pPr>
              <w:jc w:val="right"/>
              <w:ind w:right="83"/>
              <w:spacing w:after="0"/>
              <w:rPr>
                <w:sz w:val="20"/>
                <w:szCs w:val="20"/>
                <w:color w:val="auto"/>
              </w:rPr>
            </w:pPr>
            <w:r>
              <w:rPr>
                <w:rFonts w:ascii="MS PGothic" w:cs="MS PGothic" w:eastAsia="MS PGothic" w:hAnsi="MS PGothic"/>
                <w:sz w:val="15"/>
                <w:szCs w:val="15"/>
                <w:color w:val="auto"/>
              </w:rPr>
              <w:t>$</w:t>
            </w:r>
          </w:p>
        </w:tc>
        <w:tc>
          <w:tcPr>
            <w:tcW w:w="940" w:type="dxa"/>
            <w:vAlign w:val="bottom"/>
          </w:tcPr>
          <w:p>
            <w:pPr>
              <w:jc w:val="right"/>
              <w:spacing w:after="0"/>
              <w:rPr>
                <w:sz w:val="20"/>
                <w:szCs w:val="20"/>
                <w:color w:val="auto"/>
              </w:rPr>
            </w:pPr>
            <w:r>
              <w:rPr>
                <w:rFonts w:ascii="MS PGothic" w:cs="MS PGothic" w:eastAsia="MS PGothic" w:hAnsi="MS PGothic"/>
                <w:sz w:val="15"/>
                <w:szCs w:val="15"/>
                <w:color w:val="auto"/>
              </w:rPr>
              <w:t>78,954</w:t>
            </w:r>
          </w:p>
        </w:tc>
        <w:tc>
          <w:tcPr>
            <w:tcW w:w="240" w:type="dxa"/>
            <w:vAlign w:val="bottom"/>
          </w:tcPr>
          <w:p>
            <w:pPr>
              <w:spacing w:after="0"/>
              <w:rPr>
                <w:sz w:val="15"/>
                <w:szCs w:val="15"/>
                <w:color w:val="auto"/>
              </w:rPr>
            </w:pPr>
          </w:p>
        </w:tc>
        <w:tc>
          <w:tcPr>
            <w:tcW w:w="240" w:type="dxa"/>
            <w:vAlign w:val="bottom"/>
          </w:tcPr>
          <w:p>
            <w:pPr>
              <w:jc w:val="right"/>
              <w:ind w:right="83"/>
              <w:spacing w:after="0"/>
              <w:rPr>
                <w:sz w:val="20"/>
                <w:szCs w:val="20"/>
                <w:color w:val="auto"/>
              </w:rPr>
            </w:pPr>
            <w:r>
              <w:rPr>
                <w:rFonts w:ascii="MS PGothic" w:cs="MS PGothic" w:eastAsia="MS PGothic" w:hAnsi="MS PGothic"/>
                <w:sz w:val="15"/>
                <w:szCs w:val="15"/>
                <w:color w:val="auto"/>
                <w:w w:val="79"/>
              </w:rPr>
              <w:t>$</w:t>
            </w:r>
          </w:p>
        </w:tc>
        <w:tc>
          <w:tcPr>
            <w:tcW w:w="940" w:type="dxa"/>
            <w:vAlign w:val="bottom"/>
          </w:tcPr>
          <w:p>
            <w:pPr>
              <w:jc w:val="right"/>
              <w:spacing w:after="0"/>
              <w:rPr>
                <w:sz w:val="20"/>
                <w:szCs w:val="20"/>
                <w:color w:val="auto"/>
              </w:rPr>
            </w:pPr>
            <w:r>
              <w:rPr>
                <w:rFonts w:ascii="MS PGothic" w:cs="MS PGothic" w:eastAsia="MS PGothic" w:hAnsi="MS PGothic"/>
                <w:sz w:val="15"/>
                <w:szCs w:val="15"/>
                <w:color w:val="auto"/>
              </w:rPr>
              <w:t>110,373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5960" w:type="dxa"/>
            <w:vAlign w:val="bottom"/>
            <w:tcBorders>
              <w:bottom w:val="single" w:sz="8" w:color="CFF0FC"/>
            </w:tcBorders>
            <w:shd w:val="clear" w:color="auto" w:fill="CFF0FC"/>
          </w:tcPr>
          <w:p>
            <w:pPr>
              <w:spacing w:after="0"/>
              <w:rPr>
                <w:sz w:val="20"/>
                <w:szCs w:val="20"/>
                <w:color w:val="auto"/>
              </w:rPr>
            </w:pPr>
            <w:r>
              <w:rPr>
                <w:rFonts w:ascii="MS PGothic" w:cs="MS PGothic" w:eastAsia="MS PGothic" w:hAnsi="MS PGothic"/>
                <w:sz w:val="15"/>
                <w:szCs w:val="15"/>
                <w:color w:val="auto"/>
              </w:rPr>
              <w:t>Net loss atributable to redeemable noncontrolling interest</w:t>
            </w:r>
          </w:p>
        </w:tc>
        <w:tc>
          <w:tcPr>
            <w:tcW w:w="260" w:type="dxa"/>
            <w:vAlign w:val="bottom"/>
            <w:tcBorders>
              <w:bottom w:val="single" w:sz="8" w:color="CFF0FC"/>
            </w:tcBorders>
            <w:shd w:val="clear" w:color="auto" w:fill="CFF0FC"/>
          </w:tcPr>
          <w:p>
            <w:pPr>
              <w:spacing w:after="0"/>
              <w:rPr>
                <w:sz w:val="16"/>
                <w:szCs w:val="16"/>
                <w:color w:val="auto"/>
              </w:rPr>
            </w:pPr>
          </w:p>
        </w:tc>
        <w:tc>
          <w:tcPr>
            <w:tcW w:w="10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MS PGothic" w:cs="MS PGothic" w:eastAsia="MS PGothic" w:hAnsi="MS PGothic"/>
                <w:sz w:val="15"/>
                <w:szCs w:val="15"/>
                <w:color w:val="auto"/>
              </w:rPr>
              <w:t>(14,889 )</w:t>
            </w:r>
          </w:p>
        </w:tc>
        <w:tc>
          <w:tcPr>
            <w:tcW w:w="14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118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MS PGothic" w:cs="MS PGothic" w:eastAsia="MS PGothic" w:hAnsi="MS PGothic"/>
                <w:sz w:val="15"/>
                <w:szCs w:val="15"/>
                <w:color w:val="auto"/>
              </w:rPr>
              <w:t>(5,433 )</w:t>
            </w:r>
          </w:p>
        </w:tc>
        <w:tc>
          <w:tcPr>
            <w:tcW w:w="240" w:type="dxa"/>
            <w:vAlign w:val="bottom"/>
            <w:tcBorders>
              <w:bottom w:val="single" w:sz="8" w:color="CFF0FC"/>
            </w:tcBorders>
            <w:shd w:val="clear" w:color="auto" w:fill="CFF0FC"/>
          </w:tcPr>
          <w:p>
            <w:pPr>
              <w:spacing w:after="0"/>
              <w:rPr>
                <w:sz w:val="16"/>
                <w:szCs w:val="16"/>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MS PGothic" w:cs="MS PGothic" w:eastAsia="MS PGothic" w:hAnsi="MS PGothic"/>
                <w:sz w:val="15"/>
                <w:szCs w:val="15"/>
                <w:color w:val="auto"/>
              </w:rPr>
              <w:t>1,129</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960" w:type="dxa"/>
            <w:vAlign w:val="bottom"/>
          </w:tcPr>
          <w:p>
            <w:pPr>
              <w:spacing w:after="0"/>
              <w:rPr>
                <w:sz w:val="20"/>
                <w:szCs w:val="20"/>
                <w:color w:val="auto"/>
              </w:rPr>
            </w:pPr>
            <w:r>
              <w:rPr>
                <w:rFonts w:ascii="MS PGothic" w:cs="MS PGothic" w:eastAsia="MS PGothic" w:hAnsi="MS PGothic"/>
                <w:sz w:val="15"/>
                <w:szCs w:val="15"/>
                <w:color w:val="auto"/>
              </w:rPr>
              <w:t>Deemed dividend on redempton of noncontrolling interest</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MS PGothic" w:cs="MS PGothic" w:eastAsia="MS PGothic" w:hAnsi="MS PGothic"/>
                <w:sz w:val="15"/>
                <w:szCs w:val="15"/>
                <w:color w:val="auto"/>
              </w:rPr>
              <w:t>5,838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jc w:val="right"/>
              <w:ind w:right="260"/>
              <w:spacing w:after="0"/>
              <w:rPr>
                <w:sz w:val="20"/>
                <w:szCs w:val="20"/>
                <w:color w:val="auto"/>
              </w:rPr>
            </w:pPr>
            <w:r>
              <w:rPr>
                <w:rFonts w:ascii="MS PGothic" w:cs="MS PGothic" w:eastAsia="MS PGothic" w:hAnsi="MS PGothic"/>
                <w:sz w:val="15"/>
                <w:szCs w:val="15"/>
                <w:color w:val="auto"/>
              </w:rPr>
              <w:t>—</w:t>
            </w:r>
          </w:p>
        </w:tc>
        <w:tc>
          <w:tcPr>
            <w:tcW w:w="240" w:type="dxa"/>
            <w:vAlign w:val="bottom"/>
          </w:tcPr>
          <w:p>
            <w:pPr>
              <w:spacing w:after="0"/>
              <w:rPr>
                <w:sz w:val="15"/>
                <w:szCs w:val="15"/>
                <w:color w:val="auto"/>
              </w:rPr>
            </w:pPr>
          </w:p>
        </w:tc>
        <w:tc>
          <w:tcPr>
            <w:tcW w:w="1040" w:type="dxa"/>
            <w:vAlign w:val="bottom"/>
            <w:gridSpan w:val="2"/>
          </w:tcPr>
          <w:p>
            <w:pPr>
              <w:jc w:val="right"/>
              <w:ind w:right="100"/>
              <w:spacing w:after="0"/>
              <w:rPr>
                <w:sz w:val="20"/>
                <w:szCs w:val="20"/>
                <w:color w:val="auto"/>
              </w:rPr>
            </w:pP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r>
        <w:trPr>
          <w:trHeight w:val="24"/>
        </w:trPr>
        <w:tc>
          <w:tcPr>
            <w:tcW w:w="5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5960" w:type="dxa"/>
            <w:vAlign w:val="bottom"/>
            <w:tcBorders>
              <w:bottom w:val="single" w:sz="8" w:color="CFF0FC"/>
            </w:tcBorders>
            <w:shd w:val="clear" w:color="auto" w:fill="CFF0FC"/>
          </w:tcPr>
          <w:p>
            <w:pPr>
              <w:spacing w:after="0"/>
              <w:rPr>
                <w:sz w:val="20"/>
                <w:szCs w:val="20"/>
                <w:color w:val="auto"/>
              </w:rPr>
            </w:pPr>
            <w:r>
              <w:rPr>
                <w:rFonts w:ascii="MS PGothic" w:cs="MS PGothic" w:eastAsia="MS PGothic" w:hAnsi="MS PGothic"/>
                <w:sz w:val="15"/>
                <w:szCs w:val="15"/>
                <w:color w:val="auto"/>
              </w:rPr>
              <w:t>Accreton of redeemable noncontrolling interest to redempton value</w:t>
            </w:r>
          </w:p>
        </w:tc>
        <w:tc>
          <w:tcPr>
            <w:tcW w:w="260" w:type="dxa"/>
            <w:vAlign w:val="bottom"/>
            <w:tcBorders>
              <w:bottom w:val="single" w:sz="8" w:color="CFF0FC"/>
            </w:tcBorders>
            <w:shd w:val="clear" w:color="auto" w:fill="CFF0FC"/>
          </w:tcPr>
          <w:p>
            <w:pPr>
              <w:spacing w:after="0"/>
              <w:rPr>
                <w:sz w:val="16"/>
                <w:szCs w:val="16"/>
                <w:color w:val="auto"/>
              </w:rPr>
            </w:pPr>
          </w:p>
        </w:tc>
        <w:tc>
          <w:tcPr>
            <w:tcW w:w="106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MS PGothic" w:cs="MS PGothic" w:eastAsia="MS PGothic" w:hAnsi="MS PGothic"/>
                <w:sz w:val="15"/>
                <w:szCs w:val="15"/>
                <w:color w:val="auto"/>
              </w:rPr>
              <w:t>—</w:t>
            </w:r>
          </w:p>
        </w:tc>
        <w:tc>
          <w:tcPr>
            <w:tcW w:w="14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118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MS PGothic" w:cs="MS PGothic" w:eastAsia="MS PGothic" w:hAnsi="MS PGothic"/>
                <w:sz w:val="15"/>
                <w:szCs w:val="15"/>
                <w:color w:val="auto"/>
              </w:rPr>
              <w:t>(109,398 )</w:t>
            </w:r>
          </w:p>
        </w:tc>
        <w:tc>
          <w:tcPr>
            <w:tcW w:w="240" w:type="dxa"/>
            <w:vAlign w:val="bottom"/>
            <w:tcBorders>
              <w:bottom w:val="single" w:sz="8" w:color="CFF0FC"/>
            </w:tcBorders>
            <w:shd w:val="clear" w:color="auto" w:fill="CFF0FC"/>
          </w:tcPr>
          <w:p>
            <w:pPr>
              <w:spacing w:after="0"/>
              <w:rPr>
                <w:sz w:val="16"/>
                <w:szCs w:val="16"/>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MS PGothic" w:cs="MS PGothic" w:eastAsia="MS PGothic" w:hAnsi="MS PGothic"/>
                <w:sz w:val="15"/>
                <w:szCs w:val="15"/>
                <w:color w:val="auto"/>
              </w:rPr>
              <w:t>109,398</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9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960" w:type="dxa"/>
            <w:vAlign w:val="bottom"/>
          </w:tcPr>
          <w:p>
            <w:pPr>
              <w:spacing w:after="0"/>
              <w:rPr>
                <w:sz w:val="20"/>
                <w:szCs w:val="20"/>
                <w:color w:val="auto"/>
              </w:rPr>
            </w:pPr>
            <w:r>
              <w:rPr>
                <w:rFonts w:ascii="MS PGothic" w:cs="MS PGothic" w:eastAsia="MS PGothic" w:hAnsi="MS PGothic"/>
                <w:sz w:val="15"/>
                <w:szCs w:val="15"/>
                <w:color w:val="auto"/>
              </w:rPr>
              <w:t>Net income (loss) atributable to common stockholders — basic</w:t>
            </w:r>
          </w:p>
        </w:tc>
        <w:tc>
          <w:tcPr>
            <w:tcW w:w="260" w:type="dxa"/>
            <w:vAlign w:val="bottom"/>
          </w:tcPr>
          <w:p>
            <w:pPr>
              <w:jc w:val="right"/>
              <w:ind w:right="103"/>
              <w:spacing w:after="0"/>
              <w:rPr>
                <w:sz w:val="20"/>
                <w:szCs w:val="20"/>
                <w:color w:val="auto"/>
              </w:rPr>
            </w:pPr>
            <w:r>
              <w:rPr>
                <w:rFonts w:ascii="MS PGothic" w:cs="MS PGothic" w:eastAsia="MS PGothic" w:hAnsi="MS PGothic"/>
                <w:sz w:val="15"/>
                <w:szCs w:val="15"/>
                <w:color w:val="auto"/>
                <w:w w:val="79"/>
              </w:rPr>
              <w:t>$</w:t>
            </w:r>
          </w:p>
        </w:tc>
        <w:tc>
          <w:tcPr>
            <w:tcW w:w="940" w:type="dxa"/>
            <w:vAlign w:val="bottom"/>
          </w:tcPr>
          <w:p>
            <w:pPr>
              <w:jc w:val="right"/>
              <w:spacing w:after="0"/>
              <w:rPr>
                <w:sz w:val="20"/>
                <w:szCs w:val="20"/>
                <w:color w:val="auto"/>
              </w:rPr>
            </w:pPr>
            <w:r>
              <w:rPr>
                <w:rFonts w:ascii="MS PGothic" w:cs="MS PGothic" w:eastAsia="MS PGothic" w:hAnsi="MS PGothic"/>
                <w:sz w:val="15"/>
                <w:szCs w:val="15"/>
                <w:color w:val="auto"/>
              </w:rPr>
              <w:t>31,104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jc w:val="right"/>
              <w:ind w:right="83"/>
              <w:spacing w:after="0"/>
              <w:rPr>
                <w:sz w:val="20"/>
                <w:szCs w:val="20"/>
                <w:color w:val="auto"/>
              </w:rPr>
            </w:pPr>
            <w:r>
              <w:rPr>
                <w:rFonts w:ascii="MS PGothic" w:cs="MS PGothic" w:eastAsia="MS PGothic" w:hAnsi="MS PGothic"/>
                <w:sz w:val="15"/>
                <w:szCs w:val="15"/>
                <w:color w:val="auto"/>
              </w:rPr>
              <w:t>$</w:t>
            </w:r>
          </w:p>
        </w:tc>
        <w:tc>
          <w:tcPr>
            <w:tcW w:w="940" w:type="dxa"/>
            <w:vAlign w:val="bottom"/>
          </w:tcPr>
          <w:p>
            <w:pPr>
              <w:jc w:val="right"/>
              <w:spacing w:after="0"/>
              <w:rPr>
                <w:sz w:val="20"/>
                <w:szCs w:val="20"/>
                <w:color w:val="auto"/>
              </w:rPr>
            </w:pPr>
            <w:r>
              <w:rPr>
                <w:rFonts w:ascii="MS PGothic" w:cs="MS PGothic" w:eastAsia="MS PGothic" w:hAnsi="MS PGothic"/>
                <w:sz w:val="15"/>
                <w:szCs w:val="15"/>
                <w:color w:val="auto"/>
              </w:rPr>
              <w:t>193,785</w:t>
            </w:r>
          </w:p>
        </w:tc>
        <w:tc>
          <w:tcPr>
            <w:tcW w:w="240" w:type="dxa"/>
            <w:vAlign w:val="bottom"/>
          </w:tcPr>
          <w:p>
            <w:pPr>
              <w:spacing w:after="0"/>
              <w:rPr>
                <w:sz w:val="15"/>
                <w:szCs w:val="15"/>
                <w:color w:val="auto"/>
              </w:rPr>
            </w:pPr>
          </w:p>
        </w:tc>
        <w:tc>
          <w:tcPr>
            <w:tcW w:w="240" w:type="dxa"/>
            <w:vAlign w:val="bottom"/>
          </w:tcPr>
          <w:p>
            <w:pPr>
              <w:jc w:val="right"/>
              <w:ind w:right="83"/>
              <w:spacing w:after="0"/>
              <w:rPr>
                <w:sz w:val="20"/>
                <w:szCs w:val="20"/>
                <w:color w:val="auto"/>
              </w:rPr>
            </w:pPr>
            <w:r>
              <w:rPr>
                <w:rFonts w:ascii="MS PGothic" w:cs="MS PGothic" w:eastAsia="MS PGothic" w:hAnsi="MS PGothic"/>
                <w:sz w:val="15"/>
                <w:szCs w:val="15"/>
                <w:color w:val="auto"/>
                <w:w w:val="79"/>
              </w:rPr>
              <w:t>$</w:t>
            </w:r>
          </w:p>
        </w:tc>
        <w:tc>
          <w:tcPr>
            <w:tcW w:w="1040" w:type="dxa"/>
            <w:vAlign w:val="bottom"/>
            <w:gridSpan w:val="2"/>
          </w:tcPr>
          <w:p>
            <w:pPr>
              <w:jc w:val="right"/>
              <w:ind w:right="40"/>
              <w:spacing w:after="0"/>
              <w:rPr>
                <w:sz w:val="20"/>
                <w:szCs w:val="20"/>
                <w:color w:val="auto"/>
              </w:rPr>
            </w:pPr>
            <w:r>
              <w:rPr>
                <w:rFonts w:ascii="MS PGothic" w:cs="MS PGothic" w:eastAsia="MS PGothic" w:hAnsi="MS PGothic"/>
                <w:sz w:val="15"/>
                <w:szCs w:val="15"/>
                <w:color w:val="auto"/>
              </w:rPr>
              <w:t>(154 )</w:t>
            </w:r>
          </w:p>
        </w:tc>
        <w:tc>
          <w:tcPr>
            <w:tcW w:w="0" w:type="dxa"/>
            <w:vAlign w:val="bottom"/>
          </w:tcPr>
          <w:p>
            <w:pPr>
              <w:spacing w:after="0"/>
              <w:rPr>
                <w:sz w:val="1"/>
                <w:szCs w:val="1"/>
                <w:color w:val="auto"/>
              </w:rPr>
            </w:pPr>
          </w:p>
        </w:tc>
      </w:tr>
      <w:tr>
        <w:trPr>
          <w:trHeight w:val="24"/>
        </w:trPr>
        <w:tc>
          <w:tcPr>
            <w:tcW w:w="59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5960" w:type="dxa"/>
            <w:vAlign w:val="bottom"/>
            <w:tcBorders>
              <w:bottom w:val="single" w:sz="8" w:color="CFF0FC"/>
            </w:tcBorders>
            <w:shd w:val="clear" w:color="auto" w:fill="CFF0FC"/>
          </w:tcPr>
          <w:p>
            <w:pPr>
              <w:spacing w:after="0"/>
              <w:rPr>
                <w:sz w:val="20"/>
                <w:szCs w:val="20"/>
                <w:color w:val="auto"/>
              </w:rPr>
            </w:pPr>
            <w:r>
              <w:rPr>
                <w:rFonts w:ascii="MS PGothic" w:cs="MS PGothic" w:eastAsia="MS PGothic" w:hAnsi="MS PGothic"/>
                <w:sz w:val="15"/>
                <w:szCs w:val="15"/>
                <w:color w:val="auto"/>
              </w:rPr>
              <w:t>Net loss atributable to redeemable noncontrolling interest</w:t>
            </w:r>
          </w:p>
        </w:tc>
        <w:tc>
          <w:tcPr>
            <w:tcW w:w="260" w:type="dxa"/>
            <w:vAlign w:val="bottom"/>
            <w:tcBorders>
              <w:bottom w:val="single" w:sz="8" w:color="CFF0FC"/>
            </w:tcBorders>
            <w:shd w:val="clear" w:color="auto" w:fill="CFF0FC"/>
          </w:tcPr>
          <w:p>
            <w:pPr>
              <w:spacing w:after="0"/>
              <w:rPr>
                <w:sz w:val="14"/>
                <w:szCs w:val="14"/>
                <w:color w:val="auto"/>
              </w:rPr>
            </w:pPr>
          </w:p>
        </w:tc>
        <w:tc>
          <w:tcPr>
            <w:tcW w:w="10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MS PGothic" w:cs="MS PGothic" w:eastAsia="MS PGothic" w:hAnsi="MS PGothic"/>
                <w:sz w:val="15"/>
                <w:szCs w:val="15"/>
                <w:color w:val="auto"/>
              </w:rPr>
              <w:t>(14,889 )</w:t>
            </w:r>
          </w:p>
        </w:tc>
        <w:tc>
          <w:tcPr>
            <w:tcW w:w="14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118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MS PGothic" w:cs="MS PGothic" w:eastAsia="MS PGothic" w:hAnsi="MS PGothic"/>
                <w:sz w:val="15"/>
                <w:szCs w:val="15"/>
                <w:color w:val="auto"/>
              </w:rPr>
              <w:t>(5,433 )</w:t>
            </w:r>
          </w:p>
        </w:tc>
        <w:tc>
          <w:tcPr>
            <w:tcW w:w="240" w:type="dxa"/>
            <w:vAlign w:val="bottom"/>
            <w:tcBorders>
              <w:bottom w:val="single" w:sz="8" w:color="CFF0FC"/>
            </w:tcBorders>
            <w:shd w:val="clear" w:color="auto" w:fill="CFF0FC"/>
          </w:tcPr>
          <w:p>
            <w:pPr>
              <w:spacing w:after="0"/>
              <w:rPr>
                <w:sz w:val="14"/>
                <w:szCs w:val="14"/>
                <w:color w:val="auto"/>
              </w:rPr>
            </w:pPr>
          </w:p>
        </w:tc>
        <w:tc>
          <w:tcPr>
            <w:tcW w:w="104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r>
        <w:trPr>
          <w:trHeight w:val="183"/>
        </w:trPr>
        <w:tc>
          <w:tcPr>
            <w:tcW w:w="5960" w:type="dxa"/>
            <w:vAlign w:val="bottom"/>
          </w:tcPr>
          <w:p>
            <w:pPr>
              <w:spacing w:after="0"/>
              <w:rPr>
                <w:sz w:val="20"/>
                <w:szCs w:val="20"/>
                <w:color w:val="auto"/>
              </w:rPr>
            </w:pPr>
            <w:r>
              <w:rPr>
                <w:rFonts w:ascii="MS PGothic" w:cs="MS PGothic" w:eastAsia="MS PGothic" w:hAnsi="MS PGothic"/>
                <w:sz w:val="15"/>
                <w:szCs w:val="15"/>
                <w:color w:val="auto"/>
              </w:rPr>
              <w:t>Deemed dividend on redempton of noncontrolling interest</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MS PGothic" w:cs="MS PGothic" w:eastAsia="MS PGothic" w:hAnsi="MS PGothic"/>
                <w:sz w:val="15"/>
                <w:szCs w:val="15"/>
                <w:color w:val="auto"/>
              </w:rPr>
              <w:t>5,838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jc w:val="right"/>
              <w:ind w:right="260"/>
              <w:spacing w:after="0"/>
              <w:rPr>
                <w:sz w:val="20"/>
                <w:szCs w:val="20"/>
                <w:color w:val="auto"/>
              </w:rPr>
            </w:pPr>
            <w:r>
              <w:rPr>
                <w:rFonts w:ascii="MS PGothic" w:cs="MS PGothic" w:eastAsia="MS PGothic" w:hAnsi="MS PGothic"/>
                <w:sz w:val="15"/>
                <w:szCs w:val="15"/>
                <w:color w:val="auto"/>
              </w:rPr>
              <w:t>—</w:t>
            </w:r>
          </w:p>
        </w:tc>
        <w:tc>
          <w:tcPr>
            <w:tcW w:w="240" w:type="dxa"/>
            <w:vAlign w:val="bottom"/>
          </w:tcPr>
          <w:p>
            <w:pPr>
              <w:spacing w:after="0"/>
              <w:rPr>
                <w:sz w:val="15"/>
                <w:szCs w:val="15"/>
                <w:color w:val="auto"/>
              </w:rPr>
            </w:pPr>
          </w:p>
        </w:tc>
        <w:tc>
          <w:tcPr>
            <w:tcW w:w="1040" w:type="dxa"/>
            <w:vAlign w:val="bottom"/>
            <w:gridSpan w:val="2"/>
          </w:tcPr>
          <w:p>
            <w:pPr>
              <w:jc w:val="right"/>
              <w:ind w:right="100"/>
              <w:spacing w:after="0"/>
              <w:rPr>
                <w:sz w:val="20"/>
                <w:szCs w:val="20"/>
                <w:color w:val="auto"/>
              </w:rPr>
            </w:pP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r>
        <w:trPr>
          <w:trHeight w:val="24"/>
        </w:trPr>
        <w:tc>
          <w:tcPr>
            <w:tcW w:w="5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5960" w:type="dxa"/>
            <w:vAlign w:val="bottom"/>
            <w:tcBorders>
              <w:bottom w:val="single" w:sz="8" w:color="CFF0FC"/>
            </w:tcBorders>
            <w:shd w:val="clear" w:color="auto" w:fill="CFF0FC"/>
          </w:tcPr>
          <w:p>
            <w:pPr>
              <w:spacing w:after="0"/>
              <w:rPr>
                <w:sz w:val="20"/>
                <w:szCs w:val="20"/>
                <w:color w:val="auto"/>
              </w:rPr>
            </w:pPr>
            <w:r>
              <w:rPr>
                <w:rFonts w:ascii="MS PGothic" w:cs="MS PGothic" w:eastAsia="MS PGothic" w:hAnsi="MS PGothic"/>
                <w:sz w:val="15"/>
                <w:szCs w:val="15"/>
                <w:color w:val="auto"/>
              </w:rPr>
              <w:t>Accreton of redeemable noncontrolling interest to redempton value</w:t>
            </w:r>
          </w:p>
        </w:tc>
        <w:tc>
          <w:tcPr>
            <w:tcW w:w="260" w:type="dxa"/>
            <w:vAlign w:val="bottom"/>
            <w:tcBorders>
              <w:bottom w:val="single" w:sz="8" w:color="CFF0FC"/>
            </w:tcBorders>
            <w:shd w:val="clear" w:color="auto" w:fill="CFF0FC"/>
          </w:tcPr>
          <w:p>
            <w:pPr>
              <w:spacing w:after="0"/>
              <w:rPr>
                <w:sz w:val="16"/>
                <w:szCs w:val="16"/>
                <w:color w:val="auto"/>
              </w:rPr>
            </w:pPr>
          </w:p>
        </w:tc>
        <w:tc>
          <w:tcPr>
            <w:tcW w:w="106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MS PGothic" w:cs="MS PGothic" w:eastAsia="MS PGothic" w:hAnsi="MS PGothic"/>
                <w:sz w:val="15"/>
                <w:szCs w:val="15"/>
                <w:color w:val="auto"/>
              </w:rPr>
              <w:t>—</w:t>
            </w:r>
          </w:p>
        </w:tc>
        <w:tc>
          <w:tcPr>
            <w:tcW w:w="14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118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MS PGothic" w:cs="MS PGothic" w:eastAsia="MS PGothic" w:hAnsi="MS PGothic"/>
                <w:sz w:val="15"/>
                <w:szCs w:val="15"/>
                <w:color w:val="auto"/>
              </w:rPr>
              <w:t>(109,398 )</w:t>
            </w:r>
          </w:p>
        </w:tc>
        <w:tc>
          <w:tcPr>
            <w:tcW w:w="240" w:type="dxa"/>
            <w:vAlign w:val="bottom"/>
            <w:tcBorders>
              <w:bottom w:val="single" w:sz="8" w:color="CFF0FC"/>
            </w:tcBorders>
            <w:shd w:val="clear" w:color="auto" w:fill="CFF0FC"/>
          </w:tcPr>
          <w:p>
            <w:pPr>
              <w:spacing w:after="0"/>
              <w:rPr>
                <w:sz w:val="16"/>
                <w:szCs w:val="16"/>
                <w:color w:val="auto"/>
              </w:rPr>
            </w:pPr>
          </w:p>
        </w:tc>
        <w:tc>
          <w:tcPr>
            <w:tcW w:w="104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r>
        <w:trPr>
          <w:trHeight w:val="20"/>
        </w:trPr>
        <w:tc>
          <w:tcPr>
            <w:tcW w:w="59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960" w:type="dxa"/>
            <w:vAlign w:val="bottom"/>
          </w:tcPr>
          <w:p>
            <w:pPr>
              <w:spacing w:after="0"/>
              <w:rPr>
                <w:sz w:val="20"/>
                <w:szCs w:val="20"/>
                <w:color w:val="auto"/>
              </w:rPr>
            </w:pPr>
            <w:r>
              <w:rPr>
                <w:rFonts w:ascii="MS PGothic" w:cs="MS PGothic" w:eastAsia="MS PGothic" w:hAnsi="MS PGothic"/>
                <w:sz w:val="15"/>
                <w:szCs w:val="15"/>
                <w:color w:val="auto"/>
              </w:rPr>
              <w:t>Net income (loss) atributable to common stockholders — diluted</w:t>
            </w:r>
          </w:p>
        </w:tc>
        <w:tc>
          <w:tcPr>
            <w:tcW w:w="260" w:type="dxa"/>
            <w:vAlign w:val="bottom"/>
          </w:tcPr>
          <w:p>
            <w:pPr>
              <w:jc w:val="right"/>
              <w:ind w:right="103"/>
              <w:spacing w:after="0"/>
              <w:rPr>
                <w:sz w:val="20"/>
                <w:szCs w:val="20"/>
                <w:color w:val="auto"/>
              </w:rPr>
            </w:pPr>
            <w:r>
              <w:rPr>
                <w:rFonts w:ascii="MS PGothic" w:cs="MS PGothic" w:eastAsia="MS PGothic" w:hAnsi="MS PGothic"/>
                <w:sz w:val="15"/>
                <w:szCs w:val="15"/>
                <w:color w:val="auto"/>
                <w:w w:val="79"/>
              </w:rPr>
              <w:t>$</w:t>
            </w:r>
          </w:p>
        </w:tc>
        <w:tc>
          <w:tcPr>
            <w:tcW w:w="940" w:type="dxa"/>
            <w:vAlign w:val="bottom"/>
          </w:tcPr>
          <w:p>
            <w:pPr>
              <w:jc w:val="right"/>
              <w:spacing w:after="0"/>
              <w:rPr>
                <w:sz w:val="20"/>
                <w:szCs w:val="20"/>
                <w:color w:val="auto"/>
              </w:rPr>
            </w:pPr>
            <w:r>
              <w:rPr>
                <w:rFonts w:ascii="MS PGothic" w:cs="MS PGothic" w:eastAsia="MS PGothic" w:hAnsi="MS PGothic"/>
                <w:sz w:val="15"/>
                <w:szCs w:val="15"/>
                <w:color w:val="auto"/>
              </w:rPr>
              <w:t>22,053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jc w:val="right"/>
              <w:ind w:right="83"/>
              <w:spacing w:after="0"/>
              <w:rPr>
                <w:sz w:val="20"/>
                <w:szCs w:val="20"/>
                <w:color w:val="auto"/>
              </w:rPr>
            </w:pPr>
            <w:r>
              <w:rPr>
                <w:rFonts w:ascii="MS PGothic" w:cs="MS PGothic" w:eastAsia="MS PGothic" w:hAnsi="MS PGothic"/>
                <w:sz w:val="15"/>
                <w:szCs w:val="15"/>
                <w:color w:val="auto"/>
              </w:rPr>
              <w:t>$</w:t>
            </w:r>
          </w:p>
        </w:tc>
        <w:tc>
          <w:tcPr>
            <w:tcW w:w="940" w:type="dxa"/>
            <w:vAlign w:val="bottom"/>
          </w:tcPr>
          <w:p>
            <w:pPr>
              <w:jc w:val="right"/>
              <w:spacing w:after="0"/>
              <w:rPr>
                <w:sz w:val="20"/>
                <w:szCs w:val="20"/>
                <w:color w:val="auto"/>
              </w:rPr>
            </w:pPr>
            <w:r>
              <w:rPr>
                <w:rFonts w:ascii="MS PGothic" w:cs="MS PGothic" w:eastAsia="MS PGothic" w:hAnsi="MS PGothic"/>
                <w:sz w:val="15"/>
                <w:szCs w:val="15"/>
                <w:color w:val="auto"/>
              </w:rPr>
              <w:t>78,954</w:t>
            </w:r>
          </w:p>
        </w:tc>
        <w:tc>
          <w:tcPr>
            <w:tcW w:w="240" w:type="dxa"/>
            <w:vAlign w:val="bottom"/>
          </w:tcPr>
          <w:p>
            <w:pPr>
              <w:spacing w:after="0"/>
              <w:rPr>
                <w:sz w:val="15"/>
                <w:szCs w:val="15"/>
                <w:color w:val="auto"/>
              </w:rPr>
            </w:pPr>
          </w:p>
        </w:tc>
        <w:tc>
          <w:tcPr>
            <w:tcW w:w="240" w:type="dxa"/>
            <w:vAlign w:val="bottom"/>
          </w:tcPr>
          <w:p>
            <w:pPr>
              <w:jc w:val="right"/>
              <w:ind w:right="83"/>
              <w:spacing w:after="0"/>
              <w:rPr>
                <w:sz w:val="20"/>
                <w:szCs w:val="20"/>
                <w:color w:val="auto"/>
              </w:rPr>
            </w:pPr>
            <w:r>
              <w:rPr>
                <w:rFonts w:ascii="MS PGothic" w:cs="MS PGothic" w:eastAsia="MS PGothic" w:hAnsi="MS PGothic"/>
                <w:sz w:val="15"/>
                <w:szCs w:val="15"/>
                <w:color w:val="auto"/>
                <w:w w:val="79"/>
              </w:rPr>
              <w:t>$</w:t>
            </w:r>
          </w:p>
        </w:tc>
        <w:tc>
          <w:tcPr>
            <w:tcW w:w="1040" w:type="dxa"/>
            <w:vAlign w:val="bottom"/>
            <w:gridSpan w:val="2"/>
          </w:tcPr>
          <w:p>
            <w:pPr>
              <w:jc w:val="right"/>
              <w:ind w:right="40"/>
              <w:spacing w:after="0"/>
              <w:rPr>
                <w:sz w:val="20"/>
                <w:szCs w:val="20"/>
                <w:color w:val="auto"/>
              </w:rPr>
            </w:pPr>
            <w:r>
              <w:rPr>
                <w:rFonts w:ascii="MS PGothic" w:cs="MS PGothic" w:eastAsia="MS PGothic" w:hAnsi="MS PGothic"/>
                <w:sz w:val="15"/>
                <w:szCs w:val="15"/>
                <w:color w:val="auto"/>
              </w:rPr>
              <w:t>(154 )</w:t>
            </w:r>
          </w:p>
        </w:tc>
        <w:tc>
          <w:tcPr>
            <w:tcW w:w="0" w:type="dxa"/>
            <w:vAlign w:val="bottom"/>
          </w:tcPr>
          <w:p>
            <w:pPr>
              <w:spacing w:after="0"/>
              <w:rPr>
                <w:sz w:val="1"/>
                <w:szCs w:val="1"/>
                <w:color w:val="auto"/>
              </w:rPr>
            </w:pPr>
          </w:p>
        </w:tc>
      </w:tr>
      <w:tr>
        <w:trPr>
          <w:trHeight w:val="24"/>
        </w:trPr>
        <w:tc>
          <w:tcPr>
            <w:tcW w:w="59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5960" w:type="dxa"/>
            <w:vAlign w:val="bottom"/>
            <w:tcBorders>
              <w:bottom w:val="single" w:sz="8" w:color="CFF0FC"/>
            </w:tcBorders>
            <w:shd w:val="clear" w:color="auto" w:fill="CFF0FC"/>
          </w:tcPr>
          <w:p>
            <w:pPr>
              <w:spacing w:after="0" w:line="158" w:lineRule="exact"/>
              <w:rPr>
                <w:sz w:val="20"/>
                <w:szCs w:val="20"/>
                <w:color w:val="auto"/>
              </w:rPr>
            </w:pPr>
            <w:r>
              <w:rPr>
                <w:rFonts w:ascii="Calibri" w:cs="Calibri" w:eastAsia="Calibri" w:hAnsi="Calibri"/>
                <w:sz w:val="15"/>
                <w:szCs w:val="15"/>
                <w:b w:val="1"/>
                <w:bCs w:val="1"/>
                <w:color w:val="auto"/>
              </w:rPr>
              <w:t>Denominator:</w:t>
            </w:r>
          </w:p>
        </w:tc>
        <w:tc>
          <w:tcPr>
            <w:tcW w:w="260" w:type="dxa"/>
            <w:vAlign w:val="bottom"/>
            <w:tcBorders>
              <w:bottom w:val="single" w:sz="8" w:color="CFF0FC"/>
            </w:tcBorders>
            <w:shd w:val="clear" w:color="auto" w:fill="CFF0FC"/>
          </w:tcPr>
          <w:p>
            <w:pPr>
              <w:spacing w:after="0"/>
              <w:rPr>
                <w:sz w:val="14"/>
                <w:szCs w:val="14"/>
                <w:color w:val="auto"/>
              </w:rPr>
            </w:pPr>
          </w:p>
        </w:tc>
        <w:tc>
          <w:tcPr>
            <w:tcW w:w="9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94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9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5960" w:type="dxa"/>
            <w:vAlign w:val="bottom"/>
          </w:tcPr>
          <w:p>
            <w:pPr>
              <w:spacing w:after="0"/>
              <w:rPr>
                <w:sz w:val="20"/>
                <w:szCs w:val="20"/>
                <w:color w:val="auto"/>
              </w:rPr>
            </w:pPr>
            <w:r>
              <w:rPr>
                <w:rFonts w:ascii="MS PGothic" w:cs="MS PGothic" w:eastAsia="MS PGothic" w:hAnsi="MS PGothic"/>
                <w:sz w:val="15"/>
                <w:szCs w:val="15"/>
                <w:color w:val="auto"/>
              </w:rPr>
              <w:t>Weighted-average number of shares of common stock used</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960" w:type="dxa"/>
            <w:vAlign w:val="bottom"/>
          </w:tcPr>
          <w:p>
            <w:pPr>
              <w:ind w:left="100"/>
              <w:spacing w:after="0"/>
              <w:rPr>
                <w:sz w:val="20"/>
                <w:szCs w:val="20"/>
                <w:color w:val="auto"/>
              </w:rPr>
            </w:pPr>
            <w:r>
              <w:rPr>
                <w:rFonts w:ascii="MS PGothic" w:cs="MS PGothic" w:eastAsia="MS PGothic" w:hAnsi="MS PGothic"/>
                <w:sz w:val="15"/>
                <w:szCs w:val="15"/>
                <w:color w:val="auto"/>
              </w:rPr>
              <w:t>in computng net income (loss) per share atributable to</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960" w:type="dxa"/>
            <w:vAlign w:val="bottom"/>
          </w:tcPr>
          <w:p>
            <w:pPr>
              <w:ind w:left="100"/>
              <w:spacing w:after="0"/>
              <w:rPr>
                <w:sz w:val="20"/>
                <w:szCs w:val="20"/>
                <w:color w:val="auto"/>
              </w:rPr>
            </w:pPr>
            <w:r>
              <w:rPr>
                <w:rFonts w:ascii="MS PGothic" w:cs="MS PGothic" w:eastAsia="MS PGothic" w:hAnsi="MS PGothic"/>
                <w:sz w:val="15"/>
                <w:szCs w:val="15"/>
                <w:color w:val="auto"/>
              </w:rPr>
              <w:t>common stockholders — basic</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MS PGothic" w:cs="MS PGothic" w:eastAsia="MS PGothic" w:hAnsi="MS PGothic"/>
                <w:sz w:val="15"/>
                <w:szCs w:val="15"/>
                <w:color w:val="auto"/>
              </w:rPr>
              <w:t>113,240,139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MS PGothic" w:cs="MS PGothic" w:eastAsia="MS PGothic" w:hAnsi="MS PGothic"/>
                <w:sz w:val="15"/>
                <w:szCs w:val="15"/>
                <w:color w:val="auto"/>
              </w:rPr>
              <w:t>118,474,991</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MS PGothic" w:cs="MS PGothic" w:eastAsia="MS PGothic" w:hAnsi="MS PGothic"/>
                <w:sz w:val="15"/>
                <w:szCs w:val="15"/>
                <w:color w:val="auto"/>
              </w:rPr>
              <w:t>117,142,062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5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5960" w:type="dxa"/>
            <w:vAlign w:val="bottom"/>
            <w:shd w:val="clear" w:color="auto" w:fill="CFF0FC"/>
          </w:tcPr>
          <w:p>
            <w:pPr>
              <w:ind w:left="160"/>
              <w:spacing w:after="0"/>
              <w:rPr>
                <w:sz w:val="20"/>
                <w:szCs w:val="20"/>
                <w:color w:val="auto"/>
              </w:rPr>
            </w:pPr>
            <w:r>
              <w:rPr>
                <w:rFonts w:ascii="MS PGothic" w:cs="MS PGothic" w:eastAsia="MS PGothic" w:hAnsi="MS PGothic"/>
                <w:sz w:val="15"/>
                <w:szCs w:val="15"/>
                <w:color w:val="auto"/>
              </w:rPr>
              <w:t>Dilutve efect of share equivalents resultng from stock</w:t>
            </w:r>
          </w:p>
        </w:tc>
        <w:tc>
          <w:tcPr>
            <w:tcW w:w="26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5960" w:type="dxa"/>
            <w:vAlign w:val="bottom"/>
            <w:tcBorders>
              <w:bottom w:val="single" w:sz="8" w:color="CFF0FC"/>
            </w:tcBorders>
            <w:shd w:val="clear" w:color="auto" w:fill="CFF0FC"/>
          </w:tcPr>
          <w:p>
            <w:pPr>
              <w:ind w:left="260"/>
              <w:spacing w:after="0"/>
              <w:rPr>
                <w:sz w:val="20"/>
                <w:szCs w:val="20"/>
                <w:color w:val="auto"/>
              </w:rPr>
            </w:pPr>
            <w:r>
              <w:rPr>
                <w:rFonts w:ascii="MS PGothic" w:cs="MS PGothic" w:eastAsia="MS PGothic" w:hAnsi="MS PGothic"/>
                <w:sz w:val="15"/>
                <w:szCs w:val="15"/>
                <w:color w:val="auto"/>
              </w:rPr>
              <w:t>optons</w:t>
            </w:r>
          </w:p>
        </w:tc>
        <w:tc>
          <w:tcPr>
            <w:tcW w:w="260" w:type="dxa"/>
            <w:vAlign w:val="bottom"/>
            <w:tcBorders>
              <w:bottom w:val="single" w:sz="8" w:color="CFF0FC"/>
            </w:tcBorders>
            <w:shd w:val="clear" w:color="auto" w:fill="CFF0FC"/>
          </w:tcPr>
          <w:p>
            <w:pPr>
              <w:spacing w:after="0"/>
              <w:rPr>
                <w:sz w:val="16"/>
                <w:szCs w:val="16"/>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MS PGothic" w:cs="MS PGothic" w:eastAsia="MS PGothic" w:hAnsi="MS PGothic"/>
                <w:sz w:val="15"/>
                <w:szCs w:val="15"/>
                <w:color w:val="auto"/>
              </w:rPr>
              <w:t>225,691</w:t>
            </w:r>
          </w:p>
        </w:tc>
        <w:tc>
          <w:tcPr>
            <w:tcW w:w="1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MS PGothic" w:cs="MS PGothic" w:eastAsia="MS PGothic" w:hAnsi="MS PGothic"/>
                <w:sz w:val="15"/>
                <w:szCs w:val="15"/>
                <w:color w:val="auto"/>
              </w:rPr>
              <w:t>275,330</w:t>
            </w:r>
          </w:p>
        </w:tc>
        <w:tc>
          <w:tcPr>
            <w:tcW w:w="24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104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r>
        <w:trPr>
          <w:trHeight w:val="177"/>
        </w:trPr>
        <w:tc>
          <w:tcPr>
            <w:tcW w:w="5960" w:type="dxa"/>
            <w:vAlign w:val="bottom"/>
          </w:tcPr>
          <w:p>
            <w:pPr>
              <w:ind w:left="160"/>
              <w:spacing w:after="0"/>
              <w:rPr>
                <w:sz w:val="20"/>
                <w:szCs w:val="20"/>
                <w:color w:val="auto"/>
              </w:rPr>
            </w:pPr>
            <w:r>
              <w:rPr>
                <w:rFonts w:ascii="MS PGothic" w:cs="MS PGothic" w:eastAsia="MS PGothic" w:hAnsi="MS PGothic"/>
                <w:sz w:val="15"/>
                <w:szCs w:val="15"/>
                <w:color w:val="auto"/>
              </w:rPr>
              <w:t>Dilutve efect of share equivalents resultng from</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960" w:type="dxa"/>
            <w:vAlign w:val="bottom"/>
          </w:tcPr>
          <w:p>
            <w:pPr>
              <w:ind w:left="260"/>
              <w:spacing w:after="0"/>
              <w:rPr>
                <w:sz w:val="20"/>
                <w:szCs w:val="20"/>
                <w:color w:val="auto"/>
              </w:rPr>
            </w:pPr>
            <w:r>
              <w:rPr>
                <w:rFonts w:ascii="MS PGothic" w:cs="MS PGothic" w:eastAsia="MS PGothic" w:hAnsi="MS PGothic"/>
                <w:sz w:val="15"/>
                <w:szCs w:val="15"/>
                <w:color w:val="auto"/>
              </w:rPr>
              <w:t>unvested restricted stock units</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MS PGothic" w:cs="MS PGothic" w:eastAsia="MS PGothic" w:hAnsi="MS PGothic"/>
                <w:sz w:val="15"/>
                <w:szCs w:val="15"/>
                <w:color w:val="auto"/>
              </w:rPr>
              <w:t>723,004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MS PGothic" w:cs="MS PGothic" w:eastAsia="MS PGothic" w:hAnsi="MS PGothic"/>
                <w:sz w:val="15"/>
                <w:szCs w:val="15"/>
                <w:color w:val="auto"/>
              </w:rPr>
              <w:t>366,258</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right"/>
              <w:ind w:right="100"/>
              <w:spacing w:after="0"/>
              <w:rPr>
                <w:sz w:val="20"/>
                <w:szCs w:val="20"/>
                <w:color w:val="auto"/>
              </w:rPr>
            </w:pP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r>
        <w:trPr>
          <w:trHeight w:val="31"/>
        </w:trPr>
        <w:tc>
          <w:tcPr>
            <w:tcW w:w="5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5960" w:type="dxa"/>
            <w:vAlign w:val="bottom"/>
            <w:shd w:val="clear" w:color="auto" w:fill="CFF0FC"/>
          </w:tcPr>
          <w:p>
            <w:pPr>
              <w:ind w:left="160"/>
              <w:spacing w:after="0"/>
              <w:rPr>
                <w:sz w:val="20"/>
                <w:szCs w:val="20"/>
                <w:color w:val="auto"/>
              </w:rPr>
            </w:pPr>
            <w:r>
              <w:rPr>
                <w:rFonts w:ascii="MS PGothic" w:cs="MS PGothic" w:eastAsia="MS PGothic" w:hAnsi="MS PGothic"/>
                <w:sz w:val="15"/>
                <w:szCs w:val="15"/>
                <w:color w:val="auto"/>
              </w:rPr>
              <w:t>Dilutve efect of share equivalents resultng from CO Incentve units,</w:t>
            </w:r>
          </w:p>
        </w:tc>
        <w:tc>
          <w:tcPr>
            <w:tcW w:w="260" w:type="dxa"/>
            <w:vAlign w:val="bottom"/>
            <w:shd w:val="clear" w:color="auto" w:fill="CFF0FC"/>
          </w:tcPr>
          <w:p>
            <w:pPr>
              <w:spacing w:after="0"/>
              <w:rPr>
                <w:sz w:val="15"/>
                <w:szCs w:val="15"/>
                <w:color w:val="auto"/>
              </w:rPr>
            </w:pPr>
          </w:p>
        </w:tc>
        <w:tc>
          <w:tcPr>
            <w:tcW w:w="1060" w:type="dxa"/>
            <w:vAlign w:val="bottom"/>
            <w:gridSpan w:val="2"/>
            <w:vMerge w:val="restart"/>
            <w:shd w:val="clear" w:color="auto" w:fill="CFF0FC"/>
          </w:tcPr>
          <w:p>
            <w:pPr>
              <w:jc w:val="right"/>
              <w:ind w:right="120"/>
              <w:spacing w:after="0"/>
              <w:rPr>
                <w:sz w:val="20"/>
                <w:szCs w:val="20"/>
                <w:color w:val="auto"/>
              </w:rPr>
            </w:pPr>
            <w:r>
              <w:rPr>
                <w:rFonts w:ascii="MS PGothic" w:cs="MS PGothic" w:eastAsia="MS PGothic" w:hAnsi="MS PGothic"/>
                <w:sz w:val="15"/>
                <w:szCs w:val="15"/>
                <w:color w:val="auto"/>
              </w:rPr>
              <w:t>—</w:t>
            </w:r>
          </w:p>
        </w:tc>
        <w:tc>
          <w:tcPr>
            <w:tcW w:w="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40" w:type="dxa"/>
            <w:vAlign w:val="bottom"/>
            <w:vMerge w:val="restart"/>
            <w:shd w:val="clear" w:color="auto" w:fill="CFF0FC"/>
          </w:tcPr>
          <w:p>
            <w:pPr>
              <w:jc w:val="right"/>
              <w:spacing w:after="0"/>
              <w:rPr>
                <w:sz w:val="20"/>
                <w:szCs w:val="20"/>
                <w:color w:val="auto"/>
              </w:rPr>
            </w:pPr>
            <w:r>
              <w:rPr>
                <w:rFonts w:ascii="MS PGothic" w:cs="MS PGothic" w:eastAsia="MS PGothic" w:hAnsi="MS PGothic"/>
                <w:sz w:val="15"/>
                <w:szCs w:val="15"/>
                <w:color w:val="auto"/>
              </w:rPr>
              <w:t>9,034,395</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40" w:type="dxa"/>
            <w:vAlign w:val="bottom"/>
            <w:gridSpan w:val="2"/>
            <w:vMerge w:val="restart"/>
            <w:shd w:val="clear" w:color="auto" w:fill="CFF0FC"/>
          </w:tcPr>
          <w:p>
            <w:pPr>
              <w:jc w:val="right"/>
              <w:ind w:right="100"/>
              <w:spacing w:after="0"/>
              <w:rPr>
                <w:sz w:val="20"/>
                <w:szCs w:val="20"/>
                <w:color w:val="auto"/>
              </w:rPr>
            </w:pP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r>
        <w:trPr>
          <w:trHeight w:val="194"/>
        </w:trPr>
        <w:tc>
          <w:tcPr>
            <w:tcW w:w="5960" w:type="dxa"/>
            <w:vAlign w:val="bottom"/>
            <w:shd w:val="clear" w:color="auto" w:fill="CFF0FC"/>
          </w:tcPr>
          <w:p>
            <w:pPr>
              <w:ind w:left="260"/>
              <w:spacing w:after="0"/>
              <w:rPr>
                <w:sz w:val="20"/>
                <w:szCs w:val="20"/>
                <w:color w:val="auto"/>
              </w:rPr>
            </w:pPr>
            <w:r>
              <w:rPr>
                <w:rFonts w:ascii="MS PGothic" w:cs="MS PGothic" w:eastAsia="MS PGothic" w:hAnsi="MS PGothic"/>
                <w:sz w:val="15"/>
                <w:szCs w:val="15"/>
                <w:color w:val="auto"/>
              </w:rPr>
              <w:t>Subject Units, and noncontrolling interest</w:t>
            </w:r>
          </w:p>
        </w:tc>
        <w:tc>
          <w:tcPr>
            <w:tcW w:w="260" w:type="dxa"/>
            <w:vAlign w:val="bottom"/>
            <w:shd w:val="clear" w:color="auto" w:fill="CFF0FC"/>
          </w:tcPr>
          <w:p>
            <w:pPr>
              <w:spacing w:after="0"/>
              <w:rPr>
                <w:sz w:val="16"/>
                <w:szCs w:val="16"/>
                <w:color w:val="auto"/>
              </w:rPr>
            </w:pPr>
          </w:p>
        </w:tc>
        <w:tc>
          <w:tcPr>
            <w:tcW w:w="106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4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4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5960" w:type="dxa"/>
            <w:vAlign w:val="bottom"/>
            <w:tcBorders>
              <w:top w:val="single" w:sz="8" w:color="CFF0FC"/>
            </w:tcBorders>
          </w:tcPr>
          <w:p>
            <w:pPr>
              <w:ind w:left="160"/>
              <w:spacing w:after="0"/>
              <w:rPr>
                <w:sz w:val="20"/>
                <w:szCs w:val="20"/>
                <w:color w:val="auto"/>
              </w:rPr>
            </w:pPr>
            <w:r>
              <w:rPr>
                <w:rFonts w:ascii="MS PGothic" w:cs="MS PGothic" w:eastAsia="MS PGothic" w:hAnsi="MS PGothic"/>
                <w:sz w:val="15"/>
                <w:szCs w:val="15"/>
                <w:color w:val="auto"/>
              </w:rPr>
              <w:t>Weighted-average number of shares of common stock</w:t>
            </w:r>
          </w:p>
        </w:tc>
        <w:tc>
          <w:tcPr>
            <w:tcW w:w="2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960" w:type="dxa"/>
            <w:vAlign w:val="bottom"/>
          </w:tcPr>
          <w:p>
            <w:pPr>
              <w:ind w:left="260"/>
              <w:spacing w:after="0"/>
              <w:rPr>
                <w:sz w:val="20"/>
                <w:szCs w:val="20"/>
                <w:color w:val="auto"/>
              </w:rPr>
            </w:pPr>
            <w:r>
              <w:rPr>
                <w:rFonts w:ascii="MS PGothic" w:cs="MS PGothic" w:eastAsia="MS PGothic" w:hAnsi="MS PGothic"/>
                <w:sz w:val="15"/>
                <w:szCs w:val="15"/>
                <w:color w:val="auto"/>
              </w:rPr>
              <w:t>used in computng net income (loss) per share atributable to</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960" w:type="dxa"/>
            <w:vAlign w:val="bottom"/>
          </w:tcPr>
          <w:p>
            <w:pPr>
              <w:ind w:left="260"/>
              <w:spacing w:after="0"/>
              <w:rPr>
                <w:sz w:val="20"/>
                <w:szCs w:val="20"/>
                <w:color w:val="auto"/>
              </w:rPr>
            </w:pPr>
            <w:r>
              <w:rPr>
                <w:rFonts w:ascii="MS PGothic" w:cs="MS PGothic" w:eastAsia="MS PGothic" w:hAnsi="MS PGothic"/>
                <w:sz w:val="15"/>
                <w:szCs w:val="15"/>
                <w:color w:val="auto"/>
              </w:rPr>
              <w:t>common stockholders — diluted</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MS PGothic" w:cs="MS PGothic" w:eastAsia="MS PGothic" w:hAnsi="MS PGothic"/>
                <w:sz w:val="15"/>
                <w:szCs w:val="15"/>
                <w:color w:val="auto"/>
              </w:rPr>
              <w:t>114,188,834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MS PGothic" w:cs="MS PGothic" w:eastAsia="MS PGothic" w:hAnsi="MS PGothic"/>
                <w:sz w:val="15"/>
                <w:szCs w:val="15"/>
                <w:color w:val="auto"/>
              </w:rPr>
              <w:t>128,150,974</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MS PGothic" w:cs="MS PGothic" w:eastAsia="MS PGothic" w:hAnsi="MS PGothic"/>
                <w:sz w:val="15"/>
                <w:szCs w:val="15"/>
                <w:color w:val="auto"/>
              </w:rPr>
              <w:t>117,142,062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5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5960" w:type="dxa"/>
            <w:vAlign w:val="bottom"/>
            <w:shd w:val="clear" w:color="auto" w:fill="CFF0FC"/>
          </w:tcPr>
          <w:p>
            <w:pPr>
              <w:spacing w:after="0"/>
              <w:rPr>
                <w:sz w:val="20"/>
                <w:szCs w:val="20"/>
                <w:color w:val="auto"/>
              </w:rPr>
            </w:pPr>
            <w:r>
              <w:rPr>
                <w:rFonts w:ascii="MS PGothic" w:cs="MS PGothic" w:eastAsia="MS PGothic" w:hAnsi="MS PGothic"/>
                <w:sz w:val="15"/>
                <w:szCs w:val="15"/>
                <w:color w:val="auto"/>
              </w:rPr>
              <w:t>Net income (loss) per share atributable to common</w:t>
            </w:r>
          </w:p>
        </w:tc>
        <w:tc>
          <w:tcPr>
            <w:tcW w:w="26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5960" w:type="dxa"/>
            <w:vAlign w:val="bottom"/>
            <w:tcBorders>
              <w:bottom w:val="single" w:sz="8" w:color="CFF0FC"/>
            </w:tcBorders>
            <w:shd w:val="clear" w:color="auto" w:fill="CFF0FC"/>
          </w:tcPr>
          <w:p>
            <w:pPr>
              <w:ind w:left="100"/>
              <w:spacing w:after="0"/>
              <w:rPr>
                <w:sz w:val="20"/>
                <w:szCs w:val="20"/>
                <w:color w:val="auto"/>
              </w:rPr>
            </w:pPr>
            <w:r>
              <w:rPr>
                <w:rFonts w:ascii="MS PGothic" w:cs="MS PGothic" w:eastAsia="MS PGothic" w:hAnsi="MS PGothic"/>
                <w:sz w:val="15"/>
                <w:szCs w:val="15"/>
                <w:color w:val="auto"/>
              </w:rPr>
              <w:t>stockholders:</w:t>
            </w:r>
          </w:p>
        </w:tc>
        <w:tc>
          <w:tcPr>
            <w:tcW w:w="260" w:type="dxa"/>
            <w:vAlign w:val="bottom"/>
            <w:tcBorders>
              <w:bottom w:val="single" w:sz="8" w:color="CFF0FC"/>
            </w:tcBorders>
            <w:shd w:val="clear" w:color="auto" w:fill="CFF0FC"/>
          </w:tcPr>
          <w:p>
            <w:pPr>
              <w:spacing w:after="0"/>
              <w:rPr>
                <w:sz w:val="16"/>
                <w:szCs w:val="16"/>
                <w:color w:val="auto"/>
              </w:rPr>
            </w:pPr>
          </w:p>
        </w:tc>
        <w:tc>
          <w:tcPr>
            <w:tcW w:w="94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94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9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960" w:type="dxa"/>
            <w:vAlign w:val="bottom"/>
          </w:tcPr>
          <w:p>
            <w:pPr>
              <w:spacing w:after="0"/>
              <w:rPr>
                <w:sz w:val="20"/>
                <w:szCs w:val="20"/>
                <w:color w:val="auto"/>
              </w:rPr>
            </w:pPr>
            <w:r>
              <w:rPr>
                <w:rFonts w:ascii="MS PGothic" w:cs="MS PGothic" w:eastAsia="MS PGothic" w:hAnsi="MS PGothic"/>
                <w:sz w:val="15"/>
                <w:szCs w:val="15"/>
                <w:color w:val="auto"/>
              </w:rPr>
              <w:t>Basic</w:t>
            </w:r>
          </w:p>
        </w:tc>
        <w:tc>
          <w:tcPr>
            <w:tcW w:w="260" w:type="dxa"/>
            <w:vAlign w:val="bottom"/>
          </w:tcPr>
          <w:p>
            <w:pPr>
              <w:jc w:val="right"/>
              <w:ind w:right="103"/>
              <w:spacing w:after="0"/>
              <w:rPr>
                <w:sz w:val="20"/>
                <w:szCs w:val="20"/>
                <w:color w:val="auto"/>
              </w:rPr>
            </w:pPr>
            <w:r>
              <w:rPr>
                <w:rFonts w:ascii="MS PGothic" w:cs="MS PGothic" w:eastAsia="MS PGothic" w:hAnsi="MS PGothic"/>
                <w:sz w:val="15"/>
                <w:szCs w:val="15"/>
                <w:color w:val="auto"/>
                <w:w w:val="79"/>
              </w:rPr>
              <w:t>$</w:t>
            </w:r>
          </w:p>
        </w:tc>
        <w:tc>
          <w:tcPr>
            <w:tcW w:w="940" w:type="dxa"/>
            <w:vAlign w:val="bottom"/>
          </w:tcPr>
          <w:p>
            <w:pPr>
              <w:jc w:val="right"/>
              <w:spacing w:after="0"/>
              <w:rPr>
                <w:sz w:val="20"/>
                <w:szCs w:val="20"/>
                <w:color w:val="auto"/>
              </w:rPr>
            </w:pPr>
            <w:r>
              <w:rPr>
                <w:rFonts w:ascii="MS PGothic" w:cs="MS PGothic" w:eastAsia="MS PGothic" w:hAnsi="MS PGothic"/>
                <w:sz w:val="15"/>
                <w:szCs w:val="15"/>
                <w:color w:val="auto"/>
              </w:rPr>
              <w:t>0.27</w:t>
            </w:r>
          </w:p>
        </w:tc>
        <w:tc>
          <w:tcPr>
            <w:tcW w:w="120" w:type="dxa"/>
            <w:vAlign w:val="bottom"/>
          </w:tcPr>
          <w:p>
            <w:pPr>
              <w:spacing w:after="0"/>
              <w:rPr>
                <w:sz w:val="15"/>
                <w:szCs w:val="15"/>
                <w:color w:val="auto"/>
              </w:rPr>
            </w:pPr>
          </w:p>
        </w:tc>
        <w:tc>
          <w:tcPr>
            <w:tcW w:w="400" w:type="dxa"/>
            <w:vAlign w:val="bottom"/>
            <w:gridSpan w:val="2"/>
          </w:tcPr>
          <w:p>
            <w:pPr>
              <w:jc w:val="right"/>
              <w:ind w:right="83"/>
              <w:spacing w:after="0"/>
              <w:rPr>
                <w:sz w:val="20"/>
                <w:szCs w:val="20"/>
                <w:color w:val="auto"/>
              </w:rPr>
            </w:pPr>
            <w:r>
              <w:rPr>
                <w:rFonts w:ascii="MS PGothic" w:cs="MS PGothic" w:eastAsia="MS PGothic" w:hAnsi="MS PGothic"/>
                <w:sz w:val="15"/>
                <w:szCs w:val="15"/>
                <w:color w:val="auto"/>
              </w:rPr>
              <w:t>$</w:t>
            </w:r>
          </w:p>
        </w:tc>
        <w:tc>
          <w:tcPr>
            <w:tcW w:w="940" w:type="dxa"/>
            <w:vAlign w:val="bottom"/>
          </w:tcPr>
          <w:p>
            <w:pPr>
              <w:jc w:val="right"/>
              <w:spacing w:after="0"/>
              <w:rPr>
                <w:sz w:val="20"/>
                <w:szCs w:val="20"/>
                <w:color w:val="auto"/>
              </w:rPr>
            </w:pPr>
            <w:r>
              <w:rPr>
                <w:rFonts w:ascii="MS PGothic" w:cs="MS PGothic" w:eastAsia="MS PGothic" w:hAnsi="MS PGothic"/>
                <w:sz w:val="15"/>
                <w:szCs w:val="15"/>
                <w:color w:val="auto"/>
              </w:rPr>
              <w:t>1.64</w:t>
            </w:r>
          </w:p>
        </w:tc>
        <w:tc>
          <w:tcPr>
            <w:tcW w:w="240" w:type="dxa"/>
            <w:vAlign w:val="bottom"/>
          </w:tcPr>
          <w:p>
            <w:pPr>
              <w:spacing w:after="0"/>
              <w:rPr>
                <w:sz w:val="15"/>
                <w:szCs w:val="15"/>
                <w:color w:val="auto"/>
              </w:rPr>
            </w:pPr>
          </w:p>
        </w:tc>
        <w:tc>
          <w:tcPr>
            <w:tcW w:w="240" w:type="dxa"/>
            <w:vAlign w:val="bottom"/>
          </w:tcPr>
          <w:p>
            <w:pPr>
              <w:jc w:val="right"/>
              <w:ind w:right="83"/>
              <w:spacing w:after="0"/>
              <w:rPr>
                <w:sz w:val="20"/>
                <w:szCs w:val="20"/>
                <w:color w:val="auto"/>
              </w:rPr>
            </w:pPr>
            <w:r>
              <w:rPr>
                <w:rFonts w:ascii="MS PGothic" w:cs="MS PGothic" w:eastAsia="MS PGothic" w:hAnsi="MS PGothic"/>
                <w:sz w:val="15"/>
                <w:szCs w:val="15"/>
                <w:color w:val="auto"/>
                <w:w w:val="79"/>
              </w:rPr>
              <w:t>$</w:t>
            </w:r>
          </w:p>
        </w:tc>
        <w:tc>
          <w:tcPr>
            <w:tcW w:w="1040" w:type="dxa"/>
            <w:vAlign w:val="bottom"/>
            <w:gridSpan w:val="2"/>
          </w:tcPr>
          <w:p>
            <w:pPr>
              <w:jc w:val="right"/>
              <w:ind w:right="40"/>
              <w:spacing w:after="0"/>
              <w:rPr>
                <w:sz w:val="20"/>
                <w:szCs w:val="20"/>
                <w:color w:val="auto"/>
              </w:rPr>
            </w:pPr>
            <w:r>
              <w:rPr>
                <w:rFonts w:ascii="MS PGothic" w:cs="MS PGothic" w:eastAsia="MS PGothic" w:hAnsi="MS PGothic"/>
                <w:sz w:val="15"/>
                <w:szCs w:val="15"/>
                <w:color w:val="auto"/>
              </w:rPr>
              <w:t>(0.00 )</w:t>
            </w:r>
          </w:p>
        </w:tc>
        <w:tc>
          <w:tcPr>
            <w:tcW w:w="0" w:type="dxa"/>
            <w:vAlign w:val="bottom"/>
          </w:tcPr>
          <w:p>
            <w:pPr>
              <w:spacing w:after="0"/>
              <w:rPr>
                <w:sz w:val="1"/>
                <w:szCs w:val="1"/>
                <w:color w:val="auto"/>
              </w:rPr>
            </w:pPr>
          </w:p>
        </w:tc>
      </w:tr>
      <w:tr>
        <w:trPr>
          <w:trHeight w:val="24"/>
        </w:trPr>
        <w:tc>
          <w:tcPr>
            <w:tcW w:w="59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960" w:type="dxa"/>
            <w:vAlign w:val="bottom"/>
            <w:tcBorders>
              <w:bottom w:val="single" w:sz="8" w:color="CFF0FC"/>
            </w:tcBorders>
            <w:shd w:val="clear" w:color="auto" w:fill="CFF0FC"/>
          </w:tcPr>
          <w:p>
            <w:pPr>
              <w:spacing w:after="0"/>
              <w:rPr>
                <w:sz w:val="20"/>
                <w:szCs w:val="20"/>
                <w:color w:val="auto"/>
              </w:rPr>
            </w:pPr>
            <w:r>
              <w:rPr>
                <w:rFonts w:ascii="MS PGothic" w:cs="MS PGothic" w:eastAsia="MS PGothic" w:hAnsi="MS PGothic"/>
                <w:sz w:val="15"/>
                <w:szCs w:val="15"/>
                <w:color w:val="auto"/>
              </w:rPr>
              <w:t>Diluted</w:t>
            </w:r>
          </w:p>
        </w:tc>
        <w:tc>
          <w:tcPr>
            <w:tcW w:w="260" w:type="dxa"/>
            <w:vAlign w:val="bottom"/>
            <w:tcBorders>
              <w:bottom w:val="single" w:sz="8" w:color="CFF0FC"/>
            </w:tcBorders>
            <w:shd w:val="clear" w:color="auto" w:fill="CFF0FC"/>
          </w:tcPr>
          <w:p>
            <w:pPr>
              <w:jc w:val="right"/>
              <w:ind w:right="103"/>
              <w:spacing w:after="0"/>
              <w:rPr>
                <w:sz w:val="20"/>
                <w:szCs w:val="20"/>
                <w:color w:val="auto"/>
              </w:rPr>
            </w:pPr>
            <w:r>
              <w:rPr>
                <w:rFonts w:ascii="MS PGothic" w:cs="MS PGothic" w:eastAsia="MS PGothic" w:hAnsi="MS PGothic"/>
                <w:sz w:val="15"/>
                <w:szCs w:val="15"/>
                <w:color w:val="auto"/>
                <w:w w:val="79"/>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MS PGothic" w:cs="MS PGothic" w:eastAsia="MS PGothic" w:hAnsi="MS PGothic"/>
                <w:sz w:val="15"/>
                <w:szCs w:val="15"/>
                <w:color w:val="auto"/>
              </w:rPr>
              <w:t>0.19</w:t>
            </w:r>
          </w:p>
        </w:tc>
        <w:tc>
          <w:tcPr>
            <w:tcW w:w="12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CFF0FC"/>
            </w:tcBorders>
            <w:gridSpan w:val="2"/>
            <w:shd w:val="clear" w:color="auto" w:fill="CFF0FC"/>
          </w:tcPr>
          <w:p>
            <w:pPr>
              <w:jc w:val="right"/>
              <w:ind w:right="83"/>
              <w:spacing w:after="0"/>
              <w:rPr>
                <w:sz w:val="20"/>
                <w:szCs w:val="20"/>
                <w:color w:val="auto"/>
              </w:rPr>
            </w:pPr>
            <w:r>
              <w:rPr>
                <w:rFonts w:ascii="MS PGothic" w:cs="MS PGothic" w:eastAsia="MS PGothic" w:hAnsi="MS PGothic"/>
                <w:sz w:val="15"/>
                <w:szCs w:val="15"/>
                <w:color w:val="auto"/>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MS PGothic" w:cs="MS PGothic" w:eastAsia="MS PGothic" w:hAnsi="MS PGothic"/>
                <w:sz w:val="15"/>
                <w:szCs w:val="15"/>
                <w:color w:val="auto"/>
              </w:rPr>
              <w:t>0.62</w:t>
            </w:r>
          </w:p>
        </w:tc>
        <w:tc>
          <w:tcPr>
            <w:tcW w:w="2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jc w:val="right"/>
              <w:ind w:right="83"/>
              <w:spacing w:after="0"/>
              <w:rPr>
                <w:sz w:val="20"/>
                <w:szCs w:val="20"/>
                <w:color w:val="auto"/>
              </w:rPr>
            </w:pPr>
            <w:r>
              <w:rPr>
                <w:rFonts w:ascii="MS PGothic" w:cs="MS PGothic" w:eastAsia="MS PGothic" w:hAnsi="MS PGothic"/>
                <w:sz w:val="15"/>
                <w:szCs w:val="15"/>
                <w:color w:val="auto"/>
                <w:w w:val="79"/>
              </w:rPr>
              <w:t>$</w:t>
            </w:r>
          </w:p>
        </w:tc>
        <w:tc>
          <w:tcPr>
            <w:tcW w:w="1040" w:type="dxa"/>
            <w:vAlign w:val="bottom"/>
            <w:tcBorders>
              <w:bottom w:val="single" w:sz="8" w:color="CFF0FC"/>
            </w:tcBorders>
            <w:gridSpan w:val="2"/>
            <w:shd w:val="clear" w:color="auto" w:fill="CFF0FC"/>
          </w:tcPr>
          <w:p>
            <w:pPr>
              <w:jc w:val="right"/>
              <w:ind w:right="40"/>
              <w:spacing w:after="0"/>
              <w:rPr>
                <w:sz w:val="20"/>
                <w:szCs w:val="20"/>
                <w:color w:val="auto"/>
              </w:rPr>
            </w:pPr>
            <w:r>
              <w:rPr>
                <w:rFonts w:ascii="MS PGothic" w:cs="MS PGothic" w:eastAsia="MS PGothic" w:hAnsi="MS PGothic"/>
                <w:sz w:val="15"/>
                <w:szCs w:val="15"/>
                <w:color w:val="auto"/>
              </w:rPr>
              <w:t>(0.00 )</w:t>
            </w:r>
          </w:p>
        </w:tc>
        <w:tc>
          <w:tcPr>
            <w:tcW w:w="0" w:type="dxa"/>
            <w:vAlign w:val="bottom"/>
          </w:tcPr>
          <w:p>
            <w:pPr>
              <w:spacing w:after="0"/>
              <w:rPr>
                <w:sz w:val="1"/>
                <w:szCs w:val="1"/>
                <w:color w:val="auto"/>
              </w:rPr>
            </w:pPr>
          </w:p>
        </w:tc>
      </w:tr>
      <w:tr>
        <w:trPr>
          <w:trHeight w:val="20"/>
        </w:trPr>
        <w:tc>
          <w:tcPr>
            <w:tcW w:w="59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4904740</wp:posOffset>
            </wp:positionH>
            <wp:positionV relativeFrom="paragraph">
              <wp:posOffset>-2877820</wp:posOffset>
            </wp:positionV>
            <wp:extent cx="66040" cy="762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5824855</wp:posOffset>
            </wp:positionH>
            <wp:positionV relativeFrom="paragraph">
              <wp:posOffset>-2877820</wp:posOffset>
            </wp:positionV>
            <wp:extent cx="58420" cy="762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58420" cy="7620"/>
                    </a:xfrm>
                    <a:prstGeom prst="rect">
                      <a:avLst/>
                    </a:prstGeom>
                    <a:noFill/>
                  </pic:spPr>
                </pic:pic>
              </a:graphicData>
            </a:graphic>
          </wp:anchor>
        </w:drawing>
        <w:drawing>
          <wp:anchor simplePos="0" relativeHeight="251657728" behindDoc="1" locked="0" layoutInCell="0" allowOverlap="1">
            <wp:simplePos x="0" y="0"/>
            <wp:positionH relativeFrom="column">
              <wp:posOffset>6731000</wp:posOffset>
            </wp:positionH>
            <wp:positionV relativeFrom="paragraph">
              <wp:posOffset>-2877820</wp:posOffset>
            </wp:positionV>
            <wp:extent cx="58420" cy="762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8420" cy="7620"/>
                    </a:xfrm>
                    <a:prstGeom prst="rect">
                      <a:avLst/>
                    </a:prstGeom>
                    <a:noFill/>
                  </pic:spPr>
                </pic:pic>
              </a:graphicData>
            </a:graphic>
          </wp:anchor>
        </w:drawing>
        <w:drawing>
          <wp:anchor simplePos="0" relativeHeight="251657728" behindDoc="1" locked="0" layoutInCell="0" allowOverlap="1">
            <wp:simplePos x="0" y="0"/>
            <wp:positionH relativeFrom="column">
              <wp:posOffset>4904740</wp:posOffset>
            </wp:positionH>
            <wp:positionV relativeFrom="paragraph">
              <wp:posOffset>-2322830</wp:posOffset>
            </wp:positionV>
            <wp:extent cx="66040" cy="762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5824855</wp:posOffset>
            </wp:positionH>
            <wp:positionV relativeFrom="paragraph">
              <wp:posOffset>-2322830</wp:posOffset>
            </wp:positionV>
            <wp:extent cx="58420" cy="762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8420" cy="7620"/>
                    </a:xfrm>
                    <a:prstGeom prst="rect">
                      <a:avLst/>
                    </a:prstGeom>
                    <a:noFill/>
                  </pic:spPr>
                </pic:pic>
              </a:graphicData>
            </a:graphic>
          </wp:anchor>
        </w:drawing>
        <w:drawing>
          <wp:anchor simplePos="0" relativeHeight="251657728" behindDoc="1" locked="0" layoutInCell="0" allowOverlap="1">
            <wp:simplePos x="0" y="0"/>
            <wp:positionH relativeFrom="column">
              <wp:posOffset>6731000</wp:posOffset>
            </wp:positionH>
            <wp:positionV relativeFrom="paragraph">
              <wp:posOffset>-2322830</wp:posOffset>
            </wp:positionV>
            <wp:extent cx="58420" cy="762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58420" cy="7620"/>
                    </a:xfrm>
                    <a:prstGeom prst="rect">
                      <a:avLst/>
                    </a:prstGeom>
                    <a:noFill/>
                  </pic:spPr>
                </pic:pic>
              </a:graphicData>
            </a:graphic>
          </wp:anchor>
        </w:drawing>
        <w:drawing>
          <wp:anchor simplePos="0" relativeHeight="251657728" behindDoc="1" locked="0" layoutInCell="0" allowOverlap="1">
            <wp:simplePos x="0" y="0"/>
            <wp:positionH relativeFrom="column">
              <wp:posOffset>4904740</wp:posOffset>
            </wp:positionH>
            <wp:positionV relativeFrom="paragraph">
              <wp:posOffset>-927100</wp:posOffset>
            </wp:positionV>
            <wp:extent cx="66040" cy="762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5824855</wp:posOffset>
            </wp:positionH>
            <wp:positionV relativeFrom="paragraph">
              <wp:posOffset>-927100</wp:posOffset>
            </wp:positionV>
            <wp:extent cx="58420" cy="762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8420" cy="7620"/>
                    </a:xfrm>
                    <a:prstGeom prst="rect">
                      <a:avLst/>
                    </a:prstGeom>
                    <a:noFill/>
                  </pic:spPr>
                </pic:pic>
              </a:graphicData>
            </a:graphic>
          </wp:anchor>
        </w:drawing>
        <w:drawing>
          <wp:anchor simplePos="0" relativeHeight="251657728" behindDoc="1" locked="0" layoutInCell="0" allowOverlap="1">
            <wp:simplePos x="0" y="0"/>
            <wp:positionH relativeFrom="column">
              <wp:posOffset>6731000</wp:posOffset>
            </wp:positionH>
            <wp:positionV relativeFrom="paragraph">
              <wp:posOffset>-927100</wp:posOffset>
            </wp:positionV>
            <wp:extent cx="58420" cy="762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8420" cy="7620"/>
                    </a:xfrm>
                    <a:prstGeom prst="rect">
                      <a:avLst/>
                    </a:prstGeom>
                    <a:noFill/>
                  </pic:spPr>
                </pic:pic>
              </a:graphicData>
            </a:graphic>
          </wp:anchor>
        </w:drawing>
        <w:drawing>
          <wp:anchor simplePos="0" relativeHeight="251657728" behindDoc="1" locked="0" layoutInCell="0" allowOverlap="1">
            <wp:simplePos x="0" y="0"/>
            <wp:positionH relativeFrom="column">
              <wp:posOffset>4904740</wp:posOffset>
            </wp:positionH>
            <wp:positionV relativeFrom="paragraph">
              <wp:posOffset>-21590</wp:posOffset>
            </wp:positionV>
            <wp:extent cx="66040" cy="762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4904740</wp:posOffset>
            </wp:positionH>
            <wp:positionV relativeFrom="paragraph">
              <wp:posOffset>-6985</wp:posOffset>
            </wp:positionV>
            <wp:extent cx="66040" cy="762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5824855</wp:posOffset>
            </wp:positionH>
            <wp:positionV relativeFrom="paragraph">
              <wp:posOffset>-21590</wp:posOffset>
            </wp:positionV>
            <wp:extent cx="58420" cy="762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8420" cy="7620"/>
                    </a:xfrm>
                    <a:prstGeom prst="rect">
                      <a:avLst/>
                    </a:prstGeom>
                    <a:noFill/>
                  </pic:spPr>
                </pic:pic>
              </a:graphicData>
            </a:graphic>
          </wp:anchor>
        </w:drawing>
        <w:drawing>
          <wp:anchor simplePos="0" relativeHeight="251657728" behindDoc="1" locked="0" layoutInCell="0" allowOverlap="1">
            <wp:simplePos x="0" y="0"/>
            <wp:positionH relativeFrom="column">
              <wp:posOffset>5824855</wp:posOffset>
            </wp:positionH>
            <wp:positionV relativeFrom="paragraph">
              <wp:posOffset>-6985</wp:posOffset>
            </wp:positionV>
            <wp:extent cx="58420" cy="762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58420" cy="7620"/>
                    </a:xfrm>
                    <a:prstGeom prst="rect">
                      <a:avLst/>
                    </a:prstGeom>
                    <a:noFill/>
                  </pic:spPr>
                </pic:pic>
              </a:graphicData>
            </a:graphic>
          </wp:anchor>
        </w:drawing>
        <w:drawing>
          <wp:anchor simplePos="0" relativeHeight="251657728" behindDoc="1" locked="0" layoutInCell="0" allowOverlap="1">
            <wp:simplePos x="0" y="0"/>
            <wp:positionH relativeFrom="column">
              <wp:posOffset>6731000</wp:posOffset>
            </wp:positionH>
            <wp:positionV relativeFrom="paragraph">
              <wp:posOffset>-21590</wp:posOffset>
            </wp:positionV>
            <wp:extent cx="58420" cy="762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58420" cy="7620"/>
                    </a:xfrm>
                    <a:prstGeom prst="rect">
                      <a:avLst/>
                    </a:prstGeom>
                    <a:noFill/>
                  </pic:spPr>
                </pic:pic>
              </a:graphicData>
            </a:graphic>
          </wp:anchor>
        </w:drawing>
        <w:drawing>
          <wp:anchor simplePos="0" relativeHeight="251657728" behindDoc="1" locked="0" layoutInCell="0" allowOverlap="1">
            <wp:simplePos x="0" y="0"/>
            <wp:positionH relativeFrom="column">
              <wp:posOffset>6731000</wp:posOffset>
            </wp:positionH>
            <wp:positionV relativeFrom="paragraph">
              <wp:posOffset>-6985</wp:posOffset>
            </wp:positionV>
            <wp:extent cx="58420" cy="762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58420" cy="7620"/>
                    </a:xfrm>
                    <a:prstGeom prst="rect">
                      <a:avLst/>
                    </a:prstGeom>
                    <a:noFill/>
                  </pic:spPr>
                </pic:pic>
              </a:graphicData>
            </a:graphic>
          </wp:anchor>
        </w:drawing>
      </w:r>
    </w:p>
    <w:p>
      <w:pPr>
        <w:spacing w:after="0" w:line="146" w:lineRule="exact"/>
        <w:rPr>
          <w:sz w:val="20"/>
          <w:szCs w:val="20"/>
          <w:color w:val="auto"/>
        </w:rPr>
      </w:pPr>
    </w:p>
    <w:p>
      <w:pPr>
        <w:ind w:firstLine="511"/>
        <w:spacing w:after="0" w:line="347" w:lineRule="auto"/>
        <w:rPr>
          <w:sz w:val="20"/>
          <w:szCs w:val="20"/>
          <w:color w:val="auto"/>
        </w:rPr>
      </w:pPr>
      <w:r>
        <w:rPr>
          <w:rFonts w:ascii="MS PGothic" w:cs="MS PGothic" w:eastAsia="MS PGothic" w:hAnsi="MS PGothic"/>
          <w:sz w:val="15"/>
          <w:szCs w:val="15"/>
          <w:color w:val="auto"/>
        </w:rPr>
        <w:t>For the years ended December 31, 2023, 2022, and 2021, potentally dilutve common stock equivalents that have been excluded from the calculaton of diluted weighted‑average shares outstanding as their efect would have been ant‑dilutve are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56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80" w:type="dxa"/>
            <w:vAlign w:val="bottom"/>
            <w:gridSpan w:val="3"/>
          </w:tcPr>
          <w:p>
            <w:pPr>
              <w:ind w:left="180"/>
              <w:spacing w:after="0"/>
              <w:rPr>
                <w:sz w:val="20"/>
                <w:szCs w:val="20"/>
                <w:color w:val="auto"/>
              </w:rPr>
            </w:pPr>
            <w:r>
              <w:rPr>
                <w:rFonts w:ascii="Calibri" w:cs="Calibri" w:eastAsia="Calibri" w:hAnsi="Calibri"/>
                <w:sz w:val="12"/>
                <w:szCs w:val="12"/>
                <w:b w:val="1"/>
                <w:bCs w:val="1"/>
                <w:color w:val="auto"/>
              </w:rPr>
              <w:t>Year Ended December 31,</w:t>
            </w: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28"/>
        </w:trPr>
        <w:tc>
          <w:tcPr>
            <w:tcW w:w="56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8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137"/>
        </w:trPr>
        <w:tc>
          <w:tcPr>
            <w:tcW w:w="56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40" w:type="dxa"/>
            <w:vAlign w:val="bottom"/>
            <w:tcBorders>
              <w:top w:val="single" w:sz="8" w:color="auto"/>
            </w:tcBorders>
          </w:tcPr>
          <w:p>
            <w:pPr>
              <w:jc w:val="right"/>
              <w:ind w:right="431"/>
              <w:spacing w:after="0" w:line="138" w:lineRule="exact"/>
              <w:rPr>
                <w:sz w:val="20"/>
                <w:szCs w:val="20"/>
                <w:color w:val="auto"/>
              </w:rPr>
            </w:pPr>
            <w:r>
              <w:rPr>
                <w:rFonts w:ascii="Calibri" w:cs="Calibri" w:eastAsia="Calibri" w:hAnsi="Calibri"/>
                <w:sz w:val="12"/>
                <w:szCs w:val="12"/>
                <w:b w:val="1"/>
                <w:bCs w:val="1"/>
                <w:color w:val="auto"/>
              </w:rPr>
              <w:t>2023</w:t>
            </w:r>
          </w:p>
        </w:tc>
        <w:tc>
          <w:tcPr>
            <w:tcW w:w="1460" w:type="dxa"/>
            <w:vAlign w:val="bottom"/>
            <w:tcBorders>
              <w:top w:val="single" w:sz="8" w:color="auto"/>
            </w:tcBorders>
            <w:gridSpan w:val="2"/>
          </w:tcPr>
          <w:p>
            <w:pPr>
              <w:jc w:val="right"/>
              <w:ind w:right="423"/>
              <w:spacing w:after="0" w:line="138" w:lineRule="exact"/>
              <w:rPr>
                <w:sz w:val="20"/>
                <w:szCs w:val="20"/>
                <w:color w:val="auto"/>
              </w:rPr>
            </w:pPr>
            <w:r>
              <w:rPr>
                <w:rFonts w:ascii="Calibri" w:cs="Calibri" w:eastAsia="Calibri" w:hAnsi="Calibri"/>
                <w:sz w:val="12"/>
                <w:szCs w:val="12"/>
                <w:b w:val="1"/>
                <w:bCs w:val="1"/>
                <w:color w:val="auto"/>
              </w:rPr>
              <w:t>2022</w:t>
            </w:r>
          </w:p>
        </w:tc>
        <w:tc>
          <w:tcPr>
            <w:tcW w:w="2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right"/>
              <w:ind w:right="407"/>
              <w:spacing w:after="0" w:line="138" w:lineRule="exact"/>
              <w:rPr>
                <w:sz w:val="20"/>
                <w:szCs w:val="20"/>
                <w:color w:val="auto"/>
              </w:rPr>
            </w:pPr>
            <w:r>
              <w:rPr>
                <w:rFonts w:ascii="Calibri" w:cs="Calibri" w:eastAsia="Calibri" w:hAnsi="Calibri"/>
                <w:sz w:val="12"/>
                <w:szCs w:val="12"/>
                <w:b w:val="1"/>
                <w:bCs w:val="1"/>
                <w:color w:val="auto"/>
              </w:rPr>
              <w:t>2021</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27"/>
        </w:trPr>
        <w:tc>
          <w:tcPr>
            <w:tcW w:w="56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179"/>
        </w:trPr>
        <w:tc>
          <w:tcPr>
            <w:tcW w:w="560" w:type="dxa"/>
            <w:vAlign w:val="bottom"/>
          </w:tcPr>
          <w:p>
            <w:pPr>
              <w:spacing w:after="0"/>
              <w:rPr>
                <w:sz w:val="15"/>
                <w:szCs w:val="15"/>
                <w:color w:val="auto"/>
              </w:rPr>
            </w:pPr>
          </w:p>
        </w:tc>
        <w:tc>
          <w:tcPr>
            <w:tcW w:w="4320" w:type="dxa"/>
            <w:vAlign w:val="bottom"/>
            <w:tcBorders>
              <w:bottom w:val="single" w:sz="8" w:color="CFF0FC"/>
            </w:tcBorders>
            <w:shd w:val="clear" w:color="auto" w:fill="CFF0FC"/>
          </w:tcPr>
          <w:p>
            <w:pPr>
              <w:spacing w:after="0"/>
              <w:rPr>
                <w:sz w:val="20"/>
                <w:szCs w:val="20"/>
                <w:color w:val="auto"/>
              </w:rPr>
            </w:pPr>
            <w:r>
              <w:rPr>
                <w:rFonts w:ascii="MS PGothic" w:cs="MS PGothic" w:eastAsia="MS PGothic" w:hAnsi="MS PGothic"/>
                <w:sz w:val="15"/>
                <w:szCs w:val="15"/>
                <w:color w:val="auto"/>
              </w:rPr>
              <w:t>Stock optons outstanding</w:t>
            </w:r>
          </w:p>
        </w:tc>
        <w:tc>
          <w:tcPr>
            <w:tcW w:w="2840" w:type="dxa"/>
            <w:vAlign w:val="bottom"/>
            <w:tcBorders>
              <w:bottom w:val="single" w:sz="8" w:color="CFF0FC"/>
            </w:tcBorders>
            <w:gridSpan w:val="2"/>
            <w:shd w:val="clear" w:color="auto" w:fill="CFF0FC"/>
          </w:tcPr>
          <w:p>
            <w:pPr>
              <w:jc w:val="right"/>
              <w:spacing w:after="0"/>
              <w:rPr>
                <w:sz w:val="20"/>
                <w:szCs w:val="20"/>
                <w:color w:val="auto"/>
              </w:rPr>
            </w:pPr>
            <w:r>
              <w:rPr>
                <w:rFonts w:ascii="MS PGothic" w:cs="MS PGothic" w:eastAsia="MS PGothic" w:hAnsi="MS PGothic"/>
                <w:sz w:val="15"/>
                <w:szCs w:val="15"/>
                <w:color w:val="auto"/>
              </w:rPr>
              <w:t>551,196</w:t>
            </w:r>
          </w:p>
        </w:tc>
        <w:tc>
          <w:tcPr>
            <w:tcW w:w="1460" w:type="dxa"/>
            <w:vAlign w:val="bottom"/>
            <w:tcBorders>
              <w:bottom w:val="single" w:sz="8" w:color="CFF0FC"/>
            </w:tcBorders>
            <w:gridSpan w:val="2"/>
            <w:shd w:val="clear" w:color="auto" w:fill="CFF0FC"/>
          </w:tcPr>
          <w:p>
            <w:pPr>
              <w:jc w:val="right"/>
              <w:spacing w:after="0"/>
              <w:rPr>
                <w:sz w:val="20"/>
                <w:szCs w:val="20"/>
                <w:color w:val="auto"/>
              </w:rPr>
            </w:pPr>
            <w:r>
              <w:rPr>
                <w:rFonts w:ascii="MS PGothic" w:cs="MS PGothic" w:eastAsia="MS PGothic" w:hAnsi="MS PGothic"/>
                <w:sz w:val="15"/>
                <w:szCs w:val="15"/>
                <w:color w:val="auto"/>
              </w:rPr>
              <w:t>587,494</w:t>
            </w:r>
          </w:p>
        </w:tc>
        <w:tc>
          <w:tcPr>
            <w:tcW w:w="220" w:type="dxa"/>
            <w:vAlign w:val="bottom"/>
            <w:tcBorders>
              <w:bottom w:val="single" w:sz="8" w:color="CFF0FC"/>
            </w:tcBorders>
            <w:shd w:val="clear" w:color="auto" w:fill="CFF0FC"/>
          </w:tcPr>
          <w:p>
            <w:pPr>
              <w:spacing w:after="0"/>
              <w:rPr>
                <w:sz w:val="15"/>
                <w:szCs w:val="15"/>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MS PGothic" w:cs="MS PGothic" w:eastAsia="MS PGothic" w:hAnsi="MS PGothic"/>
                <w:sz w:val="15"/>
                <w:szCs w:val="15"/>
                <w:color w:val="auto"/>
              </w:rPr>
              <w:t>617,504</w:t>
            </w:r>
          </w:p>
        </w:tc>
        <w:tc>
          <w:tcPr>
            <w:tcW w:w="100" w:type="dxa"/>
            <w:vAlign w:val="bottom"/>
            <w:tcBorders>
              <w:bottom w:val="single" w:sz="8" w:color="CFF0FC"/>
            </w:tcBorders>
            <w:shd w:val="clear" w:color="auto" w:fill="CFF0FC"/>
          </w:tcPr>
          <w:p>
            <w:pPr>
              <w:spacing w:after="0"/>
              <w:rPr>
                <w:sz w:val="15"/>
                <w:szCs w:val="15"/>
                <w:color w:val="auto"/>
              </w:rPr>
            </w:pPr>
          </w:p>
        </w:tc>
        <w:tc>
          <w:tcPr>
            <w:tcW w:w="560" w:type="dxa"/>
            <w:vAlign w:val="bottom"/>
          </w:tcPr>
          <w:p>
            <w:pPr>
              <w:spacing w:after="0"/>
              <w:rPr>
                <w:sz w:val="15"/>
                <w:szCs w:val="15"/>
                <w:color w:val="auto"/>
              </w:rPr>
            </w:pPr>
          </w:p>
        </w:tc>
      </w:tr>
      <w:tr>
        <w:trPr>
          <w:trHeight w:val="183"/>
        </w:trPr>
        <w:tc>
          <w:tcPr>
            <w:tcW w:w="560" w:type="dxa"/>
            <w:vAlign w:val="bottom"/>
          </w:tcPr>
          <w:p>
            <w:pPr>
              <w:spacing w:after="0"/>
              <w:rPr>
                <w:sz w:val="15"/>
                <w:szCs w:val="15"/>
                <w:color w:val="auto"/>
              </w:rPr>
            </w:pPr>
          </w:p>
        </w:tc>
        <w:tc>
          <w:tcPr>
            <w:tcW w:w="4320" w:type="dxa"/>
            <w:vAlign w:val="bottom"/>
          </w:tcPr>
          <w:p>
            <w:pPr>
              <w:spacing w:after="0"/>
              <w:rPr>
                <w:sz w:val="20"/>
                <w:szCs w:val="20"/>
                <w:color w:val="auto"/>
              </w:rPr>
            </w:pPr>
            <w:r>
              <w:rPr>
                <w:rFonts w:ascii="MS PGothic" w:cs="MS PGothic" w:eastAsia="MS PGothic" w:hAnsi="MS PGothic"/>
                <w:sz w:val="15"/>
                <w:szCs w:val="15"/>
                <w:color w:val="auto"/>
              </w:rPr>
              <w:t>Restricted stock units outstanding</w:t>
            </w:r>
          </w:p>
        </w:tc>
        <w:tc>
          <w:tcPr>
            <w:tcW w:w="2840" w:type="dxa"/>
            <w:vAlign w:val="bottom"/>
            <w:gridSpan w:val="2"/>
          </w:tcPr>
          <w:p>
            <w:pPr>
              <w:jc w:val="right"/>
              <w:spacing w:after="0"/>
              <w:rPr>
                <w:sz w:val="20"/>
                <w:szCs w:val="20"/>
                <w:color w:val="auto"/>
              </w:rPr>
            </w:pPr>
            <w:r>
              <w:rPr>
                <w:rFonts w:ascii="MS PGothic" w:cs="MS PGothic" w:eastAsia="MS PGothic" w:hAnsi="MS PGothic"/>
                <w:sz w:val="15"/>
                <w:szCs w:val="15"/>
                <w:color w:val="auto"/>
              </w:rPr>
              <w:t>2,333,489</w:t>
            </w:r>
          </w:p>
        </w:tc>
        <w:tc>
          <w:tcPr>
            <w:tcW w:w="1460" w:type="dxa"/>
            <w:vAlign w:val="bottom"/>
            <w:gridSpan w:val="2"/>
          </w:tcPr>
          <w:p>
            <w:pPr>
              <w:jc w:val="right"/>
              <w:spacing w:after="0"/>
              <w:rPr>
                <w:sz w:val="20"/>
                <w:szCs w:val="20"/>
                <w:color w:val="auto"/>
              </w:rPr>
            </w:pPr>
            <w:r>
              <w:rPr>
                <w:rFonts w:ascii="MS PGothic" w:cs="MS PGothic" w:eastAsia="MS PGothic" w:hAnsi="MS PGothic"/>
                <w:sz w:val="15"/>
                <w:szCs w:val="15"/>
                <w:color w:val="auto"/>
              </w:rPr>
              <w:t>2,634,463</w:t>
            </w: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MS PGothic" w:cs="MS PGothic" w:eastAsia="MS PGothic" w:hAnsi="MS PGothic"/>
                <w:sz w:val="15"/>
                <w:szCs w:val="15"/>
                <w:color w:val="auto"/>
              </w:rPr>
              <w:t>2,867,330</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4"/>
        </w:trPr>
        <w:tc>
          <w:tcPr>
            <w:tcW w:w="56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187"/>
        </w:trPr>
        <w:tc>
          <w:tcPr>
            <w:tcW w:w="560" w:type="dxa"/>
            <w:vAlign w:val="bottom"/>
          </w:tcPr>
          <w:p>
            <w:pPr>
              <w:spacing w:after="0"/>
              <w:rPr>
                <w:sz w:val="16"/>
                <w:szCs w:val="16"/>
                <w:color w:val="auto"/>
              </w:rPr>
            </w:pPr>
          </w:p>
        </w:tc>
        <w:tc>
          <w:tcPr>
            <w:tcW w:w="4320" w:type="dxa"/>
            <w:vAlign w:val="bottom"/>
            <w:tcBorders>
              <w:bottom w:val="single" w:sz="8" w:color="CFF0FC"/>
            </w:tcBorders>
            <w:shd w:val="clear" w:color="auto" w:fill="CFF0FC"/>
          </w:tcPr>
          <w:p>
            <w:pPr>
              <w:spacing w:after="0"/>
              <w:rPr>
                <w:sz w:val="20"/>
                <w:szCs w:val="20"/>
                <w:color w:val="auto"/>
              </w:rPr>
            </w:pPr>
            <w:r>
              <w:rPr>
                <w:rFonts w:ascii="MS PGothic" w:cs="MS PGothic" w:eastAsia="MS PGothic" w:hAnsi="MS PGothic"/>
                <w:sz w:val="15"/>
                <w:szCs w:val="15"/>
                <w:color w:val="auto"/>
              </w:rPr>
              <w:t>CO Incentve Units, Subject Units and noncontrolling interest</w:t>
            </w:r>
          </w:p>
        </w:tc>
        <w:tc>
          <w:tcPr>
            <w:tcW w:w="1600" w:type="dxa"/>
            <w:vAlign w:val="bottom"/>
            <w:tcBorders>
              <w:bottom w:val="single" w:sz="8" w:color="CFF0FC"/>
            </w:tcBorders>
            <w:shd w:val="clear" w:color="auto" w:fill="CFF0FC"/>
          </w:tcPr>
          <w:p>
            <w:pPr>
              <w:spacing w:after="0"/>
              <w:rPr>
                <w:sz w:val="16"/>
                <w:szCs w:val="16"/>
                <w:color w:val="auto"/>
              </w:rPr>
            </w:pPr>
          </w:p>
        </w:tc>
        <w:tc>
          <w:tcPr>
            <w:tcW w:w="1240" w:type="dxa"/>
            <w:vAlign w:val="bottom"/>
            <w:tcBorders>
              <w:bottom w:val="single" w:sz="8" w:color="CFF0FC"/>
            </w:tcBorders>
            <w:shd w:val="clear" w:color="auto" w:fill="CFF0FC"/>
          </w:tcPr>
          <w:p>
            <w:pPr>
              <w:jc w:val="right"/>
              <w:spacing w:after="0"/>
              <w:rPr>
                <w:sz w:val="20"/>
                <w:szCs w:val="20"/>
                <w:color w:val="auto"/>
              </w:rPr>
            </w:pPr>
            <w:r>
              <w:rPr>
                <w:rFonts w:ascii="MS PGothic" w:cs="MS PGothic" w:eastAsia="MS PGothic" w:hAnsi="MS PGothic"/>
                <w:sz w:val="15"/>
                <w:szCs w:val="15"/>
                <w:color w:val="auto"/>
              </w:rPr>
              <w:t>—</w:t>
            </w:r>
          </w:p>
        </w:tc>
        <w:tc>
          <w:tcPr>
            <w:tcW w:w="220" w:type="dxa"/>
            <w:vAlign w:val="bottom"/>
            <w:tcBorders>
              <w:bottom w:val="single" w:sz="8" w:color="CFF0FC"/>
            </w:tcBorders>
            <w:shd w:val="clear" w:color="auto" w:fill="CFF0FC"/>
          </w:tcPr>
          <w:p>
            <w:pPr>
              <w:spacing w:after="0"/>
              <w:rPr>
                <w:sz w:val="16"/>
                <w:szCs w:val="16"/>
                <w:color w:val="auto"/>
              </w:rPr>
            </w:pPr>
          </w:p>
        </w:tc>
        <w:tc>
          <w:tcPr>
            <w:tcW w:w="146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MS PGothic" w:cs="MS PGothic" w:eastAsia="MS PGothic" w:hAnsi="MS PGothic"/>
                <w:sz w:val="15"/>
                <w:szCs w:val="15"/>
                <w:color w:val="auto"/>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MS PGothic" w:cs="MS PGothic" w:eastAsia="MS PGothic" w:hAnsi="MS PGothic"/>
                <w:sz w:val="15"/>
                <w:szCs w:val="15"/>
                <w:color w:val="auto"/>
              </w:rPr>
              <w:t>1,509,750</w:t>
            </w:r>
          </w:p>
        </w:tc>
        <w:tc>
          <w:tcPr>
            <w:tcW w:w="100" w:type="dxa"/>
            <w:vAlign w:val="bottom"/>
            <w:tcBorders>
              <w:bottom w:val="single" w:sz="8" w:color="CFF0FC"/>
            </w:tcBorders>
            <w:shd w:val="clear" w:color="auto" w:fill="CFF0FC"/>
          </w:tcPr>
          <w:p>
            <w:pPr>
              <w:spacing w:after="0"/>
              <w:rPr>
                <w:sz w:val="16"/>
                <w:szCs w:val="16"/>
                <w:color w:val="auto"/>
              </w:rPr>
            </w:pPr>
          </w:p>
        </w:tc>
        <w:tc>
          <w:tcPr>
            <w:tcW w:w="560" w:type="dxa"/>
            <w:vAlign w:val="bottom"/>
          </w:tcPr>
          <w:p>
            <w:pPr>
              <w:spacing w:after="0"/>
              <w:rPr>
                <w:sz w:val="16"/>
                <w:szCs w:val="16"/>
                <w:color w:val="auto"/>
              </w:rPr>
            </w:pPr>
          </w:p>
        </w:tc>
      </w:tr>
      <w:tr>
        <w:trPr>
          <w:trHeight w:val="533"/>
        </w:trPr>
        <w:tc>
          <w:tcPr>
            <w:tcW w:w="56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600" w:type="dxa"/>
            <w:vAlign w:val="bottom"/>
          </w:tcPr>
          <w:p>
            <w:pPr>
              <w:jc w:val="right"/>
              <w:ind w:right="663"/>
              <w:spacing w:after="0"/>
              <w:rPr>
                <w:sz w:val="20"/>
                <w:szCs w:val="20"/>
                <w:color w:val="auto"/>
              </w:rPr>
            </w:pPr>
            <w:r>
              <w:rPr>
                <w:rFonts w:ascii="MS PGothic" w:cs="MS PGothic" w:eastAsia="MS PGothic" w:hAnsi="MS PGothic"/>
                <w:sz w:val="15"/>
                <w:szCs w:val="15"/>
                <w:color w:val="auto"/>
              </w:rPr>
              <w:t>125</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655"/>
        </w:trPr>
        <w:tc>
          <w:tcPr>
            <w:tcW w:w="560" w:type="dxa"/>
            <w:vAlign w:val="bottom"/>
            <w:tcBorders>
              <w:bottom w:val="single" w:sz="8" w:color="9A9A9A"/>
            </w:tcBorders>
          </w:tcPr>
          <w:p>
            <w:pPr>
              <w:spacing w:after="0"/>
              <w:rPr>
                <w:sz w:val="24"/>
                <w:szCs w:val="24"/>
                <w:color w:val="auto"/>
              </w:rPr>
            </w:pPr>
          </w:p>
        </w:tc>
        <w:tc>
          <w:tcPr>
            <w:tcW w:w="43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-26670</wp:posOffset>
            </wp:positionV>
            <wp:extent cx="33020" cy="4000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1134" w:right="319" w:bottom="1440" w:gutter="0" w:footer="0" w:header="0"/>
        </w:sectPr>
      </w:pPr>
    </w:p>
    <w:bookmarkStart w:id="127" w:name="page128"/>
    <w:bookmarkEnd w:id="127"/>
    <w:p>
      <w:pPr>
        <w:jc w:val="both"/>
        <w:ind w:firstLine="511"/>
        <w:spacing w:after="0" w:line="241" w:lineRule="auto"/>
        <w:rPr>
          <w:sz w:val="20"/>
          <w:szCs w:val="20"/>
          <w:color w:val="auto"/>
        </w:rPr>
      </w:pPr>
      <w:r>
        <w:rPr>
          <w:rFonts w:ascii="Calibri" w:cs="Calibri" w:eastAsia="Calibri" w:hAnsi="Calibri"/>
          <w:sz w:val="15"/>
          <w:szCs w:val="15"/>
          <w:color w:val="auto"/>
        </w:rPr>
        <w:t>For the year ended December 31, 2021, shares of Class A common stock potentally issuable under market-based performance awards of approximately 14,682 RSUs were excluded from the calculaton of weighted average shares used to compute Diluted EPS as the market-based vestng conditons had not been achieved as of the reportng period end date and as such there were zero contngently issuable shares. As a result of the 2023 CarOfer Transacton, there were no contngently issuable shares as of December 31, 2023. For the year ended December 31, 2022, there was no efect of potentally dilutve shares as the numerator was negatve. Additonally, during the year ended December 31, 2022, the Company modifed its market-based performance awards to contain only service-based vestng conditons in line with the Company's other RSU awards. As a result, there are no market-based RSUs outstanding as of December 31, 2023 or 2022.</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b w:val="1"/>
          <w:bCs w:val="1"/>
          <w:color w:val="auto"/>
        </w:rPr>
        <w:t>13. Income Taxes</w:t>
      </w:r>
    </w:p>
    <w:p>
      <w:pPr>
        <w:spacing w:after="0" w:line="185" w:lineRule="exact"/>
        <w:rPr>
          <w:sz w:val="20"/>
          <w:szCs w:val="20"/>
          <w:color w:val="auto"/>
        </w:rPr>
      </w:pPr>
    </w:p>
    <w:p>
      <w:pPr>
        <w:ind w:left="500"/>
        <w:spacing w:after="0"/>
        <w:rPr>
          <w:sz w:val="20"/>
          <w:szCs w:val="20"/>
          <w:color w:val="auto"/>
        </w:rPr>
      </w:pPr>
      <w:r>
        <w:rPr>
          <w:rFonts w:ascii="Calibri" w:cs="Calibri" w:eastAsia="Calibri" w:hAnsi="Calibri"/>
          <w:sz w:val="15"/>
          <w:szCs w:val="15"/>
          <w:color w:val="auto"/>
        </w:rPr>
        <w:t>For the years ended December 31, 2023, 2022, and 2021, the domestc and foreign components of income before income taxes are as follows:</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56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4"/>
          </w:tcPr>
          <w:p>
            <w:pPr>
              <w:jc w:val="right"/>
              <w:ind w:right="220"/>
              <w:spacing w:after="0"/>
              <w:rPr>
                <w:sz w:val="20"/>
                <w:szCs w:val="20"/>
                <w:color w:val="auto"/>
              </w:rPr>
            </w:pPr>
            <w:r>
              <w:rPr>
                <w:rFonts w:ascii="Calibri" w:cs="Calibri" w:eastAsia="Calibri" w:hAnsi="Calibri"/>
                <w:sz w:val="12"/>
                <w:szCs w:val="12"/>
                <w:b w:val="1"/>
                <w:bCs w:val="1"/>
                <w:color w:val="auto"/>
              </w:rPr>
              <w:t>Year Ended December 31,</w:t>
            </w: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28"/>
        </w:trPr>
        <w:tc>
          <w:tcPr>
            <w:tcW w:w="5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137"/>
        </w:trPr>
        <w:tc>
          <w:tcPr>
            <w:tcW w:w="56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jc w:val="right"/>
              <w:ind w:right="406"/>
              <w:spacing w:after="0" w:line="138" w:lineRule="exact"/>
              <w:rPr>
                <w:sz w:val="20"/>
                <w:szCs w:val="20"/>
                <w:color w:val="auto"/>
              </w:rPr>
            </w:pPr>
            <w:r>
              <w:rPr>
                <w:rFonts w:ascii="Calibri" w:cs="Calibri" w:eastAsia="Calibri" w:hAnsi="Calibri"/>
                <w:sz w:val="12"/>
                <w:szCs w:val="12"/>
                <w:b w:val="1"/>
                <w:bCs w:val="1"/>
                <w:color w:val="auto"/>
              </w:rPr>
              <w:t>2023</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jc w:val="right"/>
              <w:ind w:right="406"/>
              <w:spacing w:after="0" w:line="138" w:lineRule="exact"/>
              <w:rPr>
                <w:sz w:val="20"/>
                <w:szCs w:val="20"/>
                <w:color w:val="auto"/>
              </w:rPr>
            </w:pPr>
            <w:r>
              <w:rPr>
                <w:rFonts w:ascii="Calibri" w:cs="Calibri" w:eastAsia="Calibri" w:hAnsi="Calibri"/>
                <w:sz w:val="12"/>
                <w:szCs w:val="12"/>
                <w:b w:val="1"/>
                <w:bCs w:val="1"/>
                <w:color w:val="auto"/>
              </w:rPr>
              <w:t>2022</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jc w:val="right"/>
              <w:ind w:right="386"/>
              <w:spacing w:after="0" w:line="138" w:lineRule="exact"/>
              <w:rPr>
                <w:sz w:val="20"/>
                <w:szCs w:val="20"/>
                <w:color w:val="auto"/>
              </w:rPr>
            </w:pPr>
            <w:r>
              <w:rPr>
                <w:rFonts w:ascii="Calibri" w:cs="Calibri" w:eastAsia="Calibri" w:hAnsi="Calibri"/>
                <w:sz w:val="12"/>
                <w:szCs w:val="12"/>
                <w:b w:val="1"/>
                <w:bCs w:val="1"/>
                <w:color w:val="auto"/>
              </w:rPr>
              <w:t>2021</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27"/>
        </w:trPr>
        <w:tc>
          <w:tcPr>
            <w:tcW w:w="5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179"/>
        </w:trPr>
        <w:tc>
          <w:tcPr>
            <w:tcW w:w="560" w:type="dxa"/>
            <w:vAlign w:val="bottom"/>
          </w:tcPr>
          <w:p>
            <w:pPr>
              <w:spacing w:after="0"/>
              <w:rPr>
                <w:sz w:val="15"/>
                <w:szCs w:val="15"/>
                <w:color w:val="auto"/>
              </w:rPr>
            </w:pPr>
          </w:p>
        </w:tc>
        <w:tc>
          <w:tcPr>
            <w:tcW w:w="3340" w:type="dxa"/>
            <w:vAlign w:val="bottom"/>
            <w:tcBorders>
              <w:bottom w:val="single" w:sz="8" w:color="CFF0FC"/>
            </w:tcBorders>
            <w:shd w:val="clear" w:color="auto" w:fill="CFF0FC"/>
          </w:tcPr>
          <w:p>
            <w:pPr>
              <w:ind w:left="160"/>
              <w:spacing w:after="0" w:line="174" w:lineRule="exact"/>
              <w:rPr>
                <w:sz w:val="20"/>
                <w:szCs w:val="20"/>
                <w:color w:val="auto"/>
              </w:rPr>
            </w:pPr>
            <w:r>
              <w:rPr>
                <w:rFonts w:ascii="Calibri" w:cs="Calibri" w:eastAsia="Calibri" w:hAnsi="Calibri"/>
                <w:sz w:val="15"/>
                <w:szCs w:val="15"/>
                <w:color w:val="auto"/>
              </w:rPr>
              <w:t>United States</w:t>
            </w:r>
          </w:p>
        </w:tc>
        <w:tc>
          <w:tcPr>
            <w:tcW w:w="2900" w:type="dxa"/>
            <w:vAlign w:val="bottom"/>
            <w:tcBorders>
              <w:bottom w:val="single" w:sz="8" w:color="CFF0FC"/>
            </w:tcBorders>
            <w:gridSpan w:val="2"/>
            <w:shd w:val="clear" w:color="auto" w:fill="CFF0FC"/>
          </w:tcPr>
          <w:p>
            <w:pPr>
              <w:jc w:val="right"/>
              <w:ind w:right="123"/>
              <w:spacing w:after="0" w:line="174" w:lineRule="exact"/>
              <w:rPr>
                <w:sz w:val="20"/>
                <w:szCs w:val="20"/>
                <w:color w:val="auto"/>
              </w:rPr>
            </w:pPr>
            <w:r>
              <w:rPr>
                <w:rFonts w:ascii="Calibri" w:cs="Calibri" w:eastAsia="Calibri" w:hAnsi="Calibri"/>
                <w:sz w:val="15"/>
                <w:szCs w:val="15"/>
                <w:color w:val="auto"/>
              </w:rPr>
              <w:t>$</w:t>
            </w:r>
          </w:p>
        </w:tc>
        <w:tc>
          <w:tcPr>
            <w:tcW w:w="920" w:type="dxa"/>
            <w:vAlign w:val="bottom"/>
            <w:tcBorders>
              <w:bottom w:val="single" w:sz="8" w:color="CFF0FC"/>
            </w:tcBorders>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50,632</w:t>
            </w:r>
          </w:p>
        </w:tc>
        <w:tc>
          <w:tcPr>
            <w:tcW w:w="120" w:type="dxa"/>
            <w:vAlign w:val="bottom"/>
            <w:tcBorders>
              <w:bottom w:val="single" w:sz="8" w:color="CFF0FC"/>
            </w:tcBorders>
            <w:shd w:val="clear" w:color="auto" w:fill="CFF0FC"/>
          </w:tcPr>
          <w:p>
            <w:pPr>
              <w:spacing w:after="0"/>
              <w:rPr>
                <w:sz w:val="15"/>
                <w:szCs w:val="15"/>
                <w:color w:val="auto"/>
              </w:rPr>
            </w:pPr>
          </w:p>
        </w:tc>
        <w:tc>
          <w:tcPr>
            <w:tcW w:w="420" w:type="dxa"/>
            <w:vAlign w:val="bottom"/>
            <w:tcBorders>
              <w:bottom w:val="single" w:sz="8" w:color="CFF0FC"/>
            </w:tcBorders>
            <w:gridSpan w:val="2"/>
            <w:shd w:val="clear" w:color="auto" w:fill="CFF0FC"/>
          </w:tcPr>
          <w:p>
            <w:pPr>
              <w:jc w:val="right"/>
              <w:ind w:right="180"/>
              <w:spacing w:after="0" w:line="174" w:lineRule="exact"/>
              <w:rPr>
                <w:sz w:val="20"/>
                <w:szCs w:val="20"/>
                <w:color w:val="auto"/>
              </w:rPr>
            </w:pPr>
            <w:r>
              <w:rPr>
                <w:rFonts w:ascii="Calibri" w:cs="Calibri" w:eastAsia="Calibri" w:hAnsi="Calibri"/>
                <w:sz w:val="15"/>
                <w:szCs w:val="15"/>
                <w:color w:val="auto"/>
              </w:rPr>
              <w:t>$</w:t>
            </w:r>
          </w:p>
        </w:tc>
        <w:tc>
          <w:tcPr>
            <w:tcW w:w="920" w:type="dxa"/>
            <w:vAlign w:val="bottom"/>
            <w:tcBorders>
              <w:bottom w:val="single" w:sz="8" w:color="CFF0FC"/>
            </w:tcBorders>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110,213</w:t>
            </w:r>
          </w:p>
        </w:tc>
        <w:tc>
          <w:tcPr>
            <w:tcW w:w="24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jc w:val="right"/>
              <w:ind w:right="123"/>
              <w:spacing w:after="0" w:line="174" w:lineRule="exact"/>
              <w:rPr>
                <w:sz w:val="20"/>
                <w:szCs w:val="20"/>
                <w:color w:val="auto"/>
              </w:rPr>
            </w:pPr>
            <w:r>
              <w:rPr>
                <w:rFonts w:ascii="Calibri" w:cs="Calibri" w:eastAsia="Calibri" w:hAnsi="Calibri"/>
                <w:sz w:val="15"/>
                <w:szCs w:val="15"/>
                <w:color w:val="auto"/>
                <w:w w:val="78"/>
              </w:rPr>
              <w:t>$</w:t>
            </w:r>
          </w:p>
        </w:tc>
        <w:tc>
          <w:tcPr>
            <w:tcW w:w="900" w:type="dxa"/>
            <w:vAlign w:val="bottom"/>
            <w:tcBorders>
              <w:bottom w:val="single" w:sz="8" w:color="CFF0FC"/>
            </w:tcBorders>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148,037</w:t>
            </w:r>
          </w:p>
        </w:tc>
        <w:tc>
          <w:tcPr>
            <w:tcW w:w="100" w:type="dxa"/>
            <w:vAlign w:val="bottom"/>
            <w:tcBorders>
              <w:bottom w:val="single" w:sz="8" w:color="CFF0FC"/>
            </w:tcBorders>
            <w:shd w:val="clear" w:color="auto" w:fill="CFF0FC"/>
          </w:tcPr>
          <w:p>
            <w:pPr>
              <w:spacing w:after="0"/>
              <w:rPr>
                <w:sz w:val="15"/>
                <w:szCs w:val="15"/>
                <w:color w:val="auto"/>
              </w:rPr>
            </w:pPr>
          </w:p>
        </w:tc>
        <w:tc>
          <w:tcPr>
            <w:tcW w:w="560" w:type="dxa"/>
            <w:vAlign w:val="bottom"/>
          </w:tcPr>
          <w:p>
            <w:pPr>
              <w:spacing w:after="0"/>
              <w:rPr>
                <w:sz w:val="15"/>
                <w:szCs w:val="15"/>
                <w:color w:val="auto"/>
              </w:rPr>
            </w:pPr>
          </w:p>
        </w:tc>
      </w:tr>
      <w:tr>
        <w:trPr>
          <w:trHeight w:val="183"/>
        </w:trPr>
        <w:tc>
          <w:tcPr>
            <w:tcW w:w="560" w:type="dxa"/>
            <w:vAlign w:val="bottom"/>
          </w:tcPr>
          <w:p>
            <w:pPr>
              <w:spacing w:after="0"/>
              <w:rPr>
                <w:sz w:val="15"/>
                <w:szCs w:val="15"/>
                <w:color w:val="auto"/>
              </w:rPr>
            </w:pPr>
          </w:p>
        </w:tc>
        <w:tc>
          <w:tcPr>
            <w:tcW w:w="3340" w:type="dxa"/>
            <w:vAlign w:val="bottom"/>
          </w:tcPr>
          <w:p>
            <w:pPr>
              <w:ind w:left="160"/>
              <w:spacing w:after="0"/>
              <w:rPr>
                <w:sz w:val="20"/>
                <w:szCs w:val="20"/>
                <w:color w:val="auto"/>
              </w:rPr>
            </w:pPr>
            <w:r>
              <w:rPr>
                <w:rFonts w:ascii="Calibri" w:cs="Calibri" w:eastAsia="Calibri" w:hAnsi="Calibri"/>
                <w:sz w:val="15"/>
                <w:szCs w:val="15"/>
                <w:color w:val="auto"/>
              </w:rPr>
              <w:t>Foreign</w:t>
            </w:r>
          </w:p>
        </w:tc>
        <w:tc>
          <w:tcPr>
            <w:tcW w:w="2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alibri" w:cs="Calibri" w:eastAsia="Calibri" w:hAnsi="Calibri"/>
                <w:sz w:val="15"/>
                <w:szCs w:val="15"/>
                <w:color w:val="auto"/>
              </w:rPr>
              <w:t>1,055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alibri" w:cs="Calibri" w:eastAsia="Calibri" w:hAnsi="Calibri"/>
                <w:sz w:val="15"/>
                <w:szCs w:val="15"/>
                <w:color w:val="auto"/>
              </w:rPr>
              <w:t>1,149</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alibri" w:cs="Calibri" w:eastAsia="Calibri" w:hAnsi="Calibri"/>
                <w:sz w:val="15"/>
                <w:szCs w:val="15"/>
                <w:color w:val="auto"/>
              </w:rPr>
              <w:t>1,323</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4"/>
        </w:trPr>
        <w:tc>
          <w:tcPr>
            <w:tcW w:w="5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24"/>
        </w:trPr>
        <w:tc>
          <w:tcPr>
            <w:tcW w:w="560" w:type="dxa"/>
            <w:vAlign w:val="bottom"/>
          </w:tcPr>
          <w:p>
            <w:pPr>
              <w:spacing w:after="0"/>
              <w:rPr>
                <w:sz w:val="19"/>
                <w:szCs w:val="19"/>
                <w:color w:val="auto"/>
              </w:rPr>
            </w:pPr>
          </w:p>
        </w:tc>
        <w:tc>
          <w:tcPr>
            <w:tcW w:w="3340" w:type="dxa"/>
            <w:vAlign w:val="bottom"/>
            <w:tcBorders>
              <w:bottom w:val="single" w:sz="8" w:color="CFF0FC"/>
            </w:tcBorders>
            <w:shd w:val="clear" w:color="auto" w:fill="CFF0FC"/>
          </w:tcPr>
          <w:p>
            <w:pPr>
              <w:spacing w:after="0" w:line="174" w:lineRule="exact"/>
              <w:rPr>
                <w:sz w:val="20"/>
                <w:szCs w:val="20"/>
                <w:color w:val="auto"/>
              </w:rPr>
            </w:pPr>
            <w:r>
              <w:rPr>
                <w:rFonts w:ascii="Calibri" w:cs="Calibri" w:eastAsia="Calibri" w:hAnsi="Calibri"/>
                <w:sz w:val="15"/>
                <w:szCs w:val="15"/>
                <w:color w:val="auto"/>
              </w:rPr>
              <w:t>Income before income taxes</w:t>
            </w:r>
          </w:p>
        </w:tc>
        <w:tc>
          <w:tcPr>
            <w:tcW w:w="26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jc w:val="right"/>
              <w:ind w:right="123"/>
              <w:spacing w:after="0" w:line="174" w:lineRule="exact"/>
              <w:rPr>
                <w:sz w:val="20"/>
                <w:szCs w:val="20"/>
                <w:color w:val="auto"/>
              </w:rPr>
            </w:pPr>
            <w:r>
              <w:rPr>
                <w:rFonts w:ascii="Calibri" w:cs="Calibri" w:eastAsia="Calibri" w:hAnsi="Calibri"/>
                <w:sz w:val="15"/>
                <w:szCs w:val="15"/>
                <w:color w:val="auto"/>
                <w:w w:val="78"/>
              </w:rPr>
              <w:t>$</w:t>
            </w:r>
          </w:p>
        </w:tc>
        <w:tc>
          <w:tcPr>
            <w:tcW w:w="920" w:type="dxa"/>
            <w:vAlign w:val="bottom"/>
            <w:tcBorders>
              <w:bottom w:val="single" w:sz="8" w:color="CFF0FC"/>
            </w:tcBorders>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51,687</w:t>
            </w:r>
          </w:p>
        </w:tc>
        <w:tc>
          <w:tcPr>
            <w:tcW w:w="12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gridSpan w:val="2"/>
            <w:shd w:val="clear" w:color="auto" w:fill="CFF0FC"/>
          </w:tcPr>
          <w:p>
            <w:pPr>
              <w:jc w:val="right"/>
              <w:ind w:right="180"/>
              <w:spacing w:after="0" w:line="174" w:lineRule="exact"/>
              <w:rPr>
                <w:sz w:val="20"/>
                <w:szCs w:val="20"/>
                <w:color w:val="auto"/>
              </w:rPr>
            </w:pPr>
            <w:r>
              <w:rPr>
                <w:rFonts w:ascii="Calibri" w:cs="Calibri" w:eastAsia="Calibri" w:hAnsi="Calibri"/>
                <w:sz w:val="15"/>
                <w:szCs w:val="15"/>
                <w:color w:val="auto"/>
              </w:rPr>
              <w:t>$</w:t>
            </w:r>
          </w:p>
        </w:tc>
        <w:tc>
          <w:tcPr>
            <w:tcW w:w="920" w:type="dxa"/>
            <w:vAlign w:val="bottom"/>
            <w:tcBorders>
              <w:bottom w:val="single" w:sz="8" w:color="CFF0FC"/>
            </w:tcBorders>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111,362</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jc w:val="right"/>
              <w:ind w:right="123"/>
              <w:spacing w:after="0" w:line="174" w:lineRule="exact"/>
              <w:rPr>
                <w:sz w:val="20"/>
                <w:szCs w:val="20"/>
                <w:color w:val="auto"/>
              </w:rPr>
            </w:pPr>
            <w:r>
              <w:rPr>
                <w:rFonts w:ascii="Calibri" w:cs="Calibri" w:eastAsia="Calibri" w:hAnsi="Calibri"/>
                <w:sz w:val="15"/>
                <w:szCs w:val="15"/>
                <w:color w:val="auto"/>
                <w:w w:val="78"/>
              </w:rPr>
              <w:t>$</w:t>
            </w:r>
          </w:p>
        </w:tc>
        <w:tc>
          <w:tcPr>
            <w:tcW w:w="900" w:type="dxa"/>
            <w:vAlign w:val="bottom"/>
            <w:tcBorders>
              <w:bottom w:val="single" w:sz="8" w:color="CFF0FC"/>
            </w:tcBorders>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149,360</w:t>
            </w:r>
          </w:p>
        </w:tc>
        <w:tc>
          <w:tcPr>
            <w:tcW w:w="100" w:type="dxa"/>
            <w:vAlign w:val="bottom"/>
            <w:tcBorders>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0"/>
        </w:trPr>
        <w:tc>
          <w:tcPr>
            <w:tcW w:w="560" w:type="dxa"/>
            <w:vAlign w:val="bottom"/>
          </w:tcPr>
          <w:p>
            <w:pPr>
              <w:spacing w:after="0" w:line="20" w:lineRule="exact"/>
              <w:rPr>
                <w:sz w:val="1"/>
                <w:szCs w:val="1"/>
                <w:color w:val="auto"/>
              </w:rPr>
            </w:pPr>
          </w:p>
        </w:tc>
        <w:tc>
          <w:tcPr>
            <w:tcW w:w="3340" w:type="dxa"/>
            <w:vAlign w:val="bottom"/>
            <w:tcBorders>
              <w:top w:val="single" w:sz="8" w:color="CFF0FC"/>
            </w:tcBorders>
            <w:shd w:val="clear" w:color="auto" w:fill="CFF0FC"/>
          </w:tcPr>
          <w:p>
            <w:pPr>
              <w:spacing w:after="0" w:line="20" w:lineRule="exact"/>
              <w:rPr>
                <w:sz w:val="1"/>
                <w:szCs w:val="1"/>
                <w:color w:val="auto"/>
              </w:rPr>
            </w:pPr>
          </w:p>
        </w:tc>
        <w:tc>
          <w:tcPr>
            <w:tcW w:w="26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23"/>
        </w:trPr>
        <w:tc>
          <w:tcPr>
            <w:tcW w:w="9420" w:type="dxa"/>
            <w:vAlign w:val="bottom"/>
            <w:gridSpan w:val="10"/>
          </w:tcPr>
          <w:p>
            <w:pPr>
              <w:jc w:val="right"/>
              <w:ind w:right="600"/>
              <w:spacing w:after="0"/>
              <w:rPr>
                <w:sz w:val="20"/>
                <w:szCs w:val="20"/>
                <w:color w:val="auto"/>
              </w:rPr>
            </w:pPr>
            <w:r>
              <w:rPr>
                <w:rFonts w:ascii="Calibri" w:cs="Calibri" w:eastAsia="Calibri" w:hAnsi="Calibri"/>
                <w:sz w:val="15"/>
                <w:szCs w:val="15"/>
                <w:color w:val="auto"/>
              </w:rPr>
              <w:t>For the years ended December 31, 2023, 2022, and 2021, the components of the provision for (beneft from) income taxes are as follows:</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533"/>
        </w:trPr>
        <w:tc>
          <w:tcPr>
            <w:tcW w:w="5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4"/>
          </w:tcPr>
          <w:p>
            <w:pPr>
              <w:jc w:val="right"/>
              <w:ind w:right="220"/>
              <w:spacing w:after="0"/>
              <w:rPr>
                <w:sz w:val="20"/>
                <w:szCs w:val="20"/>
                <w:color w:val="auto"/>
              </w:rPr>
            </w:pPr>
            <w:r>
              <w:rPr>
                <w:rFonts w:ascii="Calibri" w:cs="Calibri" w:eastAsia="Calibri" w:hAnsi="Calibri"/>
                <w:sz w:val="12"/>
                <w:szCs w:val="12"/>
                <w:b w:val="1"/>
                <w:bCs w:val="1"/>
                <w:color w:val="auto"/>
              </w:rPr>
              <w:t>Year Ended December 31,</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8"/>
        </w:trPr>
        <w:tc>
          <w:tcPr>
            <w:tcW w:w="5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137"/>
        </w:trPr>
        <w:tc>
          <w:tcPr>
            <w:tcW w:w="56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jc w:val="right"/>
              <w:ind w:right="406"/>
              <w:spacing w:after="0" w:line="138" w:lineRule="exact"/>
              <w:rPr>
                <w:sz w:val="20"/>
                <w:szCs w:val="20"/>
                <w:color w:val="auto"/>
              </w:rPr>
            </w:pPr>
            <w:r>
              <w:rPr>
                <w:rFonts w:ascii="Calibri" w:cs="Calibri" w:eastAsia="Calibri" w:hAnsi="Calibri"/>
                <w:sz w:val="12"/>
                <w:szCs w:val="12"/>
                <w:b w:val="1"/>
                <w:bCs w:val="1"/>
                <w:color w:val="auto"/>
              </w:rPr>
              <w:t>2023</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jc w:val="right"/>
              <w:ind w:right="406"/>
              <w:spacing w:after="0" w:line="138" w:lineRule="exact"/>
              <w:rPr>
                <w:sz w:val="20"/>
                <w:szCs w:val="20"/>
                <w:color w:val="auto"/>
              </w:rPr>
            </w:pPr>
            <w:r>
              <w:rPr>
                <w:rFonts w:ascii="Calibri" w:cs="Calibri" w:eastAsia="Calibri" w:hAnsi="Calibri"/>
                <w:sz w:val="12"/>
                <w:szCs w:val="12"/>
                <w:b w:val="1"/>
                <w:bCs w:val="1"/>
                <w:color w:val="auto"/>
              </w:rPr>
              <w:t>2022</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jc w:val="right"/>
              <w:ind w:right="386"/>
              <w:spacing w:after="0" w:line="138" w:lineRule="exact"/>
              <w:rPr>
                <w:sz w:val="20"/>
                <w:szCs w:val="20"/>
                <w:color w:val="auto"/>
              </w:rPr>
            </w:pPr>
            <w:r>
              <w:rPr>
                <w:rFonts w:ascii="Calibri" w:cs="Calibri" w:eastAsia="Calibri" w:hAnsi="Calibri"/>
                <w:sz w:val="12"/>
                <w:szCs w:val="12"/>
                <w:b w:val="1"/>
                <w:bCs w:val="1"/>
                <w:color w:val="auto"/>
              </w:rPr>
              <w:t>2021</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27"/>
        </w:trPr>
        <w:tc>
          <w:tcPr>
            <w:tcW w:w="5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179"/>
        </w:trPr>
        <w:tc>
          <w:tcPr>
            <w:tcW w:w="560" w:type="dxa"/>
            <w:vAlign w:val="bottom"/>
          </w:tcPr>
          <w:p>
            <w:pPr>
              <w:spacing w:after="0"/>
              <w:rPr>
                <w:sz w:val="15"/>
                <w:szCs w:val="15"/>
                <w:color w:val="auto"/>
              </w:rPr>
            </w:pPr>
          </w:p>
        </w:tc>
        <w:tc>
          <w:tcPr>
            <w:tcW w:w="3340" w:type="dxa"/>
            <w:vAlign w:val="bottom"/>
            <w:tcBorders>
              <w:bottom w:val="single" w:sz="8" w:color="CFF0FC"/>
            </w:tcBorders>
            <w:shd w:val="clear" w:color="auto" w:fill="CFF0FC"/>
          </w:tcPr>
          <w:p>
            <w:pPr>
              <w:spacing w:after="0" w:line="174" w:lineRule="exact"/>
              <w:rPr>
                <w:sz w:val="20"/>
                <w:szCs w:val="20"/>
                <w:color w:val="auto"/>
              </w:rPr>
            </w:pPr>
            <w:r>
              <w:rPr>
                <w:rFonts w:ascii="Calibri" w:cs="Calibri" w:eastAsia="Calibri" w:hAnsi="Calibri"/>
                <w:sz w:val="15"/>
                <w:szCs w:val="15"/>
                <w:color w:val="auto"/>
              </w:rPr>
              <w:t>Current provision:</w:t>
            </w:r>
          </w:p>
        </w:tc>
        <w:tc>
          <w:tcPr>
            <w:tcW w:w="262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560" w:type="dxa"/>
            <w:vAlign w:val="bottom"/>
          </w:tcPr>
          <w:p>
            <w:pPr>
              <w:spacing w:after="0"/>
              <w:rPr>
                <w:sz w:val="15"/>
                <w:szCs w:val="15"/>
                <w:color w:val="auto"/>
              </w:rPr>
            </w:pPr>
          </w:p>
        </w:tc>
      </w:tr>
      <w:tr>
        <w:trPr>
          <w:trHeight w:val="183"/>
        </w:trPr>
        <w:tc>
          <w:tcPr>
            <w:tcW w:w="560" w:type="dxa"/>
            <w:vAlign w:val="bottom"/>
          </w:tcPr>
          <w:p>
            <w:pPr>
              <w:spacing w:after="0"/>
              <w:rPr>
                <w:sz w:val="15"/>
                <w:szCs w:val="15"/>
                <w:color w:val="auto"/>
              </w:rPr>
            </w:pPr>
          </w:p>
        </w:tc>
        <w:tc>
          <w:tcPr>
            <w:tcW w:w="3340" w:type="dxa"/>
            <w:vAlign w:val="bottom"/>
          </w:tcPr>
          <w:p>
            <w:pPr>
              <w:ind w:left="160"/>
              <w:spacing w:after="0"/>
              <w:rPr>
                <w:sz w:val="20"/>
                <w:szCs w:val="20"/>
                <w:color w:val="auto"/>
              </w:rPr>
            </w:pPr>
            <w:r>
              <w:rPr>
                <w:rFonts w:ascii="Calibri" w:cs="Calibri" w:eastAsia="Calibri" w:hAnsi="Calibri"/>
                <w:sz w:val="15"/>
                <w:szCs w:val="15"/>
                <w:color w:val="auto"/>
              </w:rPr>
              <w:t>Federal</w:t>
            </w:r>
          </w:p>
        </w:tc>
        <w:tc>
          <w:tcPr>
            <w:tcW w:w="2900" w:type="dxa"/>
            <w:vAlign w:val="bottom"/>
            <w:gridSpan w:val="2"/>
          </w:tcPr>
          <w:p>
            <w:pPr>
              <w:jc w:val="right"/>
              <w:ind w:right="123"/>
              <w:spacing w:after="0"/>
              <w:rPr>
                <w:sz w:val="20"/>
                <w:szCs w:val="20"/>
                <w:color w:val="auto"/>
              </w:rPr>
            </w:pPr>
            <w:r>
              <w:rPr>
                <w:rFonts w:ascii="Calibri" w:cs="Calibri" w:eastAsia="Calibri" w:hAnsi="Calibri"/>
                <w:sz w:val="15"/>
                <w:szCs w:val="15"/>
                <w:color w:val="auto"/>
              </w:rPr>
              <w:t>$</w:t>
            </w:r>
          </w:p>
        </w:tc>
        <w:tc>
          <w:tcPr>
            <w:tcW w:w="920" w:type="dxa"/>
            <w:vAlign w:val="bottom"/>
          </w:tcPr>
          <w:p>
            <w:pPr>
              <w:jc w:val="right"/>
              <w:spacing w:after="0"/>
              <w:rPr>
                <w:sz w:val="20"/>
                <w:szCs w:val="20"/>
                <w:color w:val="auto"/>
              </w:rPr>
            </w:pPr>
            <w:r>
              <w:rPr>
                <w:rFonts w:ascii="Calibri" w:cs="Calibri" w:eastAsia="Calibri" w:hAnsi="Calibri"/>
                <w:sz w:val="15"/>
                <w:szCs w:val="15"/>
                <w:color w:val="auto"/>
              </w:rPr>
              <w:t>52,352</w:t>
            </w:r>
          </w:p>
        </w:tc>
        <w:tc>
          <w:tcPr>
            <w:tcW w:w="120" w:type="dxa"/>
            <w:vAlign w:val="bottom"/>
          </w:tcPr>
          <w:p>
            <w:pPr>
              <w:spacing w:after="0"/>
              <w:rPr>
                <w:sz w:val="15"/>
                <w:szCs w:val="15"/>
                <w:color w:val="auto"/>
              </w:rPr>
            </w:pPr>
          </w:p>
        </w:tc>
        <w:tc>
          <w:tcPr>
            <w:tcW w:w="420" w:type="dxa"/>
            <w:vAlign w:val="bottom"/>
            <w:gridSpan w:val="2"/>
          </w:tcPr>
          <w:p>
            <w:pPr>
              <w:jc w:val="right"/>
              <w:ind w:right="180"/>
              <w:spacing w:after="0"/>
              <w:rPr>
                <w:sz w:val="20"/>
                <w:szCs w:val="20"/>
                <w:color w:val="auto"/>
              </w:rPr>
            </w:pPr>
            <w:r>
              <w:rPr>
                <w:rFonts w:ascii="Calibri" w:cs="Calibri" w:eastAsia="Calibri" w:hAnsi="Calibri"/>
                <w:sz w:val="15"/>
                <w:szCs w:val="15"/>
                <w:color w:val="auto"/>
              </w:rPr>
              <w:t>$</w:t>
            </w:r>
          </w:p>
        </w:tc>
        <w:tc>
          <w:tcPr>
            <w:tcW w:w="920" w:type="dxa"/>
            <w:vAlign w:val="bottom"/>
          </w:tcPr>
          <w:p>
            <w:pPr>
              <w:jc w:val="right"/>
              <w:spacing w:after="0"/>
              <w:rPr>
                <w:sz w:val="20"/>
                <w:szCs w:val="20"/>
                <w:color w:val="auto"/>
              </w:rPr>
            </w:pPr>
            <w:r>
              <w:rPr>
                <w:rFonts w:ascii="Calibri" w:cs="Calibri" w:eastAsia="Calibri" w:hAnsi="Calibri"/>
                <w:sz w:val="15"/>
                <w:szCs w:val="15"/>
                <w:color w:val="auto"/>
              </w:rPr>
              <w:t>43,207</w:t>
            </w:r>
          </w:p>
        </w:tc>
        <w:tc>
          <w:tcPr>
            <w:tcW w:w="240" w:type="dxa"/>
            <w:vAlign w:val="bottom"/>
          </w:tcPr>
          <w:p>
            <w:pPr>
              <w:spacing w:after="0"/>
              <w:rPr>
                <w:sz w:val="15"/>
                <w:szCs w:val="15"/>
                <w:color w:val="auto"/>
              </w:rPr>
            </w:pPr>
          </w:p>
        </w:tc>
        <w:tc>
          <w:tcPr>
            <w:tcW w:w="280" w:type="dxa"/>
            <w:vAlign w:val="bottom"/>
          </w:tcPr>
          <w:p>
            <w:pPr>
              <w:jc w:val="right"/>
              <w:ind w:right="123"/>
              <w:spacing w:after="0"/>
              <w:rPr>
                <w:sz w:val="20"/>
                <w:szCs w:val="20"/>
                <w:color w:val="auto"/>
              </w:rPr>
            </w:pPr>
            <w:r>
              <w:rPr>
                <w:rFonts w:ascii="Calibri" w:cs="Calibri" w:eastAsia="Calibri" w:hAnsi="Calibri"/>
                <w:sz w:val="15"/>
                <w:szCs w:val="15"/>
                <w:color w:val="auto"/>
                <w:w w:val="78"/>
              </w:rPr>
              <w:t>$</w:t>
            </w:r>
          </w:p>
        </w:tc>
        <w:tc>
          <w:tcPr>
            <w:tcW w:w="900" w:type="dxa"/>
            <w:vAlign w:val="bottom"/>
          </w:tcPr>
          <w:p>
            <w:pPr>
              <w:jc w:val="right"/>
              <w:spacing w:after="0"/>
              <w:rPr>
                <w:sz w:val="20"/>
                <w:szCs w:val="20"/>
                <w:color w:val="auto"/>
              </w:rPr>
            </w:pPr>
            <w:r>
              <w:rPr>
                <w:rFonts w:ascii="Calibri" w:cs="Calibri" w:eastAsia="Calibri" w:hAnsi="Calibri"/>
                <w:sz w:val="15"/>
                <w:szCs w:val="15"/>
                <w:color w:val="auto"/>
              </w:rPr>
              <w:t>22,133</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4"/>
        </w:trPr>
        <w:tc>
          <w:tcPr>
            <w:tcW w:w="5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187"/>
        </w:trPr>
        <w:tc>
          <w:tcPr>
            <w:tcW w:w="560" w:type="dxa"/>
            <w:vAlign w:val="bottom"/>
          </w:tcPr>
          <w:p>
            <w:pPr>
              <w:spacing w:after="0"/>
              <w:rPr>
                <w:sz w:val="16"/>
                <w:szCs w:val="16"/>
                <w:color w:val="auto"/>
              </w:rPr>
            </w:pPr>
          </w:p>
        </w:tc>
        <w:tc>
          <w:tcPr>
            <w:tcW w:w="3340" w:type="dxa"/>
            <w:vAlign w:val="bottom"/>
            <w:tcBorders>
              <w:bottom w:val="single" w:sz="8" w:color="CFF0FC"/>
            </w:tcBorders>
            <w:shd w:val="clear" w:color="auto" w:fill="CFF0FC"/>
          </w:tcPr>
          <w:p>
            <w:pPr>
              <w:ind w:left="160"/>
              <w:spacing w:after="0"/>
              <w:rPr>
                <w:sz w:val="20"/>
                <w:szCs w:val="20"/>
                <w:color w:val="auto"/>
              </w:rPr>
            </w:pPr>
            <w:r>
              <w:rPr>
                <w:rFonts w:ascii="Calibri" w:cs="Calibri" w:eastAsia="Calibri" w:hAnsi="Calibri"/>
                <w:sz w:val="15"/>
                <w:szCs w:val="15"/>
                <w:color w:val="auto"/>
              </w:rPr>
              <w:t>State</w:t>
            </w:r>
          </w:p>
        </w:tc>
        <w:tc>
          <w:tcPr>
            <w:tcW w:w="262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14,614</w:t>
            </w:r>
          </w:p>
        </w:tc>
        <w:tc>
          <w:tcPr>
            <w:tcW w:w="1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11,140</w:t>
            </w:r>
          </w:p>
        </w:tc>
        <w:tc>
          <w:tcPr>
            <w:tcW w:w="24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10,438</w:t>
            </w:r>
          </w:p>
        </w:tc>
        <w:tc>
          <w:tcPr>
            <w:tcW w:w="100" w:type="dxa"/>
            <w:vAlign w:val="bottom"/>
            <w:tcBorders>
              <w:bottom w:val="single" w:sz="8" w:color="CFF0FC"/>
            </w:tcBorders>
            <w:shd w:val="clear" w:color="auto" w:fill="CFF0FC"/>
          </w:tcPr>
          <w:p>
            <w:pPr>
              <w:spacing w:after="0"/>
              <w:rPr>
                <w:sz w:val="16"/>
                <w:szCs w:val="16"/>
                <w:color w:val="auto"/>
              </w:rPr>
            </w:pPr>
          </w:p>
        </w:tc>
        <w:tc>
          <w:tcPr>
            <w:tcW w:w="560" w:type="dxa"/>
            <w:vAlign w:val="bottom"/>
          </w:tcPr>
          <w:p>
            <w:pPr>
              <w:spacing w:after="0"/>
              <w:rPr>
                <w:sz w:val="16"/>
                <w:szCs w:val="16"/>
                <w:color w:val="auto"/>
              </w:rPr>
            </w:pPr>
          </w:p>
        </w:tc>
      </w:tr>
      <w:tr>
        <w:trPr>
          <w:trHeight w:val="183"/>
        </w:trPr>
        <w:tc>
          <w:tcPr>
            <w:tcW w:w="560" w:type="dxa"/>
            <w:vAlign w:val="bottom"/>
          </w:tcPr>
          <w:p>
            <w:pPr>
              <w:spacing w:after="0"/>
              <w:rPr>
                <w:sz w:val="15"/>
                <w:szCs w:val="15"/>
                <w:color w:val="auto"/>
              </w:rPr>
            </w:pPr>
          </w:p>
        </w:tc>
        <w:tc>
          <w:tcPr>
            <w:tcW w:w="3340" w:type="dxa"/>
            <w:vAlign w:val="bottom"/>
          </w:tcPr>
          <w:p>
            <w:pPr>
              <w:ind w:left="160"/>
              <w:spacing w:after="0"/>
              <w:rPr>
                <w:sz w:val="20"/>
                <w:szCs w:val="20"/>
                <w:color w:val="auto"/>
              </w:rPr>
            </w:pPr>
            <w:r>
              <w:rPr>
                <w:rFonts w:ascii="Calibri" w:cs="Calibri" w:eastAsia="Calibri" w:hAnsi="Calibri"/>
                <w:sz w:val="15"/>
                <w:szCs w:val="15"/>
                <w:color w:val="auto"/>
              </w:rPr>
              <w:t>Foreign</w:t>
            </w:r>
          </w:p>
        </w:tc>
        <w:tc>
          <w:tcPr>
            <w:tcW w:w="2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alibri" w:cs="Calibri" w:eastAsia="Calibri" w:hAnsi="Calibri"/>
                <w:sz w:val="15"/>
                <w:szCs w:val="15"/>
                <w:color w:val="auto"/>
              </w:rPr>
              <w:t>532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alibri" w:cs="Calibri" w:eastAsia="Calibri" w:hAnsi="Calibri"/>
                <w:sz w:val="15"/>
                <w:szCs w:val="15"/>
                <w:color w:val="auto"/>
              </w:rPr>
              <w:t>175</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alibri" w:cs="Calibri" w:eastAsia="Calibri" w:hAnsi="Calibri"/>
                <w:sz w:val="15"/>
                <w:szCs w:val="15"/>
                <w:color w:val="auto"/>
              </w:rPr>
              <w:t>253</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4"/>
        </w:trPr>
        <w:tc>
          <w:tcPr>
            <w:tcW w:w="5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04"/>
        </w:trPr>
        <w:tc>
          <w:tcPr>
            <w:tcW w:w="560" w:type="dxa"/>
            <w:vAlign w:val="bottom"/>
          </w:tcPr>
          <w:p>
            <w:pPr>
              <w:spacing w:after="0"/>
              <w:rPr>
                <w:sz w:val="17"/>
                <w:szCs w:val="17"/>
                <w:color w:val="auto"/>
              </w:rPr>
            </w:pPr>
          </w:p>
        </w:tc>
        <w:tc>
          <w:tcPr>
            <w:tcW w:w="3340" w:type="dxa"/>
            <w:vAlign w:val="bottom"/>
            <w:tcBorders>
              <w:bottom w:val="single" w:sz="8" w:color="CFF0FC"/>
            </w:tcBorders>
            <w:shd w:val="clear" w:color="auto" w:fill="CFF0FC"/>
          </w:tcPr>
          <w:p>
            <w:pPr>
              <w:spacing w:after="0"/>
              <w:rPr>
                <w:sz w:val="17"/>
                <w:szCs w:val="17"/>
                <w:color w:val="auto"/>
              </w:rPr>
            </w:pPr>
          </w:p>
        </w:tc>
        <w:tc>
          <w:tcPr>
            <w:tcW w:w="26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CFF0FC"/>
            </w:tcBorders>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67,498</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CFF0FC"/>
            </w:tcBorders>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54,522</w:t>
            </w:r>
          </w:p>
        </w:tc>
        <w:tc>
          <w:tcPr>
            <w:tcW w:w="2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CFF0FC"/>
            </w:tcBorders>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32,824</w:t>
            </w:r>
          </w:p>
        </w:tc>
        <w:tc>
          <w:tcPr>
            <w:tcW w:w="100" w:type="dxa"/>
            <w:vAlign w:val="bottom"/>
            <w:tcBorders>
              <w:bottom w:val="single" w:sz="8" w:color="CFF0FC"/>
            </w:tcBorders>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175"/>
        </w:trPr>
        <w:tc>
          <w:tcPr>
            <w:tcW w:w="560" w:type="dxa"/>
            <w:vAlign w:val="bottom"/>
          </w:tcPr>
          <w:p>
            <w:pPr>
              <w:spacing w:after="0"/>
              <w:rPr>
                <w:sz w:val="15"/>
                <w:szCs w:val="15"/>
                <w:color w:val="auto"/>
              </w:rPr>
            </w:pPr>
          </w:p>
        </w:tc>
        <w:tc>
          <w:tcPr>
            <w:tcW w:w="3340" w:type="dxa"/>
            <w:vAlign w:val="bottom"/>
            <w:tcBorders>
              <w:top w:val="single" w:sz="8" w:color="CFF0FC"/>
            </w:tcBorders>
          </w:tcPr>
          <w:p>
            <w:pPr>
              <w:spacing w:after="0" w:line="174" w:lineRule="exact"/>
              <w:rPr>
                <w:sz w:val="20"/>
                <w:szCs w:val="20"/>
                <w:color w:val="auto"/>
              </w:rPr>
            </w:pPr>
            <w:r>
              <w:rPr>
                <w:rFonts w:ascii="Calibri" w:cs="Calibri" w:eastAsia="Calibri" w:hAnsi="Calibri"/>
                <w:sz w:val="15"/>
                <w:szCs w:val="15"/>
                <w:color w:val="auto"/>
              </w:rPr>
              <w:t>Deferred (beneft) provision:</w:t>
            </w:r>
          </w:p>
        </w:tc>
        <w:tc>
          <w:tcPr>
            <w:tcW w:w="2620" w:type="dxa"/>
            <w:vAlign w:val="bottom"/>
            <w:tcBorders>
              <w:top w:val="single" w:sz="8" w:color="CFF0FC"/>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560" w:type="dxa"/>
            <w:vAlign w:val="bottom"/>
          </w:tcPr>
          <w:p>
            <w:pPr>
              <w:spacing w:after="0"/>
              <w:rPr>
                <w:sz w:val="15"/>
                <w:szCs w:val="15"/>
                <w:color w:val="auto"/>
              </w:rPr>
            </w:pPr>
          </w:p>
        </w:tc>
      </w:tr>
      <w:tr>
        <w:trPr>
          <w:trHeight w:val="24"/>
        </w:trPr>
        <w:tc>
          <w:tcPr>
            <w:tcW w:w="5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187"/>
        </w:trPr>
        <w:tc>
          <w:tcPr>
            <w:tcW w:w="560" w:type="dxa"/>
            <w:vAlign w:val="bottom"/>
          </w:tcPr>
          <w:p>
            <w:pPr>
              <w:spacing w:after="0"/>
              <w:rPr>
                <w:sz w:val="16"/>
                <w:szCs w:val="16"/>
                <w:color w:val="auto"/>
              </w:rPr>
            </w:pPr>
          </w:p>
        </w:tc>
        <w:tc>
          <w:tcPr>
            <w:tcW w:w="3340" w:type="dxa"/>
            <w:vAlign w:val="bottom"/>
            <w:tcBorders>
              <w:bottom w:val="single" w:sz="8" w:color="CFF0FC"/>
            </w:tcBorders>
            <w:shd w:val="clear" w:color="auto" w:fill="CFF0FC"/>
          </w:tcPr>
          <w:p>
            <w:pPr>
              <w:ind w:left="160"/>
              <w:spacing w:after="0"/>
              <w:rPr>
                <w:sz w:val="20"/>
                <w:szCs w:val="20"/>
                <w:color w:val="auto"/>
              </w:rPr>
            </w:pPr>
            <w:r>
              <w:rPr>
                <w:rFonts w:ascii="Calibri" w:cs="Calibri" w:eastAsia="Calibri" w:hAnsi="Calibri"/>
                <w:sz w:val="15"/>
                <w:szCs w:val="15"/>
                <w:color w:val="auto"/>
              </w:rPr>
              <w:t>Federal</w:t>
            </w:r>
          </w:p>
        </w:tc>
        <w:tc>
          <w:tcPr>
            <w:tcW w:w="262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1040" w:type="dxa"/>
            <w:vAlign w:val="bottom"/>
            <w:tcBorders>
              <w:bottom w:val="single" w:sz="8" w:color="CFF0FC"/>
            </w:tcBorders>
            <w:gridSpan w:val="2"/>
            <w:shd w:val="clear" w:color="auto" w:fill="CFF0FC"/>
          </w:tcPr>
          <w:p>
            <w:pPr>
              <w:jc w:val="right"/>
              <w:ind w:right="60"/>
              <w:spacing w:after="0"/>
              <w:rPr>
                <w:sz w:val="20"/>
                <w:szCs w:val="20"/>
                <w:color w:val="auto"/>
              </w:rPr>
            </w:pPr>
            <w:r>
              <w:rPr>
                <w:rFonts w:ascii="Calibri" w:cs="Calibri" w:eastAsia="Calibri" w:hAnsi="Calibri"/>
                <w:sz w:val="15"/>
                <w:szCs w:val="15"/>
                <w:color w:val="auto"/>
              </w:rPr>
              <w:t>(37,583 )</w:t>
            </w:r>
          </w:p>
        </w:tc>
        <w:tc>
          <w:tcPr>
            <w:tcW w:w="14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116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Calibri" w:cs="Calibri" w:eastAsia="Calibri" w:hAnsi="Calibri"/>
                <w:sz w:val="15"/>
                <w:szCs w:val="15"/>
                <w:color w:val="auto"/>
              </w:rPr>
              <w:t>(20,278 )</w:t>
            </w:r>
          </w:p>
        </w:tc>
        <w:tc>
          <w:tcPr>
            <w:tcW w:w="280" w:type="dxa"/>
            <w:vAlign w:val="bottom"/>
            <w:tcBorders>
              <w:bottom w:val="single" w:sz="8" w:color="CFF0FC"/>
            </w:tcBorders>
            <w:shd w:val="clear" w:color="auto" w:fill="CFF0FC"/>
          </w:tcPr>
          <w:p>
            <w:pPr>
              <w:spacing w:after="0"/>
              <w:rPr>
                <w:sz w:val="16"/>
                <w:szCs w:val="16"/>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5,698</w:t>
            </w:r>
          </w:p>
        </w:tc>
        <w:tc>
          <w:tcPr>
            <w:tcW w:w="100" w:type="dxa"/>
            <w:vAlign w:val="bottom"/>
            <w:tcBorders>
              <w:bottom w:val="single" w:sz="8" w:color="CFF0FC"/>
            </w:tcBorders>
            <w:shd w:val="clear" w:color="auto" w:fill="CFF0FC"/>
          </w:tcPr>
          <w:p>
            <w:pPr>
              <w:spacing w:after="0"/>
              <w:rPr>
                <w:sz w:val="16"/>
                <w:szCs w:val="16"/>
                <w:color w:val="auto"/>
              </w:rPr>
            </w:pPr>
          </w:p>
        </w:tc>
        <w:tc>
          <w:tcPr>
            <w:tcW w:w="560" w:type="dxa"/>
            <w:vAlign w:val="bottom"/>
          </w:tcPr>
          <w:p>
            <w:pPr>
              <w:spacing w:after="0"/>
              <w:rPr>
                <w:sz w:val="16"/>
                <w:szCs w:val="16"/>
                <w:color w:val="auto"/>
              </w:rPr>
            </w:pPr>
          </w:p>
        </w:tc>
      </w:tr>
      <w:tr>
        <w:trPr>
          <w:trHeight w:val="183"/>
        </w:trPr>
        <w:tc>
          <w:tcPr>
            <w:tcW w:w="560" w:type="dxa"/>
            <w:vAlign w:val="bottom"/>
          </w:tcPr>
          <w:p>
            <w:pPr>
              <w:spacing w:after="0"/>
              <w:rPr>
                <w:sz w:val="15"/>
                <w:szCs w:val="15"/>
                <w:color w:val="auto"/>
              </w:rPr>
            </w:pPr>
          </w:p>
        </w:tc>
        <w:tc>
          <w:tcPr>
            <w:tcW w:w="3340" w:type="dxa"/>
            <w:vAlign w:val="bottom"/>
          </w:tcPr>
          <w:p>
            <w:pPr>
              <w:ind w:left="160"/>
              <w:spacing w:after="0"/>
              <w:rPr>
                <w:sz w:val="20"/>
                <w:szCs w:val="20"/>
                <w:color w:val="auto"/>
              </w:rPr>
            </w:pPr>
            <w:r>
              <w:rPr>
                <w:rFonts w:ascii="Calibri" w:cs="Calibri" w:eastAsia="Calibri" w:hAnsi="Calibri"/>
                <w:sz w:val="15"/>
                <w:szCs w:val="15"/>
                <w:color w:val="auto"/>
              </w:rPr>
              <w:t>State</w:t>
            </w:r>
          </w:p>
        </w:tc>
        <w:tc>
          <w:tcPr>
            <w:tcW w:w="2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gridSpan w:val="2"/>
          </w:tcPr>
          <w:p>
            <w:pPr>
              <w:jc w:val="right"/>
              <w:ind w:right="60"/>
              <w:spacing w:after="0"/>
              <w:rPr>
                <w:sz w:val="20"/>
                <w:szCs w:val="20"/>
                <w:color w:val="auto"/>
              </w:rPr>
            </w:pPr>
            <w:r>
              <w:rPr>
                <w:rFonts w:ascii="Calibri" w:cs="Calibri" w:eastAsia="Calibri" w:hAnsi="Calibri"/>
                <w:sz w:val="15"/>
                <w:szCs w:val="15"/>
                <w:color w:val="auto"/>
              </w:rPr>
              <w:t>(272 )</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Calibri" w:cs="Calibri" w:eastAsia="Calibri" w:hAnsi="Calibri"/>
                <w:sz w:val="15"/>
                <w:szCs w:val="15"/>
                <w:color w:val="auto"/>
              </w:rPr>
              <w:t>(1,789 )</w:t>
            </w: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alibri" w:cs="Calibri" w:eastAsia="Calibri" w:hAnsi="Calibri"/>
                <w:sz w:val="15"/>
                <w:szCs w:val="15"/>
                <w:color w:val="auto"/>
              </w:rPr>
              <w:t>669</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4"/>
        </w:trPr>
        <w:tc>
          <w:tcPr>
            <w:tcW w:w="5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560" w:type="dxa"/>
            <w:vAlign w:val="bottom"/>
          </w:tcPr>
          <w:p>
            <w:pPr>
              <w:spacing w:after="0"/>
              <w:rPr>
                <w:sz w:val="2"/>
                <w:szCs w:val="2"/>
                <w:color w:val="auto"/>
              </w:rPr>
            </w:pPr>
          </w:p>
        </w:tc>
      </w:tr>
      <w:tr>
        <w:trPr>
          <w:trHeight w:val="187"/>
        </w:trPr>
        <w:tc>
          <w:tcPr>
            <w:tcW w:w="560" w:type="dxa"/>
            <w:vAlign w:val="bottom"/>
          </w:tcPr>
          <w:p>
            <w:pPr>
              <w:spacing w:after="0"/>
              <w:rPr>
                <w:sz w:val="16"/>
                <w:szCs w:val="16"/>
                <w:color w:val="auto"/>
              </w:rPr>
            </w:pPr>
          </w:p>
        </w:tc>
        <w:tc>
          <w:tcPr>
            <w:tcW w:w="3340" w:type="dxa"/>
            <w:vAlign w:val="bottom"/>
            <w:tcBorders>
              <w:bottom w:val="single" w:sz="8" w:color="CFF0FC"/>
            </w:tcBorders>
            <w:shd w:val="clear" w:color="auto" w:fill="CFF0FC"/>
          </w:tcPr>
          <w:p>
            <w:pPr>
              <w:ind w:left="160"/>
              <w:spacing w:after="0"/>
              <w:rPr>
                <w:sz w:val="20"/>
                <w:szCs w:val="20"/>
                <w:color w:val="auto"/>
              </w:rPr>
            </w:pPr>
            <w:r>
              <w:rPr>
                <w:rFonts w:ascii="Calibri" w:cs="Calibri" w:eastAsia="Calibri" w:hAnsi="Calibri"/>
                <w:sz w:val="15"/>
                <w:szCs w:val="15"/>
                <w:color w:val="auto"/>
              </w:rPr>
              <w:t>Foreign</w:t>
            </w:r>
          </w:p>
        </w:tc>
        <w:tc>
          <w:tcPr>
            <w:tcW w:w="262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1040" w:type="dxa"/>
            <w:vAlign w:val="bottom"/>
            <w:tcBorders>
              <w:bottom w:val="single" w:sz="8" w:color="CFF0FC"/>
            </w:tcBorders>
            <w:gridSpan w:val="2"/>
            <w:shd w:val="clear" w:color="auto" w:fill="CFF0FC"/>
          </w:tcPr>
          <w:p>
            <w:pPr>
              <w:jc w:val="right"/>
              <w:ind w:right="60"/>
              <w:spacing w:after="0"/>
              <w:rPr>
                <w:sz w:val="20"/>
                <w:szCs w:val="20"/>
                <w:color w:val="auto"/>
              </w:rPr>
            </w:pPr>
            <w:r>
              <w:rPr>
                <w:rFonts w:ascii="Calibri" w:cs="Calibri" w:eastAsia="Calibri" w:hAnsi="Calibri"/>
                <w:sz w:val="15"/>
                <w:szCs w:val="15"/>
                <w:color w:val="auto"/>
              </w:rPr>
              <w:t>(9 )</w:t>
            </w:r>
          </w:p>
        </w:tc>
        <w:tc>
          <w:tcPr>
            <w:tcW w:w="14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116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Calibri" w:cs="Calibri" w:eastAsia="Calibri" w:hAnsi="Calibri"/>
                <w:sz w:val="15"/>
                <w:szCs w:val="15"/>
                <w:color w:val="auto"/>
              </w:rPr>
              <w:t>(47 )</w:t>
            </w:r>
          </w:p>
        </w:tc>
        <w:tc>
          <w:tcPr>
            <w:tcW w:w="280" w:type="dxa"/>
            <w:vAlign w:val="bottom"/>
            <w:tcBorders>
              <w:bottom w:val="single" w:sz="8" w:color="CFF0FC"/>
            </w:tcBorders>
            <w:shd w:val="clear" w:color="auto" w:fill="CFF0FC"/>
          </w:tcPr>
          <w:p>
            <w:pPr>
              <w:spacing w:after="0"/>
              <w:rPr>
                <w:sz w:val="16"/>
                <w:szCs w:val="16"/>
                <w:color w:val="auto"/>
              </w:rPr>
            </w:pPr>
          </w:p>
        </w:tc>
        <w:tc>
          <w:tcPr>
            <w:tcW w:w="1000" w:type="dxa"/>
            <w:vAlign w:val="bottom"/>
            <w:tcBorders>
              <w:bottom w:val="single" w:sz="8" w:color="CFF0FC"/>
            </w:tcBorders>
            <w:gridSpan w:val="2"/>
            <w:shd w:val="clear" w:color="auto" w:fill="CFF0FC"/>
          </w:tcPr>
          <w:p>
            <w:pPr>
              <w:jc w:val="right"/>
              <w:ind w:right="40"/>
              <w:spacing w:after="0"/>
              <w:rPr>
                <w:sz w:val="20"/>
                <w:szCs w:val="20"/>
                <w:color w:val="auto"/>
              </w:rPr>
            </w:pPr>
            <w:r>
              <w:rPr>
                <w:rFonts w:ascii="Calibri" w:cs="Calibri" w:eastAsia="Calibri" w:hAnsi="Calibri"/>
                <w:sz w:val="15"/>
                <w:szCs w:val="15"/>
                <w:color w:val="auto"/>
              </w:rPr>
              <w:t>(204 )</w:t>
            </w:r>
          </w:p>
        </w:tc>
        <w:tc>
          <w:tcPr>
            <w:tcW w:w="560" w:type="dxa"/>
            <w:vAlign w:val="bottom"/>
          </w:tcPr>
          <w:p>
            <w:pPr>
              <w:spacing w:after="0"/>
              <w:rPr>
                <w:sz w:val="16"/>
                <w:szCs w:val="16"/>
                <w:color w:val="auto"/>
              </w:rPr>
            </w:pPr>
          </w:p>
        </w:tc>
      </w:tr>
      <w:tr>
        <w:trPr>
          <w:trHeight w:val="20"/>
        </w:trPr>
        <w:tc>
          <w:tcPr>
            <w:tcW w:w="560" w:type="dxa"/>
            <w:vAlign w:val="bottom"/>
          </w:tcPr>
          <w:p>
            <w:pPr>
              <w:spacing w:after="0" w:line="20" w:lineRule="exact"/>
              <w:rPr>
                <w:sz w:val="1"/>
                <w:szCs w:val="1"/>
                <w:color w:val="auto"/>
              </w:rPr>
            </w:pPr>
          </w:p>
        </w:tc>
        <w:tc>
          <w:tcPr>
            <w:tcW w:w="3340" w:type="dxa"/>
            <w:vAlign w:val="bottom"/>
            <w:shd w:val="clear" w:color="auto" w:fill="CFF0FC"/>
          </w:tcPr>
          <w:p>
            <w:pPr>
              <w:spacing w:after="0" w:line="20" w:lineRule="exact"/>
              <w:rPr>
                <w:sz w:val="1"/>
                <w:szCs w:val="1"/>
                <w:color w:val="auto"/>
              </w:rPr>
            </w:pPr>
          </w:p>
        </w:tc>
        <w:tc>
          <w:tcPr>
            <w:tcW w:w="26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75"/>
        </w:trPr>
        <w:tc>
          <w:tcPr>
            <w:tcW w:w="56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gridSpan w:val="2"/>
          </w:tcPr>
          <w:p>
            <w:pPr>
              <w:jc w:val="right"/>
              <w:ind w:right="60"/>
              <w:spacing w:after="0" w:line="174" w:lineRule="exact"/>
              <w:rPr>
                <w:sz w:val="20"/>
                <w:szCs w:val="20"/>
                <w:color w:val="auto"/>
              </w:rPr>
            </w:pPr>
            <w:r>
              <w:rPr>
                <w:rFonts w:ascii="Calibri" w:cs="Calibri" w:eastAsia="Calibri" w:hAnsi="Calibri"/>
                <w:sz w:val="15"/>
                <w:szCs w:val="15"/>
                <w:color w:val="auto"/>
              </w:rPr>
              <w:t>(37,864 )</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gridSpan w:val="2"/>
          </w:tcPr>
          <w:p>
            <w:pPr>
              <w:jc w:val="right"/>
              <w:ind w:right="180"/>
              <w:spacing w:after="0" w:line="174" w:lineRule="exact"/>
              <w:rPr>
                <w:sz w:val="20"/>
                <w:szCs w:val="20"/>
                <w:color w:val="auto"/>
              </w:rPr>
            </w:pPr>
            <w:r>
              <w:rPr>
                <w:rFonts w:ascii="Calibri" w:cs="Calibri" w:eastAsia="Calibri" w:hAnsi="Calibri"/>
                <w:sz w:val="15"/>
                <w:szCs w:val="15"/>
                <w:color w:val="auto"/>
              </w:rPr>
              <w:t>(22,114 )</w:t>
            </w:r>
          </w:p>
        </w:tc>
        <w:tc>
          <w:tcPr>
            <w:tcW w:w="280" w:type="dxa"/>
            <w:vAlign w:val="bottom"/>
          </w:tcPr>
          <w:p>
            <w:pPr>
              <w:spacing w:after="0"/>
              <w:rPr>
                <w:sz w:val="15"/>
                <w:szCs w:val="15"/>
                <w:color w:val="auto"/>
              </w:rPr>
            </w:pPr>
          </w:p>
        </w:tc>
        <w:tc>
          <w:tcPr>
            <w:tcW w:w="900" w:type="dxa"/>
            <w:vAlign w:val="bottom"/>
          </w:tcPr>
          <w:p>
            <w:pPr>
              <w:jc w:val="right"/>
              <w:spacing w:after="0" w:line="174" w:lineRule="exact"/>
              <w:rPr>
                <w:sz w:val="20"/>
                <w:szCs w:val="20"/>
                <w:color w:val="auto"/>
              </w:rPr>
            </w:pPr>
            <w:r>
              <w:rPr>
                <w:rFonts w:ascii="Calibri" w:cs="Calibri" w:eastAsia="Calibri" w:hAnsi="Calibri"/>
                <w:sz w:val="15"/>
                <w:szCs w:val="15"/>
                <w:color w:val="auto"/>
              </w:rPr>
              <w:t>6,163</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4"/>
        </w:trPr>
        <w:tc>
          <w:tcPr>
            <w:tcW w:w="5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44"/>
        </w:trPr>
        <w:tc>
          <w:tcPr>
            <w:tcW w:w="560" w:type="dxa"/>
            <w:vAlign w:val="bottom"/>
          </w:tcPr>
          <w:p>
            <w:pPr>
              <w:spacing w:after="0"/>
              <w:rPr>
                <w:sz w:val="20"/>
                <w:szCs w:val="20"/>
                <w:color w:val="auto"/>
              </w:rPr>
            </w:pPr>
          </w:p>
        </w:tc>
        <w:tc>
          <w:tcPr>
            <w:tcW w:w="3340" w:type="dxa"/>
            <w:vAlign w:val="bottom"/>
            <w:tcBorders>
              <w:bottom w:val="single" w:sz="8" w:color="CFF0FC"/>
            </w:tcBorders>
            <w:shd w:val="clear" w:color="auto" w:fill="CFF0FC"/>
          </w:tcPr>
          <w:p>
            <w:pPr>
              <w:spacing w:after="0" w:line="174" w:lineRule="exact"/>
              <w:rPr>
                <w:sz w:val="20"/>
                <w:szCs w:val="20"/>
                <w:color w:val="auto"/>
              </w:rPr>
            </w:pPr>
            <w:r>
              <w:rPr>
                <w:rFonts w:ascii="Calibri" w:cs="Calibri" w:eastAsia="Calibri" w:hAnsi="Calibri"/>
                <w:sz w:val="15"/>
                <w:szCs w:val="15"/>
                <w:color w:val="auto"/>
              </w:rPr>
              <w:t>Income tax provision</w:t>
            </w:r>
          </w:p>
        </w:tc>
        <w:tc>
          <w:tcPr>
            <w:tcW w:w="2900" w:type="dxa"/>
            <w:vAlign w:val="bottom"/>
            <w:tcBorders>
              <w:bottom w:val="single" w:sz="8" w:color="CFF0FC"/>
            </w:tcBorders>
            <w:gridSpan w:val="2"/>
            <w:shd w:val="clear" w:color="auto" w:fill="CFF0FC"/>
          </w:tcPr>
          <w:p>
            <w:pPr>
              <w:jc w:val="right"/>
              <w:ind w:right="123"/>
              <w:spacing w:after="0" w:line="174" w:lineRule="exact"/>
              <w:rPr>
                <w:sz w:val="20"/>
                <w:szCs w:val="20"/>
                <w:color w:val="auto"/>
              </w:rPr>
            </w:pPr>
            <w:r>
              <w:rPr>
                <w:rFonts w:ascii="Calibri" w:cs="Calibri" w:eastAsia="Calibri" w:hAnsi="Calibri"/>
                <w:sz w:val="15"/>
                <w:szCs w:val="15"/>
                <w:color w:val="auto"/>
              </w:rPr>
              <w:t>$</w:t>
            </w:r>
          </w:p>
        </w:tc>
        <w:tc>
          <w:tcPr>
            <w:tcW w:w="920" w:type="dxa"/>
            <w:vAlign w:val="bottom"/>
            <w:tcBorders>
              <w:bottom w:val="single" w:sz="8" w:color="CFF0FC"/>
            </w:tcBorders>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29,634</w:t>
            </w:r>
          </w:p>
        </w:tc>
        <w:tc>
          <w:tcPr>
            <w:tcW w:w="12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CFF0FC"/>
            </w:tcBorders>
            <w:gridSpan w:val="2"/>
            <w:shd w:val="clear" w:color="auto" w:fill="CFF0FC"/>
          </w:tcPr>
          <w:p>
            <w:pPr>
              <w:jc w:val="right"/>
              <w:ind w:right="180"/>
              <w:spacing w:after="0" w:line="174" w:lineRule="exact"/>
              <w:rPr>
                <w:sz w:val="20"/>
                <w:szCs w:val="20"/>
                <w:color w:val="auto"/>
              </w:rPr>
            </w:pPr>
            <w:r>
              <w:rPr>
                <w:rFonts w:ascii="Calibri" w:cs="Calibri" w:eastAsia="Calibri" w:hAnsi="Calibri"/>
                <w:sz w:val="15"/>
                <w:szCs w:val="15"/>
                <w:color w:val="auto"/>
              </w:rPr>
              <w:t>$</w:t>
            </w:r>
          </w:p>
        </w:tc>
        <w:tc>
          <w:tcPr>
            <w:tcW w:w="920" w:type="dxa"/>
            <w:vAlign w:val="bottom"/>
            <w:tcBorders>
              <w:bottom w:val="single" w:sz="8" w:color="CFF0FC"/>
            </w:tcBorders>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32,408</w:t>
            </w:r>
          </w:p>
        </w:tc>
        <w:tc>
          <w:tcPr>
            <w:tcW w:w="2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jc w:val="right"/>
              <w:ind w:right="123"/>
              <w:spacing w:after="0" w:line="174" w:lineRule="exact"/>
              <w:rPr>
                <w:sz w:val="20"/>
                <w:szCs w:val="20"/>
                <w:color w:val="auto"/>
              </w:rPr>
            </w:pPr>
            <w:r>
              <w:rPr>
                <w:rFonts w:ascii="Calibri" w:cs="Calibri" w:eastAsia="Calibri" w:hAnsi="Calibri"/>
                <w:sz w:val="15"/>
                <w:szCs w:val="15"/>
                <w:color w:val="auto"/>
                <w:w w:val="78"/>
              </w:rPr>
              <w:t>$</w:t>
            </w:r>
          </w:p>
        </w:tc>
        <w:tc>
          <w:tcPr>
            <w:tcW w:w="900" w:type="dxa"/>
            <w:vAlign w:val="bottom"/>
            <w:tcBorders>
              <w:bottom w:val="single" w:sz="8" w:color="CFF0FC"/>
            </w:tcBorders>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38,987</w:t>
            </w:r>
          </w:p>
        </w:tc>
        <w:tc>
          <w:tcPr>
            <w:tcW w:w="100" w:type="dxa"/>
            <w:vAlign w:val="bottom"/>
            <w:tcBorders>
              <w:bottom w:val="single" w:sz="8" w:color="CFF0FC"/>
            </w:tcBorders>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507"/>
        </w:trPr>
        <w:tc>
          <w:tcPr>
            <w:tcW w:w="560" w:type="dxa"/>
            <w:vAlign w:val="bottom"/>
          </w:tcPr>
          <w:p>
            <w:pPr>
              <w:spacing w:after="0"/>
              <w:rPr>
                <w:sz w:val="24"/>
                <w:szCs w:val="24"/>
                <w:color w:val="auto"/>
              </w:rPr>
            </w:pPr>
          </w:p>
        </w:tc>
        <w:tc>
          <w:tcPr>
            <w:tcW w:w="3340" w:type="dxa"/>
            <w:vAlign w:val="bottom"/>
            <w:tcBorders>
              <w:top w:val="single" w:sz="8" w:color="CFF0FC"/>
            </w:tcBorders>
          </w:tcPr>
          <w:p>
            <w:pPr>
              <w:spacing w:after="0"/>
              <w:rPr>
                <w:sz w:val="24"/>
                <w:szCs w:val="24"/>
                <w:color w:val="auto"/>
              </w:rPr>
            </w:pPr>
          </w:p>
        </w:tc>
        <w:tc>
          <w:tcPr>
            <w:tcW w:w="2620" w:type="dxa"/>
            <w:vAlign w:val="bottom"/>
            <w:tcBorders>
              <w:top w:val="single" w:sz="8" w:color="CFF0FC"/>
            </w:tcBorders>
          </w:tcPr>
          <w:p>
            <w:pPr>
              <w:jc w:val="right"/>
              <w:ind w:right="703"/>
              <w:spacing w:after="0"/>
              <w:rPr>
                <w:sz w:val="20"/>
                <w:szCs w:val="20"/>
                <w:color w:val="auto"/>
              </w:rPr>
            </w:pPr>
            <w:r>
              <w:rPr>
                <w:rFonts w:ascii="Calibri" w:cs="Calibri" w:eastAsia="Calibri" w:hAnsi="Calibri"/>
                <w:sz w:val="15"/>
                <w:szCs w:val="15"/>
                <w:color w:val="auto"/>
              </w:rPr>
              <w:t>126</w:t>
            </w:r>
          </w:p>
        </w:tc>
        <w:tc>
          <w:tcPr>
            <w:tcW w:w="2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560" w:type="dxa"/>
            <w:vAlign w:val="bottom"/>
          </w:tcPr>
          <w:p>
            <w:pPr>
              <w:spacing w:after="0"/>
              <w:rPr>
                <w:sz w:val="24"/>
                <w:szCs w:val="24"/>
                <w:color w:val="auto"/>
              </w:rPr>
            </w:pPr>
          </w:p>
        </w:tc>
      </w:tr>
      <w:tr>
        <w:trPr>
          <w:trHeight w:val="655"/>
        </w:trPr>
        <w:tc>
          <w:tcPr>
            <w:tcW w:w="56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4904740</wp:posOffset>
            </wp:positionH>
            <wp:positionV relativeFrom="paragraph">
              <wp:posOffset>-2987675</wp:posOffset>
            </wp:positionV>
            <wp:extent cx="66040" cy="762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4904740</wp:posOffset>
            </wp:positionH>
            <wp:positionV relativeFrom="paragraph">
              <wp:posOffset>-2973070</wp:posOffset>
            </wp:positionV>
            <wp:extent cx="66040" cy="762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5824855</wp:posOffset>
            </wp:positionH>
            <wp:positionV relativeFrom="paragraph">
              <wp:posOffset>-2987675</wp:posOffset>
            </wp:positionV>
            <wp:extent cx="58420" cy="762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58420" cy="7620"/>
                    </a:xfrm>
                    <a:prstGeom prst="rect">
                      <a:avLst/>
                    </a:prstGeom>
                    <a:noFill/>
                  </pic:spPr>
                </pic:pic>
              </a:graphicData>
            </a:graphic>
          </wp:anchor>
        </w:drawing>
        <w:drawing>
          <wp:anchor simplePos="0" relativeHeight="251657728" behindDoc="1" locked="0" layoutInCell="0" allowOverlap="1">
            <wp:simplePos x="0" y="0"/>
            <wp:positionH relativeFrom="column">
              <wp:posOffset>5824855</wp:posOffset>
            </wp:positionH>
            <wp:positionV relativeFrom="paragraph">
              <wp:posOffset>-2973070</wp:posOffset>
            </wp:positionV>
            <wp:extent cx="58420" cy="762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58420" cy="7620"/>
                    </a:xfrm>
                    <a:prstGeom prst="rect">
                      <a:avLst/>
                    </a:prstGeom>
                    <a:noFill/>
                  </pic:spPr>
                </pic:pic>
              </a:graphicData>
            </a:graphic>
          </wp:anchor>
        </w:drawing>
        <w:drawing>
          <wp:anchor simplePos="0" relativeHeight="251657728" behindDoc="1" locked="0" layoutInCell="0" allowOverlap="1">
            <wp:simplePos x="0" y="0"/>
            <wp:positionH relativeFrom="column">
              <wp:posOffset>6731000</wp:posOffset>
            </wp:positionH>
            <wp:positionV relativeFrom="paragraph">
              <wp:posOffset>-2987675</wp:posOffset>
            </wp:positionV>
            <wp:extent cx="58420" cy="762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58420" cy="7620"/>
                    </a:xfrm>
                    <a:prstGeom prst="rect">
                      <a:avLst/>
                    </a:prstGeom>
                    <a:noFill/>
                  </pic:spPr>
                </pic:pic>
              </a:graphicData>
            </a:graphic>
          </wp:anchor>
        </w:drawing>
        <w:drawing>
          <wp:anchor simplePos="0" relativeHeight="251657728" behindDoc="1" locked="0" layoutInCell="0" allowOverlap="1">
            <wp:simplePos x="0" y="0"/>
            <wp:positionH relativeFrom="column">
              <wp:posOffset>6731000</wp:posOffset>
            </wp:positionH>
            <wp:positionV relativeFrom="paragraph">
              <wp:posOffset>-2973070</wp:posOffset>
            </wp:positionV>
            <wp:extent cx="58420" cy="762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8420" cy="7620"/>
                    </a:xfrm>
                    <a:prstGeom prst="rect">
                      <a:avLst/>
                    </a:prstGeom>
                    <a:noFill/>
                  </pic:spPr>
                </pic:pic>
              </a:graphicData>
            </a:graphic>
          </wp:anchor>
        </w:drawing>
        <w:drawing>
          <wp:anchor simplePos="0" relativeHeight="251657728" behindDoc="1" locked="0" layoutInCell="0" allowOverlap="1">
            <wp:simplePos x="0" y="0"/>
            <wp:positionH relativeFrom="column">
              <wp:posOffset>4904740</wp:posOffset>
            </wp:positionH>
            <wp:positionV relativeFrom="paragraph">
              <wp:posOffset>-1599565</wp:posOffset>
            </wp:positionV>
            <wp:extent cx="66040" cy="762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5824855</wp:posOffset>
            </wp:positionH>
            <wp:positionV relativeFrom="paragraph">
              <wp:posOffset>-1599565</wp:posOffset>
            </wp:positionV>
            <wp:extent cx="58420" cy="762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58420" cy="7620"/>
                    </a:xfrm>
                    <a:prstGeom prst="rect">
                      <a:avLst/>
                    </a:prstGeom>
                    <a:noFill/>
                  </pic:spPr>
                </pic:pic>
              </a:graphicData>
            </a:graphic>
          </wp:anchor>
        </w:drawing>
        <w:drawing>
          <wp:anchor simplePos="0" relativeHeight="251657728" behindDoc="1" locked="0" layoutInCell="0" allowOverlap="1">
            <wp:simplePos x="0" y="0"/>
            <wp:positionH relativeFrom="column">
              <wp:posOffset>6731000</wp:posOffset>
            </wp:positionH>
            <wp:positionV relativeFrom="paragraph">
              <wp:posOffset>-1599565</wp:posOffset>
            </wp:positionV>
            <wp:extent cx="58420" cy="762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58420" cy="7620"/>
                    </a:xfrm>
                    <a:prstGeom prst="rect">
                      <a:avLst/>
                    </a:prstGeom>
                    <a:noFill/>
                  </pic:spPr>
                </pic:pic>
              </a:graphicData>
            </a:graphic>
          </wp:anchor>
        </w:drawing>
        <w:drawing>
          <wp:anchor simplePos="0" relativeHeight="251657728" behindDoc="1" locked="0" layoutInCell="0" allowOverlap="1">
            <wp:simplePos x="0" y="0"/>
            <wp:positionH relativeFrom="column">
              <wp:posOffset>4904740</wp:posOffset>
            </wp:positionH>
            <wp:positionV relativeFrom="paragraph">
              <wp:posOffset>-1066165</wp:posOffset>
            </wp:positionV>
            <wp:extent cx="66040" cy="762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5824855</wp:posOffset>
            </wp:positionH>
            <wp:positionV relativeFrom="paragraph">
              <wp:posOffset>-1066165</wp:posOffset>
            </wp:positionV>
            <wp:extent cx="58420" cy="762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58420" cy="7620"/>
                    </a:xfrm>
                    <a:prstGeom prst="rect">
                      <a:avLst/>
                    </a:prstGeom>
                    <a:noFill/>
                  </pic:spPr>
                </pic:pic>
              </a:graphicData>
            </a:graphic>
          </wp:anchor>
        </w:drawing>
        <w:drawing>
          <wp:anchor simplePos="0" relativeHeight="251657728" behindDoc="1" locked="0" layoutInCell="0" allowOverlap="1">
            <wp:simplePos x="0" y="0"/>
            <wp:positionH relativeFrom="column">
              <wp:posOffset>6731000</wp:posOffset>
            </wp:positionH>
            <wp:positionV relativeFrom="paragraph">
              <wp:posOffset>-1066165</wp:posOffset>
            </wp:positionV>
            <wp:extent cx="58420" cy="762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58420" cy="7620"/>
                    </a:xfrm>
                    <a:prstGeom prst="rect">
                      <a:avLst/>
                    </a:prstGeom>
                    <a:noFill/>
                  </pic:spPr>
                </pic:pic>
              </a:graphicData>
            </a:graphic>
          </wp:anchor>
        </w:drawing>
        <w:drawing>
          <wp:anchor simplePos="0" relativeHeight="251657728" behindDoc="1" locked="0" layoutInCell="0" allowOverlap="1">
            <wp:simplePos x="0" y="0"/>
            <wp:positionH relativeFrom="column">
              <wp:posOffset>4904740</wp:posOffset>
            </wp:positionH>
            <wp:positionV relativeFrom="paragraph">
              <wp:posOffset>-788670</wp:posOffset>
            </wp:positionV>
            <wp:extent cx="66040" cy="762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4904740</wp:posOffset>
            </wp:positionH>
            <wp:positionV relativeFrom="paragraph">
              <wp:posOffset>-774065</wp:posOffset>
            </wp:positionV>
            <wp:extent cx="66040" cy="762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5824855</wp:posOffset>
            </wp:positionH>
            <wp:positionV relativeFrom="paragraph">
              <wp:posOffset>-788670</wp:posOffset>
            </wp:positionV>
            <wp:extent cx="58420" cy="762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58420" cy="7620"/>
                    </a:xfrm>
                    <a:prstGeom prst="rect">
                      <a:avLst/>
                    </a:prstGeom>
                    <a:noFill/>
                  </pic:spPr>
                </pic:pic>
              </a:graphicData>
            </a:graphic>
          </wp:anchor>
        </w:drawing>
        <w:drawing>
          <wp:anchor simplePos="0" relativeHeight="251657728" behindDoc="1" locked="0" layoutInCell="0" allowOverlap="1">
            <wp:simplePos x="0" y="0"/>
            <wp:positionH relativeFrom="column">
              <wp:posOffset>5824855</wp:posOffset>
            </wp:positionH>
            <wp:positionV relativeFrom="paragraph">
              <wp:posOffset>-774065</wp:posOffset>
            </wp:positionV>
            <wp:extent cx="58420" cy="762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58420" cy="7620"/>
                    </a:xfrm>
                    <a:prstGeom prst="rect">
                      <a:avLst/>
                    </a:prstGeom>
                    <a:noFill/>
                  </pic:spPr>
                </pic:pic>
              </a:graphicData>
            </a:graphic>
          </wp:anchor>
        </w:drawing>
        <w:drawing>
          <wp:anchor simplePos="0" relativeHeight="251657728" behindDoc="1" locked="0" layoutInCell="0" allowOverlap="1">
            <wp:simplePos x="0" y="0"/>
            <wp:positionH relativeFrom="column">
              <wp:posOffset>6731000</wp:posOffset>
            </wp:positionH>
            <wp:positionV relativeFrom="paragraph">
              <wp:posOffset>-788670</wp:posOffset>
            </wp:positionV>
            <wp:extent cx="58420" cy="762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58420" cy="7620"/>
                    </a:xfrm>
                    <a:prstGeom prst="rect">
                      <a:avLst/>
                    </a:prstGeom>
                    <a:noFill/>
                  </pic:spPr>
                </pic:pic>
              </a:graphicData>
            </a:graphic>
          </wp:anchor>
        </w:drawing>
        <w:drawing>
          <wp:anchor simplePos="0" relativeHeight="251657728" behindDoc="1" locked="0" layoutInCell="0" allowOverlap="1">
            <wp:simplePos x="0" y="0"/>
            <wp:positionH relativeFrom="column">
              <wp:posOffset>6731000</wp:posOffset>
            </wp:positionH>
            <wp:positionV relativeFrom="paragraph">
              <wp:posOffset>-774065</wp:posOffset>
            </wp:positionV>
            <wp:extent cx="58420" cy="762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58420" cy="7620"/>
                    </a:xfrm>
                    <a:prstGeom prst="rect">
                      <a:avLst/>
                    </a:prstGeom>
                    <a:noFill/>
                  </pic:spPr>
                </pic:pic>
              </a:graphicData>
            </a:graphic>
          </wp:anchor>
        </w:drawing>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-26670</wp:posOffset>
            </wp:positionV>
            <wp:extent cx="33020" cy="4000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1133" w:right="319" w:bottom="1440" w:gutter="0" w:footer="0" w:header="0"/>
        </w:sectPr>
      </w:pPr>
    </w:p>
    <w:bookmarkStart w:id="128" w:name="page129"/>
    <w:bookmarkEnd w:id="128"/>
    <w:p>
      <w:pPr>
        <w:ind w:left="500"/>
        <w:spacing w:after="0"/>
        <w:rPr>
          <w:sz w:val="20"/>
          <w:szCs w:val="20"/>
          <w:color w:val="auto"/>
        </w:rPr>
      </w:pPr>
      <w:r>
        <w:rPr>
          <w:rFonts w:ascii="Calibri" w:cs="Calibri" w:eastAsia="Calibri" w:hAnsi="Calibri"/>
          <w:sz w:val="15"/>
          <w:szCs w:val="15"/>
          <w:color w:val="auto"/>
        </w:rPr>
        <w:t>For the year ended December 31, 2023, 2022, and 2021, the components of the efectve tax rate are as follows:</w:t>
      </w:r>
    </w:p>
    <w:p>
      <w:pPr>
        <w:spacing w:after="0" w:line="386" w:lineRule="exact"/>
        <w:rPr>
          <w:sz w:val="20"/>
          <w:szCs w:val="20"/>
          <w:color w:val="auto"/>
        </w:rPr>
      </w:pPr>
    </w:p>
    <w:p>
      <w:pPr>
        <w:ind w:left="7900"/>
        <w:spacing w:after="0"/>
        <w:rPr>
          <w:sz w:val="20"/>
          <w:szCs w:val="20"/>
          <w:color w:val="auto"/>
        </w:rPr>
      </w:pPr>
      <w:r>
        <w:rPr>
          <w:rFonts w:ascii="Calibri" w:cs="Calibri" w:eastAsia="Calibri" w:hAnsi="Calibri"/>
          <w:sz w:val="12"/>
          <w:szCs w:val="12"/>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17780</wp:posOffset>
            </wp:positionV>
            <wp:extent cx="2615565" cy="762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615565" cy="7620"/>
                    </a:xfrm>
                    <a:prstGeom prst="rect">
                      <a:avLst/>
                    </a:prstGeom>
                    <a:noFill/>
                  </pic:spPr>
                </pic:pic>
              </a:graphicData>
            </a:graphic>
          </wp:anchor>
        </w:drawing>
      </w:r>
    </w:p>
    <w:p>
      <w:pPr>
        <w:spacing w:after="0" w:line="18" w:lineRule="exact"/>
        <w:rPr>
          <w:sz w:val="20"/>
          <w:szCs w:val="20"/>
          <w:color w:val="auto"/>
        </w:rPr>
      </w:pPr>
    </w:p>
    <w:tbl>
      <w:tblPr>
        <w:tblLayout w:type="fixed"/>
        <w:tblInd w:w="560" w:type="dxa"/>
        <w:tblCellMar>
          <w:top w:w="0" w:type="dxa"/>
          <w:left w:w="0" w:type="dxa"/>
          <w:bottom w:w="0" w:type="dxa"/>
          <w:right w:w="0" w:type="dxa"/>
        </w:tblCellMar>
      </w:tblPr>
      <w:tr>
        <w:trPr>
          <w:trHeight w:val="146"/>
        </w:trPr>
        <w:tc>
          <w:tcPr>
            <w:tcW w:w="6760" w:type="dxa"/>
            <w:vAlign w:val="bottom"/>
            <w:gridSpan w:val="2"/>
          </w:tcPr>
          <w:p>
            <w:pPr>
              <w:ind w:left="6420"/>
              <w:spacing w:after="0"/>
              <w:rPr>
                <w:sz w:val="20"/>
                <w:szCs w:val="20"/>
                <w:color w:val="auto"/>
              </w:rPr>
            </w:pPr>
            <w:r>
              <w:rPr>
                <w:rFonts w:ascii="Calibri" w:cs="Calibri" w:eastAsia="Calibri" w:hAnsi="Calibri"/>
                <w:sz w:val="12"/>
                <w:szCs w:val="12"/>
                <w:b w:val="1"/>
                <w:bCs w:val="1"/>
                <w:color w:val="auto"/>
              </w:rPr>
              <w:t>2023</w:t>
            </w:r>
          </w:p>
        </w:tc>
        <w:tc>
          <w:tcPr>
            <w:tcW w:w="1460" w:type="dxa"/>
            <w:vAlign w:val="bottom"/>
            <w:gridSpan w:val="3"/>
          </w:tcPr>
          <w:p>
            <w:pPr>
              <w:jc w:val="right"/>
              <w:ind w:right="100"/>
              <w:spacing w:after="0"/>
              <w:rPr>
                <w:sz w:val="20"/>
                <w:szCs w:val="20"/>
                <w:color w:val="auto"/>
              </w:rPr>
            </w:pPr>
            <w:r>
              <w:rPr>
                <w:rFonts w:ascii="Calibri" w:cs="Calibri" w:eastAsia="Calibri" w:hAnsi="Calibri"/>
                <w:sz w:val="12"/>
                <w:szCs w:val="12"/>
                <w:b w:val="1"/>
                <w:bCs w:val="1"/>
                <w:color w:val="auto"/>
              </w:rPr>
              <w:t>2022</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right"/>
              <w:ind w:right="404"/>
              <w:spacing w:after="0"/>
              <w:rPr>
                <w:sz w:val="20"/>
                <w:szCs w:val="20"/>
                <w:color w:val="auto"/>
              </w:rPr>
            </w:pPr>
            <w:r>
              <w:rPr>
                <w:rFonts w:ascii="Calibri" w:cs="Calibri" w:eastAsia="Calibri" w:hAnsi="Calibri"/>
                <w:sz w:val="12"/>
                <w:szCs w:val="12"/>
                <w:b w:val="1"/>
                <w:bCs w:val="1"/>
                <w:color w:val="auto"/>
              </w:rPr>
              <w:t>2021</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59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6760" w:type="dxa"/>
            <w:vAlign w:val="bottom"/>
            <w:gridSpan w:val="2"/>
          </w:tcPr>
          <w:p>
            <w:pPr>
              <w:ind w:left="160"/>
              <w:spacing w:after="0" w:line="174" w:lineRule="exact"/>
              <w:rPr>
                <w:sz w:val="20"/>
                <w:szCs w:val="20"/>
                <w:color w:val="auto"/>
              </w:rPr>
            </w:pPr>
            <w:r>
              <w:rPr>
                <w:rFonts w:ascii="Calibri" w:cs="Calibri" w:eastAsia="Calibri" w:hAnsi="Calibri"/>
                <w:sz w:val="15"/>
                <w:szCs w:val="15"/>
                <w:color w:val="auto"/>
              </w:rPr>
              <w:t>U.S. federal taxes at statutory rate</w:t>
            </w:r>
          </w:p>
        </w:tc>
        <w:tc>
          <w:tcPr>
            <w:tcW w:w="620" w:type="dxa"/>
            <w:vAlign w:val="bottom"/>
            <w:gridSpan w:val="2"/>
          </w:tcPr>
          <w:p>
            <w:pPr>
              <w:jc w:val="right"/>
              <w:ind w:right="100"/>
              <w:spacing w:after="0" w:line="174" w:lineRule="exact"/>
              <w:rPr>
                <w:sz w:val="20"/>
                <w:szCs w:val="20"/>
                <w:color w:val="auto"/>
              </w:rPr>
            </w:pPr>
            <w:r>
              <w:rPr>
                <w:rFonts w:ascii="Calibri" w:cs="Calibri" w:eastAsia="Calibri" w:hAnsi="Calibri"/>
                <w:sz w:val="15"/>
                <w:szCs w:val="15"/>
                <w:color w:val="auto"/>
              </w:rPr>
              <w:t>21.0 %</w:t>
            </w:r>
          </w:p>
        </w:tc>
        <w:tc>
          <w:tcPr>
            <w:tcW w:w="840" w:type="dxa"/>
            <w:vAlign w:val="bottom"/>
          </w:tcPr>
          <w:p>
            <w:pPr>
              <w:spacing w:after="0"/>
              <w:rPr>
                <w:sz w:val="15"/>
                <w:szCs w:val="15"/>
                <w:color w:val="auto"/>
              </w:rPr>
            </w:pPr>
          </w:p>
        </w:tc>
        <w:tc>
          <w:tcPr>
            <w:tcW w:w="620" w:type="dxa"/>
            <w:vAlign w:val="bottom"/>
            <w:gridSpan w:val="2"/>
          </w:tcPr>
          <w:p>
            <w:pPr>
              <w:jc w:val="right"/>
              <w:ind w:right="100"/>
              <w:spacing w:after="0" w:line="174" w:lineRule="exact"/>
              <w:rPr>
                <w:sz w:val="20"/>
                <w:szCs w:val="20"/>
                <w:color w:val="auto"/>
              </w:rPr>
            </w:pPr>
            <w:r>
              <w:rPr>
                <w:rFonts w:ascii="Calibri" w:cs="Calibri" w:eastAsia="Calibri" w:hAnsi="Calibri"/>
                <w:sz w:val="15"/>
                <w:szCs w:val="15"/>
                <w:color w:val="auto"/>
              </w:rPr>
              <w:t>21.0 %</w:t>
            </w:r>
          </w:p>
        </w:tc>
        <w:tc>
          <w:tcPr>
            <w:tcW w:w="1320" w:type="dxa"/>
            <w:vAlign w:val="bottom"/>
            <w:gridSpan w:val="3"/>
          </w:tcPr>
          <w:p>
            <w:pPr>
              <w:jc w:val="right"/>
              <w:spacing w:after="0" w:line="174" w:lineRule="exact"/>
              <w:rPr>
                <w:sz w:val="20"/>
                <w:szCs w:val="20"/>
                <w:color w:val="auto"/>
              </w:rPr>
            </w:pPr>
            <w:r>
              <w:rPr>
                <w:rFonts w:ascii="Calibri" w:cs="Calibri" w:eastAsia="Calibri" w:hAnsi="Calibri"/>
                <w:sz w:val="15"/>
                <w:szCs w:val="15"/>
                <w:color w:val="auto"/>
              </w:rPr>
              <w:t>21.0 %</w:t>
            </w:r>
          </w:p>
        </w:tc>
        <w:tc>
          <w:tcPr>
            <w:tcW w:w="0" w:type="dxa"/>
            <w:vAlign w:val="bottom"/>
          </w:tcPr>
          <w:p>
            <w:pPr>
              <w:spacing w:after="0"/>
              <w:rPr>
                <w:sz w:val="1"/>
                <w:szCs w:val="1"/>
                <w:color w:val="auto"/>
              </w:rPr>
            </w:pPr>
          </w:p>
        </w:tc>
      </w:tr>
      <w:tr>
        <w:trPr>
          <w:trHeight w:val="200"/>
        </w:trPr>
        <w:tc>
          <w:tcPr>
            <w:tcW w:w="6760" w:type="dxa"/>
            <w:vAlign w:val="bottom"/>
            <w:gridSpan w:val="2"/>
          </w:tcPr>
          <w:p>
            <w:pPr>
              <w:ind w:left="160"/>
              <w:spacing w:after="0"/>
              <w:rPr>
                <w:sz w:val="20"/>
                <w:szCs w:val="20"/>
                <w:color w:val="auto"/>
              </w:rPr>
            </w:pPr>
            <w:r>
              <w:rPr>
                <w:rFonts w:ascii="Calibri" w:cs="Calibri" w:eastAsia="Calibri" w:hAnsi="Calibri"/>
                <w:sz w:val="15"/>
                <w:szCs w:val="15"/>
                <w:color w:val="auto"/>
              </w:rPr>
              <w:t>State taxes, net of federal beneft</w:t>
            </w:r>
          </w:p>
        </w:tc>
        <w:tc>
          <w:tcPr>
            <w:tcW w:w="400" w:type="dxa"/>
            <w:vAlign w:val="bottom"/>
          </w:tcPr>
          <w:p>
            <w:pPr>
              <w:jc w:val="right"/>
              <w:spacing w:after="0"/>
              <w:rPr>
                <w:sz w:val="20"/>
                <w:szCs w:val="20"/>
                <w:color w:val="auto"/>
              </w:rPr>
            </w:pPr>
            <w:r>
              <w:rPr>
                <w:rFonts w:ascii="Calibri" w:cs="Calibri" w:eastAsia="Calibri" w:hAnsi="Calibri"/>
                <w:sz w:val="15"/>
                <w:szCs w:val="15"/>
                <w:color w:val="auto"/>
              </w:rPr>
              <w:t>22.1</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Calibri" w:cs="Calibri" w:eastAsia="Calibri" w:hAnsi="Calibri"/>
                <w:sz w:val="15"/>
                <w:szCs w:val="15"/>
                <w:color w:val="auto"/>
              </w:rPr>
              <w:t>7.7</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Calibri" w:cs="Calibri" w:eastAsia="Calibri" w:hAnsi="Calibri"/>
                <w:sz w:val="15"/>
                <w:szCs w:val="15"/>
                <w:color w:val="auto"/>
              </w:rPr>
              <w:t>7.5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5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6760" w:type="dxa"/>
            <w:vAlign w:val="bottom"/>
            <w:tcBorders>
              <w:bottom w:val="single" w:sz="8" w:color="CFF0FC"/>
            </w:tcBorders>
            <w:gridSpan w:val="2"/>
            <w:shd w:val="clear" w:color="auto" w:fill="CFF0FC"/>
          </w:tcPr>
          <w:p>
            <w:pPr>
              <w:ind w:left="160"/>
              <w:spacing w:after="0"/>
              <w:rPr>
                <w:sz w:val="20"/>
                <w:szCs w:val="20"/>
                <w:color w:val="auto"/>
              </w:rPr>
            </w:pPr>
            <w:r>
              <w:rPr>
                <w:rFonts w:ascii="Calibri" w:cs="Calibri" w:eastAsia="Calibri" w:hAnsi="Calibri"/>
                <w:sz w:val="15"/>
                <w:szCs w:val="15"/>
                <w:color w:val="auto"/>
              </w:rPr>
              <w:t>Nondeductble expenses</w:t>
            </w:r>
          </w:p>
        </w:tc>
        <w:tc>
          <w:tcPr>
            <w:tcW w:w="4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1.4</w:t>
            </w:r>
          </w:p>
        </w:tc>
        <w:tc>
          <w:tcPr>
            <w:tcW w:w="220" w:type="dxa"/>
            <w:vAlign w:val="bottom"/>
            <w:tcBorders>
              <w:bottom w:val="single" w:sz="8" w:color="CFF0FC"/>
            </w:tcBorders>
            <w:shd w:val="clear" w:color="auto" w:fill="CFF0FC"/>
          </w:tcPr>
          <w:p>
            <w:pPr>
              <w:spacing w:after="0"/>
              <w:rPr>
                <w:sz w:val="16"/>
                <w:szCs w:val="16"/>
                <w:color w:val="auto"/>
              </w:rPr>
            </w:pPr>
          </w:p>
        </w:tc>
        <w:tc>
          <w:tcPr>
            <w:tcW w:w="840" w:type="dxa"/>
            <w:vAlign w:val="bottom"/>
            <w:tcBorders>
              <w:bottom w:val="single" w:sz="8" w:color="CFF0FC"/>
            </w:tcBorders>
            <w:shd w:val="clear" w:color="auto" w:fill="CFF0FC"/>
          </w:tcPr>
          <w:p>
            <w:pPr>
              <w:spacing w:after="0"/>
              <w:rPr>
                <w:sz w:val="16"/>
                <w:szCs w:val="16"/>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0.5</w:t>
            </w:r>
          </w:p>
        </w:tc>
        <w:tc>
          <w:tcPr>
            <w:tcW w:w="220" w:type="dxa"/>
            <w:vAlign w:val="bottom"/>
            <w:tcBorders>
              <w:bottom w:val="single" w:sz="8" w:color="CFF0FC"/>
            </w:tcBorders>
            <w:shd w:val="clear" w:color="auto" w:fill="CFF0FC"/>
          </w:tcPr>
          <w:p>
            <w:pPr>
              <w:spacing w:after="0"/>
              <w:rPr>
                <w:sz w:val="16"/>
                <w:szCs w:val="16"/>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0.3</w:t>
            </w:r>
          </w:p>
        </w:tc>
        <w:tc>
          <w:tcPr>
            <w:tcW w:w="100" w:type="dxa"/>
            <w:vAlign w:val="bottom"/>
            <w:tcBorders>
              <w:bottom w:val="single" w:sz="8" w:color="CFF0FC"/>
            </w:tcBorders>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760" w:type="dxa"/>
            <w:vAlign w:val="bottom"/>
            <w:gridSpan w:val="2"/>
          </w:tcPr>
          <w:p>
            <w:pPr>
              <w:ind w:left="160"/>
              <w:spacing w:after="0"/>
              <w:rPr>
                <w:sz w:val="20"/>
                <w:szCs w:val="20"/>
                <w:color w:val="auto"/>
              </w:rPr>
            </w:pPr>
            <w:r>
              <w:rPr>
                <w:rFonts w:ascii="Calibri" w:cs="Calibri" w:eastAsia="Calibri" w:hAnsi="Calibri"/>
                <w:sz w:val="15"/>
                <w:szCs w:val="15"/>
                <w:color w:val="auto"/>
              </w:rPr>
              <w:t>Stock compensaton</w:t>
            </w:r>
          </w:p>
        </w:tc>
        <w:tc>
          <w:tcPr>
            <w:tcW w:w="400" w:type="dxa"/>
            <w:vAlign w:val="bottom"/>
          </w:tcPr>
          <w:p>
            <w:pPr>
              <w:jc w:val="right"/>
              <w:spacing w:after="0"/>
              <w:rPr>
                <w:sz w:val="20"/>
                <w:szCs w:val="20"/>
                <w:color w:val="auto"/>
              </w:rPr>
            </w:pPr>
            <w:r>
              <w:rPr>
                <w:rFonts w:ascii="Calibri" w:cs="Calibri" w:eastAsia="Calibri" w:hAnsi="Calibri"/>
                <w:sz w:val="15"/>
                <w:szCs w:val="15"/>
                <w:color w:val="auto"/>
              </w:rPr>
              <w:t>7.3</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Calibri" w:cs="Calibri" w:eastAsia="Calibri" w:hAnsi="Calibri"/>
                <w:sz w:val="15"/>
                <w:szCs w:val="15"/>
                <w:color w:val="auto"/>
              </w:rPr>
              <w:t>2.8</w:t>
            </w: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Calibri" w:cs="Calibri" w:eastAsia="Calibri" w:hAnsi="Calibri"/>
                <w:sz w:val="15"/>
                <w:szCs w:val="15"/>
                <w:color w:val="auto"/>
              </w:rPr>
              <w:t>0.3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6760" w:type="dxa"/>
            <w:vAlign w:val="bottom"/>
            <w:tcBorders>
              <w:bottom w:val="single" w:sz="8" w:color="CFF0FC"/>
            </w:tcBorders>
            <w:gridSpan w:val="2"/>
            <w:shd w:val="clear" w:color="auto" w:fill="CFF0FC"/>
          </w:tcPr>
          <w:p>
            <w:pPr>
              <w:ind w:left="160"/>
              <w:spacing w:after="0"/>
              <w:rPr>
                <w:sz w:val="20"/>
                <w:szCs w:val="20"/>
                <w:color w:val="auto"/>
              </w:rPr>
            </w:pPr>
            <w:r>
              <w:rPr>
                <w:rFonts w:ascii="Calibri" w:cs="Calibri" w:eastAsia="Calibri" w:hAnsi="Calibri"/>
                <w:sz w:val="15"/>
                <w:szCs w:val="15"/>
                <w:color w:val="auto"/>
              </w:rPr>
              <w:t>Foreign rate diferental</w:t>
            </w:r>
          </w:p>
        </w:tc>
        <w:tc>
          <w:tcPr>
            <w:tcW w:w="6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Calibri" w:cs="Calibri" w:eastAsia="Calibri" w:hAnsi="Calibri"/>
                <w:sz w:val="15"/>
                <w:szCs w:val="15"/>
                <w:color w:val="auto"/>
              </w:rPr>
              <w:t>(0.1 )</w:t>
            </w:r>
          </w:p>
        </w:tc>
        <w:tc>
          <w:tcPr>
            <w:tcW w:w="840" w:type="dxa"/>
            <w:vAlign w:val="bottom"/>
            <w:tcBorders>
              <w:bottom w:val="single" w:sz="8" w:color="CFF0FC"/>
            </w:tcBorders>
            <w:shd w:val="clear" w:color="auto" w:fill="CFF0FC"/>
          </w:tcPr>
          <w:p>
            <w:pPr>
              <w:spacing w:after="0"/>
              <w:rPr>
                <w:sz w:val="16"/>
                <w:szCs w:val="16"/>
                <w:color w:val="auto"/>
              </w:rPr>
            </w:pPr>
          </w:p>
        </w:tc>
        <w:tc>
          <w:tcPr>
            <w:tcW w:w="6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Calibri" w:cs="Calibri" w:eastAsia="Calibri" w:hAnsi="Calibri"/>
                <w:sz w:val="15"/>
                <w:szCs w:val="15"/>
                <w:color w:val="auto"/>
              </w:rPr>
              <w:t>(0.1 )</w:t>
            </w:r>
          </w:p>
        </w:tc>
        <w:tc>
          <w:tcPr>
            <w:tcW w:w="1300" w:type="dxa"/>
            <w:vAlign w:val="bottom"/>
            <w:tcBorders>
              <w:bottom w:val="single" w:sz="8" w:color="CFF0FC"/>
            </w:tcBorders>
            <w:gridSpan w:val="2"/>
            <w:shd w:val="clear" w:color="auto" w:fill="CFF0FC"/>
          </w:tcPr>
          <w:p>
            <w:pPr>
              <w:jc w:val="right"/>
              <w:ind w:right="40"/>
              <w:spacing w:after="0"/>
              <w:rPr>
                <w:sz w:val="20"/>
                <w:szCs w:val="20"/>
                <w:color w:val="auto"/>
              </w:rPr>
            </w:pPr>
            <w:r>
              <w:rPr>
                <w:rFonts w:ascii="Calibri" w:cs="Calibri" w:eastAsia="Calibri" w:hAnsi="Calibri"/>
                <w:sz w:val="15"/>
                <w:szCs w:val="15"/>
                <w:color w:val="auto"/>
              </w:rPr>
              <w:t>(0.2 )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760" w:type="dxa"/>
            <w:vAlign w:val="bottom"/>
            <w:gridSpan w:val="2"/>
          </w:tcPr>
          <w:p>
            <w:pPr>
              <w:ind w:left="160"/>
              <w:spacing w:after="0"/>
              <w:rPr>
                <w:sz w:val="20"/>
                <w:szCs w:val="20"/>
                <w:color w:val="auto"/>
              </w:rPr>
            </w:pPr>
            <w:r>
              <w:rPr>
                <w:rFonts w:ascii="Calibri" w:cs="Calibri" w:eastAsia="Calibri" w:hAnsi="Calibri"/>
                <w:sz w:val="15"/>
                <w:szCs w:val="15"/>
                <w:color w:val="auto"/>
              </w:rPr>
              <w:t>Federal and state credits</w:t>
            </w:r>
          </w:p>
        </w:tc>
        <w:tc>
          <w:tcPr>
            <w:tcW w:w="620" w:type="dxa"/>
            <w:vAlign w:val="bottom"/>
            <w:gridSpan w:val="2"/>
          </w:tcPr>
          <w:p>
            <w:pPr>
              <w:jc w:val="right"/>
              <w:ind w:right="160"/>
              <w:spacing w:after="0"/>
              <w:rPr>
                <w:sz w:val="20"/>
                <w:szCs w:val="20"/>
                <w:color w:val="auto"/>
              </w:rPr>
            </w:pPr>
            <w:r>
              <w:rPr>
                <w:rFonts w:ascii="Calibri" w:cs="Calibri" w:eastAsia="Calibri" w:hAnsi="Calibri"/>
                <w:sz w:val="15"/>
                <w:szCs w:val="15"/>
                <w:color w:val="auto"/>
              </w:rPr>
              <w:t>(9.5 )</w:t>
            </w:r>
          </w:p>
        </w:tc>
        <w:tc>
          <w:tcPr>
            <w:tcW w:w="84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Calibri" w:cs="Calibri" w:eastAsia="Calibri" w:hAnsi="Calibri"/>
                <w:sz w:val="15"/>
                <w:szCs w:val="15"/>
                <w:color w:val="auto"/>
              </w:rPr>
              <w:t>(4.7 )</w:t>
            </w:r>
          </w:p>
        </w:tc>
        <w:tc>
          <w:tcPr>
            <w:tcW w:w="1300" w:type="dxa"/>
            <w:vAlign w:val="bottom"/>
            <w:gridSpan w:val="2"/>
          </w:tcPr>
          <w:p>
            <w:pPr>
              <w:jc w:val="right"/>
              <w:ind w:right="40"/>
              <w:spacing w:after="0"/>
              <w:rPr>
                <w:sz w:val="20"/>
                <w:szCs w:val="20"/>
                <w:color w:val="auto"/>
              </w:rPr>
            </w:pPr>
            <w:r>
              <w:rPr>
                <w:rFonts w:ascii="Calibri" w:cs="Calibri" w:eastAsia="Calibri" w:hAnsi="Calibri"/>
                <w:sz w:val="15"/>
                <w:szCs w:val="15"/>
                <w:color w:val="auto"/>
              </w:rPr>
              <w:t>(2.6 )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6760" w:type="dxa"/>
            <w:vAlign w:val="bottom"/>
            <w:tcBorders>
              <w:bottom w:val="single" w:sz="8" w:color="CFF0FC"/>
            </w:tcBorders>
            <w:gridSpan w:val="2"/>
            <w:shd w:val="clear" w:color="auto" w:fill="CFF0FC"/>
          </w:tcPr>
          <w:p>
            <w:pPr>
              <w:ind w:left="160"/>
              <w:spacing w:after="0"/>
              <w:rPr>
                <w:sz w:val="20"/>
                <w:szCs w:val="20"/>
                <w:color w:val="auto"/>
              </w:rPr>
            </w:pPr>
            <w:r>
              <w:rPr>
                <w:rFonts w:ascii="Calibri" w:cs="Calibri" w:eastAsia="Calibri" w:hAnsi="Calibri"/>
                <w:sz w:val="15"/>
                <w:szCs w:val="15"/>
                <w:color w:val="auto"/>
              </w:rPr>
              <w:t>Disallowed ofcer compensaton</w:t>
            </w:r>
          </w:p>
        </w:tc>
        <w:tc>
          <w:tcPr>
            <w:tcW w:w="4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0.4</w:t>
            </w:r>
          </w:p>
        </w:tc>
        <w:tc>
          <w:tcPr>
            <w:tcW w:w="220" w:type="dxa"/>
            <w:vAlign w:val="bottom"/>
            <w:tcBorders>
              <w:bottom w:val="single" w:sz="8" w:color="CFF0FC"/>
            </w:tcBorders>
            <w:shd w:val="clear" w:color="auto" w:fill="CFF0FC"/>
          </w:tcPr>
          <w:p>
            <w:pPr>
              <w:spacing w:after="0"/>
              <w:rPr>
                <w:sz w:val="16"/>
                <w:szCs w:val="16"/>
                <w:color w:val="auto"/>
              </w:rPr>
            </w:pPr>
          </w:p>
        </w:tc>
        <w:tc>
          <w:tcPr>
            <w:tcW w:w="840" w:type="dxa"/>
            <w:vAlign w:val="bottom"/>
            <w:tcBorders>
              <w:bottom w:val="single" w:sz="8" w:color="CFF0FC"/>
            </w:tcBorders>
            <w:shd w:val="clear" w:color="auto" w:fill="CFF0FC"/>
          </w:tcPr>
          <w:p>
            <w:pPr>
              <w:spacing w:after="0"/>
              <w:rPr>
                <w:sz w:val="16"/>
                <w:szCs w:val="16"/>
                <w:color w:val="auto"/>
              </w:rPr>
            </w:pPr>
          </w:p>
        </w:tc>
        <w:tc>
          <w:tcPr>
            <w:tcW w:w="4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0.8</w:t>
            </w:r>
          </w:p>
        </w:tc>
        <w:tc>
          <w:tcPr>
            <w:tcW w:w="220" w:type="dxa"/>
            <w:vAlign w:val="bottom"/>
            <w:tcBorders>
              <w:bottom w:val="single" w:sz="8" w:color="CFF0FC"/>
            </w:tcBorders>
            <w:shd w:val="clear" w:color="auto" w:fill="CFF0FC"/>
          </w:tcPr>
          <w:p>
            <w:pPr>
              <w:spacing w:after="0"/>
              <w:rPr>
                <w:sz w:val="16"/>
                <w:szCs w:val="16"/>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1.0</w:t>
            </w:r>
          </w:p>
        </w:tc>
        <w:tc>
          <w:tcPr>
            <w:tcW w:w="100" w:type="dxa"/>
            <w:vAlign w:val="bottom"/>
            <w:tcBorders>
              <w:bottom w:val="single" w:sz="8" w:color="CFF0FC"/>
            </w:tcBorders>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760" w:type="dxa"/>
            <w:vAlign w:val="bottom"/>
            <w:gridSpan w:val="2"/>
          </w:tcPr>
          <w:p>
            <w:pPr>
              <w:ind w:left="160"/>
              <w:spacing w:after="0"/>
              <w:rPr>
                <w:sz w:val="20"/>
                <w:szCs w:val="20"/>
                <w:color w:val="auto"/>
              </w:rPr>
            </w:pPr>
            <w:r>
              <w:rPr>
                <w:rFonts w:ascii="Calibri" w:cs="Calibri" w:eastAsia="Calibri" w:hAnsi="Calibri"/>
                <w:sz w:val="15"/>
                <w:szCs w:val="15"/>
                <w:color w:val="auto"/>
              </w:rPr>
              <w:t>Investment in partnership</w:t>
            </w:r>
          </w:p>
        </w:tc>
        <w:tc>
          <w:tcPr>
            <w:tcW w:w="400" w:type="dxa"/>
            <w:vAlign w:val="bottom"/>
          </w:tcPr>
          <w:p>
            <w:pPr>
              <w:jc w:val="right"/>
              <w:spacing w:after="0"/>
              <w:rPr>
                <w:sz w:val="20"/>
                <w:szCs w:val="20"/>
                <w:color w:val="auto"/>
              </w:rPr>
            </w:pPr>
            <w:r>
              <w:rPr>
                <w:rFonts w:ascii="Calibri" w:cs="Calibri" w:eastAsia="Calibri" w:hAnsi="Calibri"/>
                <w:sz w:val="15"/>
                <w:szCs w:val="15"/>
                <w:color w:val="auto"/>
              </w:rPr>
              <w:t>4.7</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Calibri" w:cs="Calibri" w:eastAsia="Calibri" w:hAnsi="Calibri"/>
                <w:sz w:val="15"/>
                <w:szCs w:val="15"/>
                <w:color w:val="auto"/>
              </w:rPr>
              <w:t>1.0</w:t>
            </w:r>
          </w:p>
        </w:tc>
        <w:tc>
          <w:tcPr>
            <w:tcW w:w="220" w:type="dxa"/>
            <w:vAlign w:val="bottom"/>
          </w:tcPr>
          <w:p>
            <w:pPr>
              <w:spacing w:after="0"/>
              <w:rPr>
                <w:sz w:val="15"/>
                <w:szCs w:val="15"/>
                <w:color w:val="auto"/>
              </w:rPr>
            </w:pPr>
          </w:p>
        </w:tc>
        <w:tc>
          <w:tcPr>
            <w:tcW w:w="1300" w:type="dxa"/>
            <w:vAlign w:val="bottom"/>
            <w:gridSpan w:val="2"/>
          </w:tcPr>
          <w:p>
            <w:pPr>
              <w:jc w:val="right"/>
              <w:ind w:right="40"/>
              <w:spacing w:after="0"/>
              <w:rPr>
                <w:sz w:val="20"/>
                <w:szCs w:val="20"/>
                <w:color w:val="auto"/>
              </w:rPr>
            </w:pPr>
            <w:r>
              <w:rPr>
                <w:rFonts w:ascii="Calibri" w:cs="Calibri" w:eastAsia="Calibri" w:hAnsi="Calibri"/>
                <w:sz w:val="15"/>
                <w:szCs w:val="15"/>
                <w:color w:val="auto"/>
              </w:rPr>
              <w:t>(0.3 )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6760" w:type="dxa"/>
            <w:vAlign w:val="bottom"/>
            <w:tcBorders>
              <w:bottom w:val="single" w:sz="8" w:color="CFF0FC"/>
            </w:tcBorders>
            <w:gridSpan w:val="2"/>
            <w:shd w:val="clear" w:color="auto" w:fill="CFF0FC"/>
          </w:tcPr>
          <w:p>
            <w:pPr>
              <w:ind w:left="160"/>
              <w:spacing w:after="0"/>
              <w:rPr>
                <w:sz w:val="20"/>
                <w:szCs w:val="20"/>
                <w:color w:val="auto"/>
              </w:rPr>
            </w:pPr>
            <w:r>
              <w:rPr>
                <w:rFonts w:ascii="Calibri" w:cs="Calibri" w:eastAsia="Calibri" w:hAnsi="Calibri"/>
                <w:sz w:val="15"/>
                <w:szCs w:val="15"/>
                <w:color w:val="auto"/>
              </w:rPr>
              <w:t>Federal, state, and foreign provision to return diferences</w:t>
            </w:r>
          </w:p>
        </w:tc>
        <w:tc>
          <w:tcPr>
            <w:tcW w:w="6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Calibri" w:cs="Calibri" w:eastAsia="Calibri" w:hAnsi="Calibri"/>
                <w:sz w:val="15"/>
                <w:szCs w:val="15"/>
                <w:color w:val="auto"/>
              </w:rPr>
              <w:t>(1.4 )</w:t>
            </w:r>
          </w:p>
        </w:tc>
        <w:tc>
          <w:tcPr>
            <w:tcW w:w="840" w:type="dxa"/>
            <w:vAlign w:val="bottom"/>
            <w:tcBorders>
              <w:bottom w:val="single" w:sz="8" w:color="CFF0FC"/>
            </w:tcBorders>
            <w:shd w:val="clear" w:color="auto" w:fill="CFF0FC"/>
          </w:tcPr>
          <w:p>
            <w:pPr>
              <w:spacing w:after="0"/>
              <w:rPr>
                <w:sz w:val="16"/>
                <w:szCs w:val="16"/>
                <w:color w:val="auto"/>
              </w:rPr>
            </w:pPr>
          </w:p>
        </w:tc>
        <w:tc>
          <w:tcPr>
            <w:tcW w:w="6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Calibri" w:cs="Calibri" w:eastAsia="Calibri" w:hAnsi="Calibri"/>
                <w:sz w:val="15"/>
                <w:szCs w:val="15"/>
                <w:color w:val="auto"/>
              </w:rPr>
              <w:t>(0.8 )</w:t>
            </w:r>
          </w:p>
        </w:tc>
        <w:tc>
          <w:tcPr>
            <w:tcW w:w="1300" w:type="dxa"/>
            <w:vAlign w:val="bottom"/>
            <w:tcBorders>
              <w:bottom w:val="single" w:sz="8" w:color="CFF0FC"/>
            </w:tcBorders>
            <w:gridSpan w:val="2"/>
            <w:shd w:val="clear" w:color="auto" w:fill="CFF0FC"/>
          </w:tcPr>
          <w:p>
            <w:pPr>
              <w:jc w:val="right"/>
              <w:ind w:right="40"/>
              <w:spacing w:after="0"/>
              <w:rPr>
                <w:sz w:val="20"/>
                <w:szCs w:val="20"/>
                <w:color w:val="auto"/>
              </w:rPr>
            </w:pPr>
            <w:r>
              <w:rPr>
                <w:rFonts w:ascii="Calibri" w:cs="Calibri" w:eastAsia="Calibri" w:hAnsi="Calibri"/>
                <w:sz w:val="15"/>
                <w:szCs w:val="15"/>
                <w:color w:val="auto"/>
              </w:rPr>
              <w:t>(0.7 )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760" w:type="dxa"/>
            <w:vAlign w:val="bottom"/>
            <w:gridSpan w:val="2"/>
          </w:tcPr>
          <w:p>
            <w:pPr>
              <w:ind w:left="160"/>
              <w:spacing w:after="0"/>
              <w:rPr>
                <w:sz w:val="20"/>
                <w:szCs w:val="20"/>
                <w:color w:val="auto"/>
              </w:rPr>
            </w:pPr>
            <w:r>
              <w:rPr>
                <w:rFonts w:ascii="Calibri" w:cs="Calibri" w:eastAsia="Calibri" w:hAnsi="Calibri"/>
                <w:sz w:val="15"/>
                <w:szCs w:val="15"/>
                <w:color w:val="auto"/>
              </w:rPr>
              <w:t>Uncertain tax provision</w:t>
            </w:r>
          </w:p>
        </w:tc>
        <w:tc>
          <w:tcPr>
            <w:tcW w:w="400" w:type="dxa"/>
            <w:vAlign w:val="bottom"/>
          </w:tcPr>
          <w:p>
            <w:pPr>
              <w:jc w:val="right"/>
              <w:spacing w:after="0"/>
              <w:rPr>
                <w:sz w:val="20"/>
                <w:szCs w:val="20"/>
                <w:color w:val="auto"/>
              </w:rPr>
            </w:pPr>
            <w:r>
              <w:rPr>
                <w:rFonts w:ascii="Calibri" w:cs="Calibri" w:eastAsia="Calibri" w:hAnsi="Calibri"/>
                <w:sz w:val="15"/>
                <w:szCs w:val="15"/>
                <w:color w:val="auto"/>
              </w:rPr>
              <w:t>0.4</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Calibri" w:cs="Calibri" w:eastAsia="Calibri" w:hAnsi="Calibri"/>
                <w:sz w:val="15"/>
                <w:szCs w:val="15"/>
                <w:color w:val="auto"/>
              </w:rPr>
              <w:t>0.5</w:t>
            </w:r>
          </w:p>
        </w:tc>
        <w:tc>
          <w:tcPr>
            <w:tcW w:w="220" w:type="dxa"/>
            <w:vAlign w:val="bottom"/>
          </w:tcPr>
          <w:p>
            <w:pPr>
              <w:spacing w:after="0"/>
              <w:rPr>
                <w:sz w:val="15"/>
                <w:szCs w:val="15"/>
                <w:color w:val="auto"/>
              </w:rPr>
            </w:pPr>
          </w:p>
        </w:tc>
        <w:tc>
          <w:tcPr>
            <w:tcW w:w="1300" w:type="dxa"/>
            <w:vAlign w:val="bottom"/>
            <w:gridSpan w:val="2"/>
          </w:tcPr>
          <w:p>
            <w:pPr>
              <w:jc w:val="right"/>
              <w:ind w:right="100"/>
              <w:spacing w:after="0"/>
              <w:rPr>
                <w:sz w:val="20"/>
                <w:szCs w:val="20"/>
                <w:color w:val="auto"/>
              </w:rPr>
            </w:pPr>
            <w:r>
              <w:rPr>
                <w:rFonts w:ascii="Calibri" w:cs="Calibri" w:eastAsia="Calibri" w:hAnsi="Calibri"/>
                <w:sz w:val="15"/>
                <w:szCs w:val="15"/>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7"/>
        </w:trPr>
        <w:tc>
          <w:tcPr>
            <w:tcW w:w="6760" w:type="dxa"/>
            <w:vAlign w:val="bottom"/>
            <w:tcBorders>
              <w:bottom w:val="single" w:sz="8" w:color="CFF0FC"/>
            </w:tcBorders>
            <w:gridSpan w:val="2"/>
            <w:shd w:val="clear" w:color="auto" w:fill="CFF0FC"/>
          </w:tcPr>
          <w:p>
            <w:pPr>
              <w:ind w:left="160"/>
              <w:spacing w:after="0"/>
              <w:rPr>
                <w:sz w:val="20"/>
                <w:szCs w:val="20"/>
                <w:color w:val="auto"/>
              </w:rPr>
            </w:pPr>
            <w:r>
              <w:rPr>
                <w:rFonts w:ascii="Calibri" w:cs="Calibri" w:eastAsia="Calibri" w:hAnsi="Calibri"/>
                <w:sz w:val="15"/>
                <w:szCs w:val="15"/>
                <w:color w:val="auto"/>
              </w:rPr>
              <w:t>CarOfer and AutoList M&amp;A</w:t>
            </w:r>
          </w:p>
        </w:tc>
        <w:tc>
          <w:tcPr>
            <w:tcW w:w="4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2.9</w:t>
            </w:r>
          </w:p>
        </w:tc>
        <w:tc>
          <w:tcPr>
            <w:tcW w:w="220" w:type="dxa"/>
            <w:vAlign w:val="bottom"/>
            <w:tcBorders>
              <w:bottom w:val="single" w:sz="8" w:color="CFF0FC"/>
            </w:tcBorders>
            <w:shd w:val="clear" w:color="auto" w:fill="CFF0FC"/>
          </w:tcPr>
          <w:p>
            <w:pPr>
              <w:spacing w:after="0"/>
              <w:rPr>
                <w:sz w:val="16"/>
                <w:szCs w:val="16"/>
                <w:color w:val="auto"/>
              </w:rPr>
            </w:pPr>
          </w:p>
        </w:tc>
        <w:tc>
          <w:tcPr>
            <w:tcW w:w="840" w:type="dxa"/>
            <w:vAlign w:val="bottom"/>
            <w:tcBorders>
              <w:bottom w:val="single" w:sz="8" w:color="CFF0FC"/>
            </w:tcBorders>
            <w:shd w:val="clear" w:color="auto" w:fill="CFF0FC"/>
          </w:tcPr>
          <w:p>
            <w:pPr>
              <w:spacing w:after="0"/>
              <w:rPr>
                <w:sz w:val="16"/>
                <w:szCs w:val="16"/>
                <w:color w:val="auto"/>
              </w:rPr>
            </w:pPr>
          </w:p>
        </w:tc>
        <w:tc>
          <w:tcPr>
            <w:tcW w:w="62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Calibri" w:cs="Calibri" w:eastAsia="Calibri" w:hAnsi="Calibri"/>
                <w:sz w:val="15"/>
                <w:szCs w:val="15"/>
                <w:color w:val="auto"/>
              </w:rPr>
              <w:t>—</w:t>
            </w:r>
          </w:p>
        </w:tc>
        <w:tc>
          <w:tcPr>
            <w:tcW w:w="130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Calibri" w:cs="Calibri" w:eastAsia="Calibri" w:hAnsi="Calibri"/>
                <w:sz w:val="15"/>
                <w:szCs w:val="15"/>
                <w:color w:val="auto"/>
              </w:rPr>
              <w:t>—</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760" w:type="dxa"/>
            <w:vAlign w:val="bottom"/>
            <w:gridSpan w:val="2"/>
          </w:tcPr>
          <w:p>
            <w:pPr>
              <w:ind w:left="160"/>
              <w:spacing w:after="0"/>
              <w:rPr>
                <w:sz w:val="20"/>
                <w:szCs w:val="20"/>
                <w:color w:val="auto"/>
              </w:rPr>
            </w:pPr>
            <w:r>
              <w:rPr>
                <w:rFonts w:ascii="Calibri" w:cs="Calibri" w:eastAsia="Calibri" w:hAnsi="Calibri"/>
                <w:sz w:val="15"/>
                <w:szCs w:val="15"/>
                <w:color w:val="auto"/>
              </w:rPr>
              <w:t>Other</w:t>
            </w:r>
          </w:p>
        </w:tc>
        <w:tc>
          <w:tcPr>
            <w:tcW w:w="400" w:type="dxa"/>
            <w:vAlign w:val="bottom"/>
          </w:tcPr>
          <w:p>
            <w:pPr>
              <w:jc w:val="right"/>
              <w:spacing w:after="0"/>
              <w:rPr>
                <w:sz w:val="20"/>
                <w:szCs w:val="20"/>
                <w:color w:val="auto"/>
              </w:rPr>
            </w:pPr>
            <w:r>
              <w:rPr>
                <w:rFonts w:ascii="Calibri" w:cs="Calibri" w:eastAsia="Calibri" w:hAnsi="Calibri"/>
                <w:sz w:val="15"/>
                <w:szCs w:val="15"/>
                <w:color w:val="auto"/>
              </w:rPr>
              <w:t>0.0</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Calibri" w:cs="Calibri" w:eastAsia="Calibri" w:hAnsi="Calibri"/>
                <w:sz w:val="15"/>
                <w:szCs w:val="15"/>
                <w:color w:val="auto"/>
              </w:rPr>
              <w:t>(0.0)</w:t>
            </w:r>
          </w:p>
        </w:tc>
        <w:tc>
          <w:tcPr>
            <w:tcW w:w="220" w:type="dxa"/>
            <w:vAlign w:val="bottom"/>
          </w:tcPr>
          <w:p>
            <w:pPr>
              <w:spacing w:after="0"/>
              <w:rPr>
                <w:sz w:val="15"/>
                <w:szCs w:val="15"/>
                <w:color w:val="auto"/>
              </w:rPr>
            </w:pPr>
          </w:p>
        </w:tc>
        <w:tc>
          <w:tcPr>
            <w:tcW w:w="1300" w:type="dxa"/>
            <w:vAlign w:val="bottom"/>
            <w:gridSpan w:val="2"/>
          </w:tcPr>
          <w:p>
            <w:pPr>
              <w:jc w:val="right"/>
              <w:ind w:right="40"/>
              <w:spacing w:after="0"/>
              <w:rPr>
                <w:sz w:val="20"/>
                <w:szCs w:val="20"/>
                <w:color w:val="auto"/>
              </w:rPr>
            </w:pPr>
            <w:r>
              <w:rPr>
                <w:rFonts w:ascii="Calibri" w:cs="Calibri" w:eastAsia="Calibri" w:hAnsi="Calibri"/>
                <w:sz w:val="15"/>
                <w:szCs w:val="15"/>
                <w:color w:val="auto"/>
              </w:rPr>
              <w:t>(0.2 )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9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6760" w:type="dxa"/>
            <w:vAlign w:val="bottom"/>
            <w:gridSpan w:val="2"/>
          </w:tcPr>
          <w:p>
            <w:pPr>
              <w:spacing w:after="0" w:line="174" w:lineRule="exact"/>
              <w:rPr>
                <w:sz w:val="20"/>
                <w:szCs w:val="20"/>
                <w:color w:val="auto"/>
              </w:rPr>
            </w:pPr>
            <w:r>
              <w:rPr>
                <w:rFonts w:ascii="Calibri" w:cs="Calibri" w:eastAsia="Calibri" w:hAnsi="Calibri"/>
                <w:sz w:val="15"/>
                <w:szCs w:val="15"/>
                <w:color w:val="auto"/>
              </w:rPr>
              <w:t>Consolidated efectve tax rate</w:t>
            </w:r>
          </w:p>
        </w:tc>
        <w:tc>
          <w:tcPr>
            <w:tcW w:w="620" w:type="dxa"/>
            <w:vAlign w:val="bottom"/>
            <w:gridSpan w:val="2"/>
          </w:tcPr>
          <w:p>
            <w:pPr>
              <w:jc w:val="right"/>
              <w:ind w:right="100"/>
              <w:spacing w:after="0" w:line="174" w:lineRule="exact"/>
              <w:rPr>
                <w:sz w:val="20"/>
                <w:szCs w:val="20"/>
                <w:color w:val="auto"/>
              </w:rPr>
            </w:pPr>
            <w:r>
              <w:rPr>
                <w:rFonts w:ascii="Calibri" w:cs="Calibri" w:eastAsia="Calibri" w:hAnsi="Calibri"/>
                <w:sz w:val="15"/>
                <w:szCs w:val="15"/>
                <w:color w:val="auto"/>
              </w:rPr>
              <w:t>49.2 %</w:t>
            </w:r>
          </w:p>
        </w:tc>
        <w:tc>
          <w:tcPr>
            <w:tcW w:w="840" w:type="dxa"/>
            <w:vAlign w:val="bottom"/>
          </w:tcPr>
          <w:p>
            <w:pPr>
              <w:spacing w:after="0"/>
              <w:rPr>
                <w:sz w:val="15"/>
                <w:szCs w:val="15"/>
                <w:color w:val="auto"/>
              </w:rPr>
            </w:pPr>
          </w:p>
        </w:tc>
        <w:tc>
          <w:tcPr>
            <w:tcW w:w="620" w:type="dxa"/>
            <w:vAlign w:val="bottom"/>
            <w:gridSpan w:val="2"/>
          </w:tcPr>
          <w:p>
            <w:pPr>
              <w:jc w:val="right"/>
              <w:ind w:right="100"/>
              <w:spacing w:after="0" w:line="174" w:lineRule="exact"/>
              <w:rPr>
                <w:sz w:val="20"/>
                <w:szCs w:val="20"/>
                <w:color w:val="auto"/>
              </w:rPr>
            </w:pPr>
            <w:r>
              <w:rPr>
                <w:rFonts w:ascii="Calibri" w:cs="Calibri" w:eastAsia="Calibri" w:hAnsi="Calibri"/>
                <w:sz w:val="15"/>
                <w:szCs w:val="15"/>
                <w:color w:val="auto"/>
              </w:rPr>
              <w:t>28.7 %</w:t>
            </w:r>
          </w:p>
        </w:tc>
        <w:tc>
          <w:tcPr>
            <w:tcW w:w="1320" w:type="dxa"/>
            <w:vAlign w:val="bottom"/>
            <w:gridSpan w:val="3"/>
          </w:tcPr>
          <w:p>
            <w:pPr>
              <w:jc w:val="right"/>
              <w:spacing w:after="0" w:line="174" w:lineRule="exact"/>
              <w:rPr>
                <w:sz w:val="20"/>
                <w:szCs w:val="20"/>
                <w:color w:val="auto"/>
              </w:rPr>
            </w:pPr>
            <w:r>
              <w:rPr>
                <w:rFonts w:ascii="Calibri" w:cs="Calibri" w:eastAsia="Calibri" w:hAnsi="Calibri"/>
                <w:sz w:val="15"/>
                <w:szCs w:val="15"/>
                <w:color w:val="auto"/>
              </w:rPr>
              <w:t>26.1 %</w:t>
            </w:r>
          </w:p>
        </w:tc>
        <w:tc>
          <w:tcPr>
            <w:tcW w:w="0" w:type="dxa"/>
            <w:vAlign w:val="bottom"/>
          </w:tcPr>
          <w:p>
            <w:pPr>
              <w:spacing w:after="0"/>
              <w:rPr>
                <w:sz w:val="1"/>
                <w:szCs w:val="1"/>
                <w:color w:val="auto"/>
              </w:rPr>
            </w:pPr>
          </w:p>
        </w:tc>
      </w:tr>
      <w:tr>
        <w:trPr>
          <w:trHeight w:val="200"/>
        </w:trPr>
        <w:tc>
          <w:tcPr>
            <w:tcW w:w="6760" w:type="dxa"/>
            <w:vAlign w:val="bottom"/>
            <w:gridSpan w:val="2"/>
          </w:tcPr>
          <w:p>
            <w:pPr>
              <w:spacing w:after="0"/>
              <w:rPr>
                <w:sz w:val="20"/>
                <w:szCs w:val="20"/>
                <w:color w:val="auto"/>
              </w:rPr>
            </w:pPr>
            <w:r>
              <w:rPr>
                <w:rFonts w:ascii="Calibri" w:cs="Calibri" w:eastAsia="Calibri" w:hAnsi="Calibri"/>
                <w:sz w:val="15"/>
                <w:szCs w:val="15"/>
                <w:color w:val="auto"/>
              </w:rPr>
              <w:t>Efectve tax rate atributable to redeemable noncontrolling</w:t>
            </w:r>
          </w:p>
        </w:tc>
        <w:tc>
          <w:tcPr>
            <w:tcW w:w="620" w:type="dxa"/>
            <w:vAlign w:val="bottom"/>
            <w:gridSpan w:val="2"/>
            <w:vMerge w:val="restart"/>
          </w:tcPr>
          <w:p>
            <w:pPr>
              <w:jc w:val="right"/>
              <w:ind w:right="160"/>
              <w:spacing w:after="0"/>
              <w:rPr>
                <w:sz w:val="20"/>
                <w:szCs w:val="20"/>
                <w:color w:val="auto"/>
              </w:rPr>
            </w:pPr>
            <w:r>
              <w:rPr>
                <w:rFonts w:ascii="Calibri" w:cs="Calibri" w:eastAsia="Calibri" w:hAnsi="Calibri"/>
                <w:sz w:val="15"/>
                <w:szCs w:val="15"/>
                <w:color w:val="auto"/>
              </w:rPr>
              <w:t>(4.7 )</w:t>
            </w:r>
          </w:p>
        </w:tc>
        <w:tc>
          <w:tcPr>
            <w:tcW w:w="840" w:type="dxa"/>
            <w:vAlign w:val="bottom"/>
          </w:tcPr>
          <w:p>
            <w:pPr>
              <w:spacing w:after="0"/>
              <w:rPr>
                <w:sz w:val="17"/>
                <w:szCs w:val="17"/>
                <w:color w:val="auto"/>
              </w:rPr>
            </w:pPr>
          </w:p>
        </w:tc>
        <w:tc>
          <w:tcPr>
            <w:tcW w:w="620" w:type="dxa"/>
            <w:vAlign w:val="bottom"/>
            <w:gridSpan w:val="2"/>
            <w:vMerge w:val="restart"/>
          </w:tcPr>
          <w:p>
            <w:pPr>
              <w:jc w:val="right"/>
              <w:ind w:right="160"/>
              <w:spacing w:after="0"/>
              <w:rPr>
                <w:sz w:val="20"/>
                <w:szCs w:val="20"/>
                <w:color w:val="auto"/>
              </w:rPr>
            </w:pPr>
            <w:r>
              <w:rPr>
                <w:rFonts w:ascii="Calibri" w:cs="Calibri" w:eastAsia="Calibri" w:hAnsi="Calibri"/>
                <w:sz w:val="15"/>
                <w:szCs w:val="15"/>
                <w:color w:val="auto"/>
              </w:rPr>
              <w:t>(1.0 )</w:t>
            </w:r>
          </w:p>
        </w:tc>
        <w:tc>
          <w:tcPr>
            <w:tcW w:w="1200" w:type="dxa"/>
            <w:vAlign w:val="bottom"/>
            <w:vMerge w:val="restart"/>
          </w:tcPr>
          <w:p>
            <w:pPr>
              <w:jc w:val="right"/>
              <w:spacing w:after="0"/>
              <w:rPr>
                <w:sz w:val="20"/>
                <w:szCs w:val="20"/>
                <w:color w:val="auto"/>
              </w:rPr>
            </w:pPr>
            <w:r>
              <w:rPr>
                <w:rFonts w:ascii="Calibri" w:cs="Calibri" w:eastAsia="Calibri" w:hAnsi="Calibri"/>
                <w:sz w:val="15"/>
                <w:szCs w:val="15"/>
                <w:color w:val="auto"/>
              </w:rPr>
              <w:t>0.2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920" w:type="dxa"/>
            <w:vAlign w:val="bottom"/>
          </w:tcPr>
          <w:p>
            <w:pPr>
              <w:ind w:left="100"/>
              <w:spacing w:after="0"/>
              <w:rPr>
                <w:sz w:val="20"/>
                <w:szCs w:val="20"/>
                <w:color w:val="auto"/>
              </w:rPr>
            </w:pPr>
            <w:r>
              <w:rPr>
                <w:rFonts w:ascii="Calibri" w:cs="Calibri" w:eastAsia="Calibri" w:hAnsi="Calibri"/>
                <w:sz w:val="15"/>
                <w:szCs w:val="15"/>
                <w:color w:val="auto"/>
              </w:rPr>
              <w:t>interest</w:t>
            </w:r>
          </w:p>
        </w:tc>
        <w:tc>
          <w:tcPr>
            <w:tcW w:w="84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84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59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920" w:type="dxa"/>
            <w:vAlign w:val="bottom"/>
          </w:tcPr>
          <w:p>
            <w:pPr>
              <w:spacing w:after="0"/>
              <w:rPr>
                <w:sz w:val="20"/>
                <w:szCs w:val="20"/>
                <w:color w:val="auto"/>
              </w:rPr>
            </w:pPr>
            <w:r>
              <w:rPr>
                <w:rFonts w:ascii="Calibri" w:cs="Calibri" w:eastAsia="Calibri" w:hAnsi="Calibri"/>
                <w:sz w:val="15"/>
                <w:szCs w:val="15"/>
                <w:color w:val="auto"/>
              </w:rPr>
              <w:t>Efectve tax rate atributable to CarGurus, Inc.</w:t>
            </w:r>
          </w:p>
        </w:tc>
        <w:tc>
          <w:tcPr>
            <w:tcW w:w="840" w:type="dxa"/>
            <w:vAlign w:val="bottom"/>
          </w:tcPr>
          <w:p>
            <w:pPr>
              <w:spacing w:after="0"/>
              <w:rPr>
                <w:sz w:val="15"/>
                <w:szCs w:val="15"/>
                <w:color w:val="auto"/>
              </w:rPr>
            </w:pPr>
          </w:p>
        </w:tc>
        <w:tc>
          <w:tcPr>
            <w:tcW w:w="620" w:type="dxa"/>
            <w:vAlign w:val="bottom"/>
            <w:gridSpan w:val="2"/>
          </w:tcPr>
          <w:p>
            <w:pPr>
              <w:jc w:val="right"/>
              <w:ind w:right="100"/>
              <w:spacing w:after="0"/>
              <w:rPr>
                <w:sz w:val="20"/>
                <w:szCs w:val="20"/>
                <w:color w:val="auto"/>
              </w:rPr>
            </w:pPr>
            <w:r>
              <w:rPr>
                <w:rFonts w:ascii="Calibri" w:cs="Calibri" w:eastAsia="Calibri" w:hAnsi="Calibri"/>
                <w:sz w:val="15"/>
                <w:szCs w:val="15"/>
                <w:color w:val="auto"/>
              </w:rPr>
              <w:t>44.5 %</w:t>
            </w:r>
          </w:p>
        </w:tc>
        <w:tc>
          <w:tcPr>
            <w:tcW w:w="840" w:type="dxa"/>
            <w:vAlign w:val="bottom"/>
          </w:tcPr>
          <w:p>
            <w:pPr>
              <w:spacing w:after="0"/>
              <w:rPr>
                <w:sz w:val="15"/>
                <w:szCs w:val="15"/>
                <w:color w:val="auto"/>
              </w:rPr>
            </w:pPr>
          </w:p>
        </w:tc>
        <w:tc>
          <w:tcPr>
            <w:tcW w:w="620" w:type="dxa"/>
            <w:vAlign w:val="bottom"/>
            <w:gridSpan w:val="2"/>
          </w:tcPr>
          <w:p>
            <w:pPr>
              <w:jc w:val="right"/>
              <w:ind w:right="100"/>
              <w:spacing w:after="0"/>
              <w:rPr>
                <w:sz w:val="20"/>
                <w:szCs w:val="20"/>
                <w:color w:val="auto"/>
              </w:rPr>
            </w:pPr>
            <w:r>
              <w:rPr>
                <w:rFonts w:ascii="Calibri" w:cs="Calibri" w:eastAsia="Calibri" w:hAnsi="Calibri"/>
                <w:sz w:val="15"/>
                <w:szCs w:val="15"/>
                <w:color w:val="auto"/>
              </w:rPr>
              <w:t>27.7 %</w:t>
            </w:r>
          </w:p>
        </w:tc>
        <w:tc>
          <w:tcPr>
            <w:tcW w:w="1320" w:type="dxa"/>
            <w:vAlign w:val="bottom"/>
            <w:gridSpan w:val="3"/>
          </w:tcPr>
          <w:p>
            <w:pPr>
              <w:jc w:val="right"/>
              <w:spacing w:after="0"/>
              <w:rPr>
                <w:sz w:val="20"/>
                <w:szCs w:val="20"/>
                <w:color w:val="auto"/>
              </w:rPr>
            </w:pPr>
            <w:r>
              <w:rPr>
                <w:rFonts w:ascii="Calibri" w:cs="Calibri" w:eastAsia="Calibri" w:hAnsi="Calibri"/>
                <w:sz w:val="15"/>
                <w:szCs w:val="15"/>
                <w:color w:val="auto"/>
              </w:rPr>
              <w:t>26.3 %</w:t>
            </w:r>
          </w:p>
        </w:tc>
        <w:tc>
          <w:tcPr>
            <w:tcW w:w="0" w:type="dxa"/>
            <w:vAlign w:val="bottom"/>
          </w:tcPr>
          <w:p>
            <w:pPr>
              <w:spacing w:after="0"/>
              <w:rPr>
                <w:sz w:val="1"/>
                <w:szCs w:val="1"/>
                <w:color w:val="auto"/>
              </w:rPr>
            </w:pPr>
          </w:p>
        </w:tc>
      </w:tr>
      <w:tr>
        <w:trPr>
          <w:trHeight w:val="24"/>
        </w:trPr>
        <w:tc>
          <w:tcPr>
            <w:tcW w:w="59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-2118360</wp:posOffset>
            </wp:positionV>
            <wp:extent cx="6436360" cy="1314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436360" cy="131445"/>
                    </a:xfrm>
                    <a:prstGeom prst="rect">
                      <a:avLst/>
                    </a:prstGeom>
                    <a:noFill/>
                  </pic:spPr>
                </pic:pic>
              </a:graphicData>
            </a:graphic>
          </wp:anchor>
        </w:drawing>
        <w:drawing>
          <wp:anchor simplePos="0" relativeHeight="251657728" behindDoc="1" locked="0" layoutInCell="0" allowOverlap="1">
            <wp:simplePos x="0" y="0"/>
            <wp:positionH relativeFrom="column">
              <wp:posOffset>353060</wp:posOffset>
            </wp:positionH>
            <wp:positionV relativeFrom="paragraph">
              <wp:posOffset>-532765</wp:posOffset>
            </wp:positionV>
            <wp:extent cx="6436360" cy="1314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436360" cy="131445"/>
                    </a:xfrm>
                    <a:prstGeom prst="rect">
                      <a:avLst/>
                    </a:prstGeom>
                    <a:noFill/>
                  </pic:spPr>
                </pic:pic>
              </a:graphicData>
            </a:graphic>
          </wp:anchor>
        </w:drawing>
        <w:drawing>
          <wp:anchor simplePos="0" relativeHeight="251657728" behindDoc="1" locked="0" layoutInCell="0" allowOverlap="1">
            <wp:simplePos x="0" y="0"/>
            <wp:positionH relativeFrom="column">
              <wp:posOffset>353060</wp:posOffset>
            </wp:positionH>
            <wp:positionV relativeFrom="paragraph">
              <wp:posOffset>-153035</wp:posOffset>
            </wp:positionV>
            <wp:extent cx="6436360" cy="15367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436360" cy="153670"/>
                    </a:xfrm>
                    <a:prstGeom prst="rect">
                      <a:avLst/>
                    </a:prstGeom>
                    <a:noFill/>
                  </pic:spPr>
                </pic:pic>
              </a:graphicData>
            </a:graphic>
          </wp:anchor>
        </w:drawing>
      </w:r>
    </w:p>
    <w:p>
      <w:pPr>
        <w:spacing w:after="0" w:line="330"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For the year ended December 31, 2023, the efectve tax rate atributable to CarGurus, Inc. was 44.5%, which is greater than the statutory tax rate of 21%, principally due to state and local income taxes inclusive of the impact from the recently passed Massachusets apportonment tax rule, shortalls on the taxable compensaton of share-based awards, the Secton 162(m) excess ofcer compensaton limitaton, and tax impact associated with the 2023 CarOfer Transacton, partally ofset by federal and state research and development tax credits.</w:t>
      </w:r>
    </w:p>
    <w:p>
      <w:pPr>
        <w:spacing w:after="0" w:line="369"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For the year ended December 31, 2022, the efectve tax rate atributable to CarGurus, Inc. was 27.7%, which is greater than the U.S. federal statutory rate primarily due to state and local income taxes, the exclusion of loss from investment in partnership, shortalls on the taxable compensaton of share-based awards, and the Secton 162(m) excess ofcer compensaton limitaton, partally ofset by federal and state research and development tax credits.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For the year ended December 31, 2021, the efectve tax rate atributable to CarGurus, Inc. was 26.3%, which is greater than the U.S. federal statutory rate primarily due to state and local income taxes, shortalls on the taxable compensaton of share-based awards, and the Secton 162(m) excess ofcer compensaton limitaton, which became applicable in May 2021 upon the expiraton of the transiton period permited following the IPO, partally ofset by federal and state research and development tax credits.</w:t>
      </w:r>
    </w:p>
    <w:p>
      <w:pPr>
        <w:spacing w:after="0" w:line="185" w:lineRule="exact"/>
        <w:rPr>
          <w:sz w:val="20"/>
          <w:szCs w:val="20"/>
          <w:color w:val="auto"/>
        </w:rPr>
      </w:pPr>
    </w:p>
    <w:p>
      <w:pPr>
        <w:jc w:val="center"/>
        <w:spacing w:after="0"/>
        <w:rPr>
          <w:sz w:val="20"/>
          <w:szCs w:val="20"/>
          <w:color w:val="auto"/>
        </w:rPr>
      </w:pPr>
      <w:r>
        <w:rPr>
          <w:rFonts w:ascii="Calibri" w:cs="Calibri" w:eastAsia="Calibri" w:hAnsi="Calibri"/>
          <w:sz w:val="15"/>
          <w:szCs w:val="15"/>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401320</wp:posOffset>
            </wp:positionV>
            <wp:extent cx="7178040" cy="4000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3" w:right="319" w:bottom="1440" w:gutter="0" w:footer="0" w:header="0"/>
        </w:sectPr>
      </w:pPr>
    </w:p>
    <w:bookmarkStart w:id="129" w:name="page130"/>
    <w:bookmarkEnd w:id="129"/>
    <w:p>
      <w:pPr>
        <w:ind w:left="500"/>
        <w:spacing w:after="0"/>
        <w:rPr>
          <w:sz w:val="20"/>
          <w:szCs w:val="20"/>
          <w:color w:val="auto"/>
        </w:rPr>
      </w:pPr>
      <w:r>
        <w:rPr>
          <w:rFonts w:ascii="Calibri" w:cs="Calibri" w:eastAsia="Calibri" w:hAnsi="Calibri"/>
          <w:sz w:val="15"/>
          <w:szCs w:val="15"/>
          <w:color w:val="auto"/>
        </w:rPr>
        <w:t>As of December 31, 2023 and 2022, the approximate income tax efect of each type of temporary diference and carryforward is as follows:</w:t>
      </w:r>
    </w:p>
    <w:p>
      <w:pPr>
        <w:spacing w:after="0" w:line="202" w:lineRule="exact"/>
        <w:rPr>
          <w:sz w:val="20"/>
          <w:szCs w:val="20"/>
          <w:color w:val="auto"/>
        </w:rPr>
      </w:pPr>
    </w:p>
    <w:tbl>
      <w:tblPr>
        <w:tblLayout w:type="fixed"/>
        <w:tblInd w:w="560" w:type="dxa"/>
        <w:tblCellMar>
          <w:top w:w="0" w:type="dxa"/>
          <w:left w:w="0" w:type="dxa"/>
          <w:bottom w:w="0" w:type="dxa"/>
          <w:right w:w="0" w:type="dxa"/>
        </w:tblCellMar>
      </w:tblPr>
      <w:tr>
        <w:trPr>
          <w:trHeight w:val="146"/>
        </w:trPr>
        <w:tc>
          <w:tcPr>
            <w:tcW w:w="6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20" w:type="dxa"/>
            <w:vAlign w:val="bottom"/>
            <w:gridSpan w:val="3"/>
          </w:tcPr>
          <w:p>
            <w:pPr>
              <w:jc w:val="right"/>
              <w:ind w:right="43"/>
              <w:spacing w:after="0"/>
              <w:rPr>
                <w:sz w:val="20"/>
                <w:szCs w:val="20"/>
                <w:color w:val="auto"/>
              </w:rPr>
            </w:pPr>
            <w:r>
              <w:rPr>
                <w:rFonts w:ascii="Calibri" w:cs="Calibri" w:eastAsia="Calibri" w:hAnsi="Calibri"/>
                <w:sz w:val="12"/>
                <w:szCs w:val="12"/>
                <w:b w:val="1"/>
                <w:bCs w:val="1"/>
                <w:color w:val="auto"/>
              </w:rPr>
              <w:t>As of December 31,</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8"/>
        </w:trPr>
        <w:tc>
          <w:tcPr>
            <w:tcW w:w="69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37"/>
        </w:trPr>
        <w:tc>
          <w:tcPr>
            <w:tcW w:w="69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jc w:val="right"/>
              <w:ind w:right="505"/>
              <w:spacing w:after="0" w:line="138" w:lineRule="exact"/>
              <w:rPr>
                <w:sz w:val="20"/>
                <w:szCs w:val="20"/>
                <w:color w:val="auto"/>
              </w:rPr>
            </w:pPr>
            <w:r>
              <w:rPr>
                <w:rFonts w:ascii="Calibri" w:cs="Calibri" w:eastAsia="Calibri" w:hAnsi="Calibri"/>
                <w:sz w:val="12"/>
                <w:szCs w:val="12"/>
                <w:b w:val="1"/>
                <w:bCs w:val="1"/>
                <w:color w:val="auto"/>
              </w:rPr>
              <w:t>2023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40" w:type="dxa"/>
            <w:vAlign w:val="bottom"/>
          </w:tcPr>
          <w:p>
            <w:pPr>
              <w:jc w:val="right"/>
              <w:ind w:right="504"/>
              <w:spacing w:after="0" w:line="138" w:lineRule="exact"/>
              <w:rPr>
                <w:sz w:val="20"/>
                <w:szCs w:val="20"/>
                <w:color w:val="auto"/>
              </w:rPr>
            </w:pPr>
            <w:r>
              <w:rPr>
                <w:rFonts w:ascii="Calibri" w:cs="Calibri" w:eastAsia="Calibri" w:hAnsi="Calibri"/>
                <w:sz w:val="12"/>
                <w:szCs w:val="12"/>
                <w:b w:val="1"/>
                <w:bCs w:val="1"/>
                <w:color w:val="auto"/>
              </w:rPr>
              <w:t>2022</w:t>
            </w:r>
          </w:p>
        </w:tc>
        <w:tc>
          <w:tcPr>
            <w:tcW w:w="100" w:type="dxa"/>
            <w:vAlign w:val="bottom"/>
          </w:tcPr>
          <w:p>
            <w:pPr>
              <w:spacing w:after="0"/>
              <w:rPr>
                <w:sz w:val="11"/>
                <w:szCs w:val="11"/>
                <w:color w:val="auto"/>
              </w:rPr>
            </w:pPr>
          </w:p>
        </w:tc>
      </w:tr>
      <w:tr>
        <w:trPr>
          <w:trHeight w:val="27"/>
        </w:trPr>
        <w:tc>
          <w:tcPr>
            <w:tcW w:w="69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79"/>
        </w:trPr>
        <w:tc>
          <w:tcPr>
            <w:tcW w:w="6940" w:type="dxa"/>
            <w:vAlign w:val="bottom"/>
            <w:tcBorders>
              <w:bottom w:val="single" w:sz="8" w:color="CFF0FC"/>
            </w:tcBorders>
            <w:shd w:val="clear" w:color="auto" w:fill="CFF0FC"/>
          </w:tcPr>
          <w:p>
            <w:pPr>
              <w:spacing w:after="0" w:line="174" w:lineRule="exact"/>
              <w:rPr>
                <w:sz w:val="20"/>
                <w:szCs w:val="20"/>
                <w:color w:val="auto"/>
              </w:rPr>
            </w:pPr>
            <w:r>
              <w:rPr>
                <w:rFonts w:ascii="Calibri" w:cs="Calibri" w:eastAsia="Calibri" w:hAnsi="Calibri"/>
                <w:sz w:val="15"/>
                <w:szCs w:val="15"/>
                <w:color w:val="auto"/>
              </w:rPr>
              <w:t>Deferred tax assets:</w:t>
            </w:r>
          </w:p>
        </w:tc>
        <w:tc>
          <w:tcPr>
            <w:tcW w:w="340" w:type="dxa"/>
            <w:vAlign w:val="bottom"/>
            <w:tcBorders>
              <w:bottom w:val="single" w:sz="8" w:color="CFF0FC"/>
            </w:tcBorders>
            <w:shd w:val="clear" w:color="auto" w:fill="CFF0FC"/>
          </w:tcPr>
          <w:p>
            <w:pPr>
              <w:spacing w:after="0"/>
              <w:rPr>
                <w:sz w:val="15"/>
                <w:szCs w:val="15"/>
                <w:color w:val="auto"/>
              </w:rPr>
            </w:pPr>
          </w:p>
        </w:tc>
        <w:tc>
          <w:tcPr>
            <w:tcW w:w="108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spacing w:after="0"/>
              <w:rPr>
                <w:sz w:val="15"/>
                <w:szCs w:val="15"/>
                <w:color w:val="auto"/>
              </w:rPr>
            </w:pPr>
          </w:p>
        </w:tc>
        <w:tc>
          <w:tcPr>
            <w:tcW w:w="460" w:type="dxa"/>
            <w:vAlign w:val="bottom"/>
            <w:tcBorders>
              <w:bottom w:val="single" w:sz="8" w:color="CFF0FC"/>
            </w:tcBorders>
            <w:shd w:val="clear" w:color="auto" w:fill="CFF0FC"/>
          </w:tcPr>
          <w:p>
            <w:pPr>
              <w:spacing w:after="0"/>
              <w:rPr>
                <w:sz w:val="15"/>
                <w:szCs w:val="15"/>
                <w:color w:val="auto"/>
              </w:rPr>
            </w:pPr>
          </w:p>
        </w:tc>
        <w:tc>
          <w:tcPr>
            <w:tcW w:w="9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r>
      <w:tr>
        <w:trPr>
          <w:trHeight w:val="183"/>
        </w:trPr>
        <w:tc>
          <w:tcPr>
            <w:tcW w:w="6940" w:type="dxa"/>
            <w:vAlign w:val="bottom"/>
          </w:tcPr>
          <w:p>
            <w:pPr>
              <w:ind w:left="160"/>
              <w:spacing w:after="0"/>
              <w:rPr>
                <w:sz w:val="20"/>
                <w:szCs w:val="20"/>
                <w:color w:val="auto"/>
              </w:rPr>
            </w:pPr>
            <w:r>
              <w:rPr>
                <w:rFonts w:ascii="Calibri" w:cs="Calibri" w:eastAsia="Calibri" w:hAnsi="Calibri"/>
                <w:sz w:val="15"/>
                <w:szCs w:val="15"/>
                <w:color w:val="auto"/>
              </w:rPr>
              <w:t>Net operatng loss carryforwards</w:t>
            </w:r>
          </w:p>
        </w:tc>
        <w:tc>
          <w:tcPr>
            <w:tcW w:w="340" w:type="dxa"/>
            <w:vAlign w:val="bottom"/>
          </w:tcPr>
          <w:p>
            <w:pPr>
              <w:jc w:val="right"/>
              <w:ind w:right="163"/>
              <w:spacing w:after="0"/>
              <w:rPr>
                <w:sz w:val="20"/>
                <w:szCs w:val="20"/>
                <w:color w:val="auto"/>
              </w:rPr>
            </w:pPr>
            <w:r>
              <w:rPr>
                <w:rFonts w:ascii="Calibri" w:cs="Calibri" w:eastAsia="Calibri" w:hAnsi="Calibri"/>
                <w:sz w:val="15"/>
                <w:szCs w:val="15"/>
                <w:color w:val="auto"/>
              </w:rPr>
              <w:t>$</w:t>
            </w:r>
          </w:p>
        </w:tc>
        <w:tc>
          <w:tcPr>
            <w:tcW w:w="1080" w:type="dxa"/>
            <w:vAlign w:val="bottom"/>
          </w:tcPr>
          <w:p>
            <w:pPr>
              <w:jc w:val="right"/>
              <w:spacing w:after="0"/>
              <w:rPr>
                <w:sz w:val="20"/>
                <w:szCs w:val="20"/>
                <w:color w:val="auto"/>
              </w:rPr>
            </w:pPr>
            <w:r>
              <w:rPr>
                <w:rFonts w:ascii="Calibri" w:cs="Calibri" w:eastAsia="Calibri" w:hAnsi="Calibri"/>
                <w:sz w:val="15"/>
                <w:szCs w:val="15"/>
                <w:color w:val="auto"/>
              </w:rPr>
              <w:t>304</w:t>
            </w:r>
          </w:p>
        </w:tc>
        <w:tc>
          <w:tcPr>
            <w:tcW w:w="280" w:type="dxa"/>
            <w:vAlign w:val="bottom"/>
          </w:tcPr>
          <w:p>
            <w:pPr>
              <w:spacing w:after="0"/>
              <w:rPr>
                <w:sz w:val="15"/>
                <w:szCs w:val="15"/>
                <w:color w:val="auto"/>
              </w:rPr>
            </w:pPr>
          </w:p>
        </w:tc>
        <w:tc>
          <w:tcPr>
            <w:tcW w:w="460" w:type="dxa"/>
            <w:vAlign w:val="bottom"/>
          </w:tcPr>
          <w:p>
            <w:pPr>
              <w:jc w:val="right"/>
              <w:ind w:right="283"/>
              <w:spacing w:after="0"/>
              <w:rPr>
                <w:sz w:val="20"/>
                <w:szCs w:val="20"/>
                <w:color w:val="auto"/>
              </w:rPr>
            </w:pPr>
            <w:r>
              <w:rPr>
                <w:rFonts w:ascii="Calibri" w:cs="Calibri" w:eastAsia="Calibri" w:hAnsi="Calibri"/>
                <w:sz w:val="15"/>
                <w:szCs w:val="15"/>
                <w:color w:val="auto"/>
              </w:rPr>
              <w:t>$</w:t>
            </w:r>
          </w:p>
        </w:tc>
        <w:tc>
          <w:tcPr>
            <w:tcW w:w="940" w:type="dxa"/>
            <w:vAlign w:val="bottom"/>
          </w:tcPr>
          <w:p>
            <w:pPr>
              <w:jc w:val="right"/>
              <w:spacing w:after="0"/>
              <w:rPr>
                <w:sz w:val="20"/>
                <w:szCs w:val="20"/>
                <w:color w:val="auto"/>
              </w:rPr>
            </w:pPr>
            <w:r>
              <w:rPr>
                <w:rFonts w:ascii="Calibri" w:cs="Calibri" w:eastAsia="Calibri" w:hAnsi="Calibri"/>
                <w:sz w:val="15"/>
                <w:szCs w:val="15"/>
                <w:color w:val="auto"/>
              </w:rPr>
              <w:t>461</w:t>
            </w:r>
          </w:p>
        </w:tc>
        <w:tc>
          <w:tcPr>
            <w:tcW w:w="100" w:type="dxa"/>
            <w:vAlign w:val="bottom"/>
          </w:tcPr>
          <w:p>
            <w:pPr>
              <w:spacing w:after="0"/>
              <w:rPr>
                <w:sz w:val="15"/>
                <w:szCs w:val="15"/>
                <w:color w:val="auto"/>
              </w:rPr>
            </w:pPr>
          </w:p>
        </w:tc>
      </w:tr>
      <w:tr>
        <w:trPr>
          <w:trHeight w:val="24"/>
        </w:trPr>
        <w:tc>
          <w:tcPr>
            <w:tcW w:w="6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7"/>
        </w:trPr>
        <w:tc>
          <w:tcPr>
            <w:tcW w:w="6940" w:type="dxa"/>
            <w:vAlign w:val="bottom"/>
            <w:tcBorders>
              <w:bottom w:val="single" w:sz="8" w:color="CFF0FC"/>
            </w:tcBorders>
            <w:shd w:val="clear" w:color="auto" w:fill="CFF0FC"/>
          </w:tcPr>
          <w:p>
            <w:pPr>
              <w:ind w:left="160"/>
              <w:spacing w:after="0"/>
              <w:rPr>
                <w:sz w:val="20"/>
                <w:szCs w:val="20"/>
                <w:color w:val="auto"/>
              </w:rPr>
            </w:pPr>
            <w:r>
              <w:rPr>
                <w:rFonts w:ascii="Calibri" w:cs="Calibri" w:eastAsia="Calibri" w:hAnsi="Calibri"/>
                <w:sz w:val="15"/>
                <w:szCs w:val="15"/>
                <w:color w:val="auto"/>
              </w:rPr>
              <w:t>Credit carryforwards</w:t>
            </w:r>
          </w:p>
        </w:tc>
        <w:tc>
          <w:tcPr>
            <w:tcW w:w="340" w:type="dxa"/>
            <w:vAlign w:val="bottom"/>
            <w:tcBorders>
              <w:bottom w:val="single" w:sz="8" w:color="CFF0FC"/>
            </w:tcBorders>
            <w:shd w:val="clear" w:color="auto" w:fill="CFF0FC"/>
          </w:tcPr>
          <w:p>
            <w:pPr>
              <w:spacing w:after="0"/>
              <w:rPr>
                <w:sz w:val="16"/>
                <w:szCs w:val="16"/>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928</w:t>
            </w:r>
          </w:p>
        </w:tc>
        <w:tc>
          <w:tcPr>
            <w:tcW w:w="280" w:type="dxa"/>
            <w:vAlign w:val="bottom"/>
            <w:tcBorders>
              <w:bottom w:val="single" w:sz="8" w:color="CFF0FC"/>
            </w:tcBorders>
            <w:shd w:val="clear" w:color="auto" w:fill="CFF0FC"/>
          </w:tcPr>
          <w:p>
            <w:pPr>
              <w:spacing w:after="0"/>
              <w:rPr>
                <w:sz w:val="16"/>
                <w:szCs w:val="16"/>
                <w:color w:val="auto"/>
              </w:rPr>
            </w:pPr>
          </w:p>
        </w:tc>
        <w:tc>
          <w:tcPr>
            <w:tcW w:w="460" w:type="dxa"/>
            <w:vAlign w:val="bottom"/>
            <w:tcBorders>
              <w:bottom w:val="single" w:sz="8" w:color="CFF0FC"/>
            </w:tcBorders>
            <w:shd w:val="clear" w:color="auto" w:fill="CFF0FC"/>
          </w:tcPr>
          <w:p>
            <w:pPr>
              <w:spacing w:after="0"/>
              <w:rPr>
                <w:sz w:val="16"/>
                <w:szCs w:val="16"/>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928</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6940" w:type="dxa"/>
            <w:vAlign w:val="bottom"/>
          </w:tcPr>
          <w:p>
            <w:pPr>
              <w:ind w:left="160"/>
              <w:spacing w:after="0"/>
              <w:rPr>
                <w:sz w:val="20"/>
                <w:szCs w:val="20"/>
                <w:color w:val="auto"/>
              </w:rPr>
            </w:pPr>
            <w:r>
              <w:rPr>
                <w:rFonts w:ascii="Calibri" w:cs="Calibri" w:eastAsia="Calibri" w:hAnsi="Calibri"/>
                <w:sz w:val="15"/>
                <w:szCs w:val="15"/>
                <w:color w:val="auto"/>
              </w:rPr>
              <w:t>Stock-based compensaton</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alibri" w:cs="Calibri" w:eastAsia="Calibri" w:hAnsi="Calibri"/>
                <w:sz w:val="15"/>
                <w:szCs w:val="15"/>
                <w:color w:val="auto"/>
              </w:rPr>
              <w:t>5,353</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alibri" w:cs="Calibri" w:eastAsia="Calibri" w:hAnsi="Calibri"/>
                <w:sz w:val="15"/>
                <w:szCs w:val="15"/>
                <w:color w:val="auto"/>
              </w:rPr>
              <w:t>5,441</w:t>
            </w:r>
          </w:p>
        </w:tc>
        <w:tc>
          <w:tcPr>
            <w:tcW w:w="100" w:type="dxa"/>
            <w:vAlign w:val="bottom"/>
          </w:tcPr>
          <w:p>
            <w:pPr>
              <w:spacing w:after="0"/>
              <w:rPr>
                <w:sz w:val="15"/>
                <w:szCs w:val="15"/>
                <w:color w:val="auto"/>
              </w:rPr>
            </w:pPr>
          </w:p>
        </w:tc>
      </w:tr>
      <w:tr>
        <w:trPr>
          <w:trHeight w:val="24"/>
        </w:trPr>
        <w:tc>
          <w:tcPr>
            <w:tcW w:w="6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7"/>
        </w:trPr>
        <w:tc>
          <w:tcPr>
            <w:tcW w:w="6940" w:type="dxa"/>
            <w:vAlign w:val="bottom"/>
            <w:tcBorders>
              <w:bottom w:val="single" w:sz="8" w:color="CFF0FC"/>
            </w:tcBorders>
            <w:shd w:val="clear" w:color="auto" w:fill="CFF0FC"/>
          </w:tcPr>
          <w:p>
            <w:pPr>
              <w:ind w:left="160"/>
              <w:spacing w:after="0"/>
              <w:rPr>
                <w:sz w:val="20"/>
                <w:szCs w:val="20"/>
                <w:color w:val="auto"/>
              </w:rPr>
            </w:pPr>
            <w:r>
              <w:rPr>
                <w:rFonts w:ascii="Calibri" w:cs="Calibri" w:eastAsia="Calibri" w:hAnsi="Calibri"/>
                <w:sz w:val="15"/>
                <w:szCs w:val="15"/>
                <w:color w:val="auto"/>
              </w:rPr>
              <w:t>Lease liability</w:t>
            </w:r>
          </w:p>
        </w:tc>
        <w:tc>
          <w:tcPr>
            <w:tcW w:w="340" w:type="dxa"/>
            <w:vAlign w:val="bottom"/>
            <w:tcBorders>
              <w:bottom w:val="single" w:sz="8" w:color="CFF0FC"/>
            </w:tcBorders>
            <w:shd w:val="clear" w:color="auto" w:fill="CFF0FC"/>
          </w:tcPr>
          <w:p>
            <w:pPr>
              <w:spacing w:after="0"/>
              <w:rPr>
                <w:sz w:val="16"/>
                <w:szCs w:val="16"/>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47,907</w:t>
            </w:r>
          </w:p>
        </w:tc>
        <w:tc>
          <w:tcPr>
            <w:tcW w:w="280" w:type="dxa"/>
            <w:vAlign w:val="bottom"/>
            <w:tcBorders>
              <w:bottom w:val="single" w:sz="8" w:color="CFF0FC"/>
            </w:tcBorders>
            <w:shd w:val="clear" w:color="auto" w:fill="CFF0FC"/>
          </w:tcPr>
          <w:p>
            <w:pPr>
              <w:spacing w:after="0"/>
              <w:rPr>
                <w:sz w:val="16"/>
                <w:szCs w:val="16"/>
                <w:color w:val="auto"/>
              </w:rPr>
            </w:pPr>
          </w:p>
        </w:tc>
        <w:tc>
          <w:tcPr>
            <w:tcW w:w="460" w:type="dxa"/>
            <w:vAlign w:val="bottom"/>
            <w:tcBorders>
              <w:bottom w:val="single" w:sz="8" w:color="CFF0FC"/>
            </w:tcBorders>
            <w:shd w:val="clear" w:color="auto" w:fill="CFF0FC"/>
          </w:tcPr>
          <w:p>
            <w:pPr>
              <w:spacing w:after="0"/>
              <w:rPr>
                <w:sz w:val="16"/>
                <w:szCs w:val="16"/>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13,557</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6940" w:type="dxa"/>
            <w:vAlign w:val="bottom"/>
          </w:tcPr>
          <w:p>
            <w:pPr>
              <w:ind w:left="160"/>
              <w:spacing w:after="0"/>
              <w:rPr>
                <w:sz w:val="20"/>
                <w:szCs w:val="20"/>
                <w:color w:val="auto"/>
              </w:rPr>
            </w:pPr>
            <w:r>
              <w:rPr>
                <w:rFonts w:ascii="Calibri" w:cs="Calibri" w:eastAsia="Calibri" w:hAnsi="Calibri"/>
                <w:sz w:val="15"/>
                <w:szCs w:val="15"/>
                <w:color w:val="auto"/>
              </w:rPr>
              <w:t>Investment in partnership</w:t>
            </w:r>
          </w:p>
        </w:tc>
        <w:tc>
          <w:tcPr>
            <w:tcW w:w="340" w:type="dxa"/>
            <w:vAlign w:val="bottom"/>
          </w:tcPr>
          <w:p>
            <w:pPr>
              <w:spacing w:after="0"/>
              <w:rPr>
                <w:sz w:val="15"/>
                <w:szCs w:val="15"/>
                <w:color w:val="auto"/>
              </w:rPr>
            </w:pPr>
          </w:p>
        </w:tc>
        <w:tc>
          <w:tcPr>
            <w:tcW w:w="1360" w:type="dxa"/>
            <w:vAlign w:val="bottom"/>
            <w:gridSpan w:val="2"/>
          </w:tcPr>
          <w:p>
            <w:pPr>
              <w:jc w:val="right"/>
              <w:ind w:right="280"/>
              <w:spacing w:after="0"/>
              <w:rPr>
                <w:sz w:val="20"/>
                <w:szCs w:val="20"/>
                <w:color w:val="auto"/>
              </w:rPr>
            </w:pPr>
            <w:r>
              <w:rPr>
                <w:rFonts w:ascii="Calibri" w:cs="Calibri" w:eastAsia="Calibri" w:hAnsi="Calibri"/>
                <w:sz w:val="15"/>
                <w:szCs w:val="15"/>
                <w:color w:val="auto"/>
              </w:rPr>
              <w:t>—</w:t>
            </w:r>
          </w:p>
        </w:tc>
        <w:tc>
          <w:tcPr>
            <w:tcW w:w="4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alibri" w:cs="Calibri" w:eastAsia="Calibri" w:hAnsi="Calibri"/>
                <w:sz w:val="15"/>
                <w:szCs w:val="15"/>
                <w:color w:val="auto"/>
              </w:rPr>
              <w:t>8,325</w:t>
            </w:r>
          </w:p>
        </w:tc>
        <w:tc>
          <w:tcPr>
            <w:tcW w:w="100" w:type="dxa"/>
            <w:vAlign w:val="bottom"/>
          </w:tcPr>
          <w:p>
            <w:pPr>
              <w:spacing w:after="0"/>
              <w:rPr>
                <w:sz w:val="15"/>
                <w:szCs w:val="15"/>
                <w:color w:val="auto"/>
              </w:rPr>
            </w:pPr>
          </w:p>
        </w:tc>
      </w:tr>
      <w:tr>
        <w:trPr>
          <w:trHeight w:val="24"/>
        </w:trPr>
        <w:tc>
          <w:tcPr>
            <w:tcW w:w="6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7"/>
        </w:trPr>
        <w:tc>
          <w:tcPr>
            <w:tcW w:w="6940" w:type="dxa"/>
            <w:vAlign w:val="bottom"/>
            <w:tcBorders>
              <w:bottom w:val="single" w:sz="8" w:color="CFF0FC"/>
            </w:tcBorders>
            <w:shd w:val="clear" w:color="auto" w:fill="CFF0FC"/>
          </w:tcPr>
          <w:p>
            <w:pPr>
              <w:ind w:left="160"/>
              <w:spacing w:after="0"/>
              <w:rPr>
                <w:sz w:val="20"/>
                <w:szCs w:val="20"/>
                <w:color w:val="auto"/>
              </w:rPr>
            </w:pPr>
            <w:r>
              <w:rPr>
                <w:rFonts w:ascii="Calibri" w:cs="Calibri" w:eastAsia="Calibri" w:hAnsi="Calibri"/>
                <w:sz w:val="15"/>
                <w:szCs w:val="15"/>
                <w:color w:val="auto"/>
              </w:rPr>
              <w:t>Accruals and reserves</w:t>
            </w:r>
          </w:p>
        </w:tc>
        <w:tc>
          <w:tcPr>
            <w:tcW w:w="340" w:type="dxa"/>
            <w:vAlign w:val="bottom"/>
            <w:tcBorders>
              <w:bottom w:val="single" w:sz="8" w:color="CFF0FC"/>
            </w:tcBorders>
            <w:shd w:val="clear" w:color="auto" w:fill="CFF0FC"/>
          </w:tcPr>
          <w:p>
            <w:pPr>
              <w:spacing w:after="0"/>
              <w:rPr>
                <w:sz w:val="16"/>
                <w:szCs w:val="16"/>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4,642</w:t>
            </w:r>
          </w:p>
        </w:tc>
        <w:tc>
          <w:tcPr>
            <w:tcW w:w="280" w:type="dxa"/>
            <w:vAlign w:val="bottom"/>
            <w:tcBorders>
              <w:bottom w:val="single" w:sz="8" w:color="CFF0FC"/>
            </w:tcBorders>
            <w:shd w:val="clear" w:color="auto" w:fill="CFF0FC"/>
          </w:tcPr>
          <w:p>
            <w:pPr>
              <w:spacing w:after="0"/>
              <w:rPr>
                <w:sz w:val="16"/>
                <w:szCs w:val="16"/>
                <w:color w:val="auto"/>
              </w:rPr>
            </w:pPr>
          </w:p>
        </w:tc>
        <w:tc>
          <w:tcPr>
            <w:tcW w:w="460" w:type="dxa"/>
            <w:vAlign w:val="bottom"/>
            <w:tcBorders>
              <w:bottom w:val="single" w:sz="8" w:color="CFF0FC"/>
            </w:tcBorders>
            <w:shd w:val="clear" w:color="auto" w:fill="CFF0FC"/>
          </w:tcPr>
          <w:p>
            <w:pPr>
              <w:spacing w:after="0"/>
              <w:rPr>
                <w:sz w:val="16"/>
                <w:szCs w:val="16"/>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3,770</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6940" w:type="dxa"/>
            <w:vAlign w:val="bottom"/>
          </w:tcPr>
          <w:p>
            <w:pPr>
              <w:ind w:left="160"/>
              <w:spacing w:after="0"/>
              <w:rPr>
                <w:sz w:val="20"/>
                <w:szCs w:val="20"/>
                <w:color w:val="auto"/>
              </w:rPr>
            </w:pPr>
            <w:r>
              <w:rPr>
                <w:rFonts w:ascii="Calibri" w:cs="Calibri" w:eastAsia="Calibri" w:hAnsi="Calibri"/>
                <w:sz w:val="15"/>
                <w:szCs w:val="15"/>
                <w:color w:val="auto"/>
              </w:rPr>
              <w:t>Intangible assets</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alibri" w:cs="Calibri" w:eastAsia="Calibri" w:hAnsi="Calibri"/>
                <w:sz w:val="15"/>
                <w:szCs w:val="15"/>
                <w:color w:val="auto"/>
              </w:rPr>
              <w:t>20,294</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gridSpan w:val="2"/>
          </w:tcPr>
          <w:p>
            <w:pPr>
              <w:jc w:val="right"/>
              <w:ind w:right="100"/>
              <w:spacing w:after="0"/>
              <w:rPr>
                <w:sz w:val="20"/>
                <w:szCs w:val="20"/>
                <w:color w:val="auto"/>
              </w:rPr>
            </w:pPr>
            <w:r>
              <w:rPr>
                <w:rFonts w:ascii="Calibri" w:cs="Calibri" w:eastAsia="Calibri" w:hAnsi="Calibri"/>
                <w:sz w:val="15"/>
                <w:szCs w:val="15"/>
                <w:color w:val="auto"/>
              </w:rPr>
              <w:t>—</w:t>
            </w:r>
          </w:p>
        </w:tc>
      </w:tr>
      <w:tr>
        <w:trPr>
          <w:trHeight w:val="24"/>
        </w:trPr>
        <w:tc>
          <w:tcPr>
            <w:tcW w:w="6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2"/>
        </w:trPr>
        <w:tc>
          <w:tcPr>
            <w:tcW w:w="6940" w:type="dxa"/>
            <w:vAlign w:val="bottom"/>
            <w:tcBorders>
              <w:bottom w:val="single" w:sz="8" w:color="CFF0FC"/>
            </w:tcBorders>
            <w:shd w:val="clear" w:color="auto" w:fill="CFF0FC"/>
          </w:tcPr>
          <w:p>
            <w:pPr>
              <w:ind w:left="160"/>
              <w:spacing w:after="0"/>
              <w:rPr>
                <w:sz w:val="20"/>
                <w:szCs w:val="20"/>
                <w:color w:val="auto"/>
              </w:rPr>
            </w:pPr>
            <w:r>
              <w:rPr>
                <w:rFonts w:ascii="Calibri" w:cs="Calibri" w:eastAsia="Calibri" w:hAnsi="Calibri"/>
                <w:sz w:val="15"/>
                <w:szCs w:val="15"/>
                <w:color w:val="auto"/>
              </w:rPr>
              <w:t>Capitalized research and development</w:t>
            </w:r>
          </w:p>
        </w:tc>
        <w:tc>
          <w:tcPr>
            <w:tcW w:w="34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45,468</w:t>
            </w:r>
          </w:p>
        </w:tc>
        <w:tc>
          <w:tcPr>
            <w:tcW w:w="2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25,342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75"/>
        </w:trPr>
        <w:tc>
          <w:tcPr>
            <w:tcW w:w="6940" w:type="dxa"/>
            <w:vAlign w:val="bottom"/>
            <w:tcBorders>
              <w:top w:val="single" w:sz="8" w:color="CFF0FC"/>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line="174" w:lineRule="exact"/>
              <w:rPr>
                <w:sz w:val="20"/>
                <w:szCs w:val="20"/>
                <w:color w:val="auto"/>
              </w:rPr>
            </w:pPr>
            <w:r>
              <w:rPr>
                <w:rFonts w:ascii="Calibri" w:cs="Calibri" w:eastAsia="Calibri" w:hAnsi="Calibri"/>
                <w:sz w:val="15"/>
                <w:szCs w:val="15"/>
                <w:color w:val="auto"/>
              </w:rPr>
              <w:t>124,896</w:t>
            </w:r>
          </w:p>
        </w:tc>
        <w:tc>
          <w:tcPr>
            <w:tcW w:w="280" w:type="dxa"/>
            <w:vAlign w:val="bottom"/>
            <w:tcBorders>
              <w:top w:val="single" w:sz="8" w:color="CFF0FC"/>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line="174" w:lineRule="exact"/>
              <w:rPr>
                <w:sz w:val="20"/>
                <w:szCs w:val="20"/>
                <w:color w:val="auto"/>
              </w:rPr>
            </w:pPr>
            <w:r>
              <w:rPr>
                <w:rFonts w:ascii="Calibri" w:cs="Calibri" w:eastAsia="Calibri" w:hAnsi="Calibri"/>
                <w:sz w:val="15"/>
                <w:szCs w:val="15"/>
                <w:color w:val="auto"/>
              </w:rPr>
              <w:t>57,824</w:t>
            </w:r>
          </w:p>
        </w:tc>
        <w:tc>
          <w:tcPr>
            <w:tcW w:w="100" w:type="dxa"/>
            <w:vAlign w:val="bottom"/>
            <w:tcBorders>
              <w:top w:val="single" w:sz="8" w:color="CFF0FC"/>
            </w:tcBorders>
          </w:tcPr>
          <w:p>
            <w:pPr>
              <w:spacing w:after="0"/>
              <w:rPr>
                <w:sz w:val="15"/>
                <w:szCs w:val="15"/>
                <w:color w:val="auto"/>
              </w:rPr>
            </w:pPr>
          </w:p>
        </w:tc>
      </w:tr>
      <w:tr>
        <w:trPr>
          <w:trHeight w:val="24"/>
        </w:trPr>
        <w:tc>
          <w:tcPr>
            <w:tcW w:w="6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2"/>
        </w:trPr>
        <w:tc>
          <w:tcPr>
            <w:tcW w:w="6940" w:type="dxa"/>
            <w:vAlign w:val="bottom"/>
            <w:tcBorders>
              <w:bottom w:val="single" w:sz="8" w:color="CFF0FC"/>
            </w:tcBorders>
            <w:shd w:val="clear" w:color="auto" w:fill="CFF0FC"/>
          </w:tcPr>
          <w:p>
            <w:pPr>
              <w:ind w:left="160"/>
              <w:spacing w:after="0"/>
              <w:rPr>
                <w:sz w:val="20"/>
                <w:szCs w:val="20"/>
                <w:color w:val="auto"/>
              </w:rPr>
            </w:pPr>
            <w:r>
              <w:rPr>
                <w:rFonts w:ascii="Calibri" w:cs="Calibri" w:eastAsia="Calibri" w:hAnsi="Calibri"/>
                <w:sz w:val="15"/>
                <w:szCs w:val="15"/>
                <w:color w:val="auto"/>
              </w:rPr>
              <w:t>Valuaton Allowance</w:t>
            </w:r>
          </w:p>
        </w:tc>
        <w:tc>
          <w:tcPr>
            <w:tcW w:w="34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Calibri" w:cs="Calibri" w:eastAsia="Calibri" w:hAnsi="Calibri"/>
                <w:sz w:val="15"/>
                <w:szCs w:val="15"/>
                <w:color w:val="auto"/>
              </w:rPr>
              <w:t>(305 )</w:t>
            </w:r>
          </w:p>
        </w:tc>
        <w:tc>
          <w:tcPr>
            <w:tcW w:w="46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gridSpan w:val="2"/>
            <w:shd w:val="clear" w:color="auto" w:fill="CFF0FC"/>
          </w:tcPr>
          <w:p>
            <w:pPr>
              <w:jc w:val="right"/>
              <w:ind w:right="40"/>
              <w:spacing w:after="0"/>
              <w:rPr>
                <w:sz w:val="20"/>
                <w:szCs w:val="20"/>
                <w:color w:val="auto"/>
              </w:rPr>
            </w:pPr>
            <w:r>
              <w:rPr>
                <w:rFonts w:ascii="Calibri" w:cs="Calibri" w:eastAsia="Calibri" w:hAnsi="Calibri"/>
                <w:sz w:val="15"/>
                <w:szCs w:val="15"/>
                <w:color w:val="auto"/>
              </w:rPr>
              <w:t>(258 )</w:t>
            </w:r>
          </w:p>
        </w:tc>
      </w:tr>
      <w:tr>
        <w:trPr>
          <w:trHeight w:val="175"/>
        </w:trPr>
        <w:tc>
          <w:tcPr>
            <w:tcW w:w="6940" w:type="dxa"/>
            <w:vAlign w:val="bottom"/>
            <w:tcBorders>
              <w:top w:val="single" w:sz="8" w:color="CFF0FC"/>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line="174" w:lineRule="exact"/>
              <w:rPr>
                <w:sz w:val="20"/>
                <w:szCs w:val="20"/>
                <w:color w:val="auto"/>
              </w:rPr>
            </w:pPr>
            <w:r>
              <w:rPr>
                <w:rFonts w:ascii="Calibri" w:cs="Calibri" w:eastAsia="Calibri" w:hAnsi="Calibri"/>
                <w:sz w:val="15"/>
                <w:szCs w:val="15"/>
                <w:color w:val="auto"/>
              </w:rPr>
              <w:t>124,591</w:t>
            </w:r>
          </w:p>
        </w:tc>
        <w:tc>
          <w:tcPr>
            <w:tcW w:w="280" w:type="dxa"/>
            <w:vAlign w:val="bottom"/>
            <w:tcBorders>
              <w:top w:val="single" w:sz="8" w:color="CFF0FC"/>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line="174" w:lineRule="exact"/>
              <w:rPr>
                <w:sz w:val="20"/>
                <w:szCs w:val="20"/>
                <w:color w:val="auto"/>
              </w:rPr>
            </w:pPr>
            <w:r>
              <w:rPr>
                <w:rFonts w:ascii="Calibri" w:cs="Calibri" w:eastAsia="Calibri" w:hAnsi="Calibri"/>
                <w:sz w:val="15"/>
                <w:szCs w:val="15"/>
                <w:color w:val="auto"/>
              </w:rPr>
              <w:t>57,566</w:t>
            </w:r>
          </w:p>
        </w:tc>
        <w:tc>
          <w:tcPr>
            <w:tcW w:w="100" w:type="dxa"/>
            <w:vAlign w:val="bottom"/>
            <w:tcBorders>
              <w:top w:val="single" w:sz="8" w:color="CFF0FC"/>
            </w:tcBorders>
          </w:tcPr>
          <w:p>
            <w:pPr>
              <w:spacing w:after="0"/>
              <w:rPr>
                <w:sz w:val="15"/>
                <w:szCs w:val="15"/>
                <w:color w:val="auto"/>
              </w:rPr>
            </w:pPr>
          </w:p>
        </w:tc>
      </w:tr>
      <w:tr>
        <w:trPr>
          <w:trHeight w:val="24"/>
        </w:trPr>
        <w:tc>
          <w:tcPr>
            <w:tcW w:w="69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79"/>
        </w:trPr>
        <w:tc>
          <w:tcPr>
            <w:tcW w:w="6940" w:type="dxa"/>
            <w:vAlign w:val="bottom"/>
            <w:tcBorders>
              <w:bottom w:val="single" w:sz="8" w:color="CFF0FC"/>
            </w:tcBorders>
            <w:shd w:val="clear" w:color="auto" w:fill="CFF0FC"/>
          </w:tcPr>
          <w:p>
            <w:pPr>
              <w:spacing w:after="0" w:line="174" w:lineRule="exact"/>
              <w:rPr>
                <w:sz w:val="20"/>
                <w:szCs w:val="20"/>
                <w:color w:val="auto"/>
              </w:rPr>
            </w:pPr>
            <w:r>
              <w:rPr>
                <w:rFonts w:ascii="Calibri" w:cs="Calibri" w:eastAsia="Calibri" w:hAnsi="Calibri"/>
                <w:sz w:val="15"/>
                <w:szCs w:val="15"/>
                <w:color w:val="auto"/>
              </w:rPr>
              <w:t>Deferred tax liabilites:</w:t>
            </w:r>
          </w:p>
        </w:tc>
        <w:tc>
          <w:tcPr>
            <w:tcW w:w="340" w:type="dxa"/>
            <w:vAlign w:val="bottom"/>
            <w:tcBorders>
              <w:bottom w:val="single" w:sz="8" w:color="CFF0FC"/>
            </w:tcBorders>
            <w:shd w:val="clear" w:color="auto" w:fill="CFF0FC"/>
          </w:tcPr>
          <w:p>
            <w:pPr>
              <w:spacing w:after="0"/>
              <w:rPr>
                <w:sz w:val="15"/>
                <w:szCs w:val="15"/>
                <w:color w:val="auto"/>
              </w:rPr>
            </w:pPr>
          </w:p>
        </w:tc>
        <w:tc>
          <w:tcPr>
            <w:tcW w:w="108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spacing w:after="0"/>
              <w:rPr>
                <w:sz w:val="15"/>
                <w:szCs w:val="15"/>
                <w:color w:val="auto"/>
              </w:rPr>
            </w:pPr>
          </w:p>
        </w:tc>
        <w:tc>
          <w:tcPr>
            <w:tcW w:w="460" w:type="dxa"/>
            <w:vAlign w:val="bottom"/>
            <w:tcBorders>
              <w:bottom w:val="single" w:sz="8" w:color="CFF0FC"/>
            </w:tcBorders>
            <w:shd w:val="clear" w:color="auto" w:fill="CFF0FC"/>
          </w:tcPr>
          <w:p>
            <w:pPr>
              <w:spacing w:after="0"/>
              <w:rPr>
                <w:sz w:val="15"/>
                <w:szCs w:val="15"/>
                <w:color w:val="auto"/>
              </w:rPr>
            </w:pPr>
          </w:p>
        </w:tc>
        <w:tc>
          <w:tcPr>
            <w:tcW w:w="9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r>
      <w:tr>
        <w:trPr>
          <w:trHeight w:val="183"/>
        </w:trPr>
        <w:tc>
          <w:tcPr>
            <w:tcW w:w="6940" w:type="dxa"/>
            <w:vAlign w:val="bottom"/>
          </w:tcPr>
          <w:p>
            <w:pPr>
              <w:ind w:left="160"/>
              <w:spacing w:after="0"/>
              <w:rPr>
                <w:sz w:val="20"/>
                <w:szCs w:val="20"/>
                <w:color w:val="auto"/>
              </w:rPr>
            </w:pPr>
            <w:r>
              <w:rPr>
                <w:rFonts w:ascii="Calibri" w:cs="Calibri" w:eastAsia="Calibri" w:hAnsi="Calibri"/>
                <w:sz w:val="15"/>
                <w:szCs w:val="15"/>
                <w:color w:val="auto"/>
              </w:rPr>
              <w:t>Prepaid expenses</w:t>
            </w:r>
          </w:p>
        </w:tc>
        <w:tc>
          <w:tcPr>
            <w:tcW w:w="340" w:type="dxa"/>
            <w:vAlign w:val="bottom"/>
          </w:tcPr>
          <w:p>
            <w:pPr>
              <w:spacing w:after="0"/>
              <w:rPr>
                <w:sz w:val="15"/>
                <w:szCs w:val="15"/>
                <w:color w:val="auto"/>
              </w:rPr>
            </w:pPr>
          </w:p>
        </w:tc>
        <w:tc>
          <w:tcPr>
            <w:tcW w:w="1360" w:type="dxa"/>
            <w:vAlign w:val="bottom"/>
            <w:gridSpan w:val="2"/>
          </w:tcPr>
          <w:p>
            <w:pPr>
              <w:jc w:val="right"/>
              <w:ind w:right="220"/>
              <w:spacing w:after="0"/>
              <w:rPr>
                <w:sz w:val="20"/>
                <w:szCs w:val="20"/>
                <w:color w:val="auto"/>
              </w:rPr>
            </w:pPr>
            <w:r>
              <w:rPr>
                <w:rFonts w:ascii="Calibri" w:cs="Calibri" w:eastAsia="Calibri" w:hAnsi="Calibri"/>
                <w:sz w:val="15"/>
                <w:szCs w:val="15"/>
                <w:color w:val="auto"/>
              </w:rPr>
              <w:t>(2,459 )</w:t>
            </w:r>
          </w:p>
        </w:tc>
        <w:tc>
          <w:tcPr>
            <w:tcW w:w="460" w:type="dxa"/>
            <w:vAlign w:val="bottom"/>
          </w:tcPr>
          <w:p>
            <w:pPr>
              <w:spacing w:after="0"/>
              <w:rPr>
                <w:sz w:val="15"/>
                <w:szCs w:val="15"/>
                <w:color w:val="auto"/>
              </w:rPr>
            </w:pPr>
          </w:p>
        </w:tc>
        <w:tc>
          <w:tcPr>
            <w:tcW w:w="1040" w:type="dxa"/>
            <w:vAlign w:val="bottom"/>
            <w:gridSpan w:val="2"/>
          </w:tcPr>
          <w:p>
            <w:pPr>
              <w:jc w:val="right"/>
              <w:ind w:right="40"/>
              <w:spacing w:after="0"/>
              <w:rPr>
                <w:sz w:val="20"/>
                <w:szCs w:val="20"/>
                <w:color w:val="auto"/>
              </w:rPr>
            </w:pPr>
            <w:r>
              <w:rPr>
                <w:rFonts w:ascii="Calibri" w:cs="Calibri" w:eastAsia="Calibri" w:hAnsi="Calibri"/>
                <w:sz w:val="15"/>
                <w:szCs w:val="15"/>
                <w:color w:val="auto"/>
              </w:rPr>
              <w:t>(2,466 )</w:t>
            </w:r>
          </w:p>
        </w:tc>
      </w:tr>
      <w:tr>
        <w:trPr>
          <w:trHeight w:val="24"/>
        </w:trPr>
        <w:tc>
          <w:tcPr>
            <w:tcW w:w="6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7"/>
        </w:trPr>
        <w:tc>
          <w:tcPr>
            <w:tcW w:w="6940" w:type="dxa"/>
            <w:vAlign w:val="bottom"/>
            <w:tcBorders>
              <w:bottom w:val="single" w:sz="8" w:color="CFF0FC"/>
            </w:tcBorders>
            <w:shd w:val="clear" w:color="auto" w:fill="CFF0FC"/>
          </w:tcPr>
          <w:p>
            <w:pPr>
              <w:ind w:left="160"/>
              <w:spacing w:after="0"/>
              <w:rPr>
                <w:sz w:val="20"/>
                <w:szCs w:val="20"/>
                <w:color w:val="auto"/>
              </w:rPr>
            </w:pPr>
            <w:r>
              <w:rPr>
                <w:rFonts w:ascii="Calibri" w:cs="Calibri" w:eastAsia="Calibri" w:hAnsi="Calibri"/>
                <w:sz w:val="15"/>
                <w:szCs w:val="15"/>
                <w:color w:val="auto"/>
              </w:rPr>
              <w:t>Deferred commissions</w:t>
            </w:r>
          </w:p>
        </w:tc>
        <w:tc>
          <w:tcPr>
            <w:tcW w:w="340" w:type="dxa"/>
            <w:vAlign w:val="bottom"/>
            <w:tcBorders>
              <w:bottom w:val="single" w:sz="8" w:color="CFF0FC"/>
            </w:tcBorders>
            <w:shd w:val="clear" w:color="auto" w:fill="CFF0FC"/>
          </w:tcPr>
          <w:p>
            <w:pPr>
              <w:spacing w:after="0"/>
              <w:rPr>
                <w:sz w:val="16"/>
                <w:szCs w:val="16"/>
                <w:color w:val="auto"/>
              </w:rPr>
            </w:pPr>
          </w:p>
        </w:tc>
        <w:tc>
          <w:tcPr>
            <w:tcW w:w="136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Calibri" w:cs="Calibri" w:eastAsia="Calibri" w:hAnsi="Calibri"/>
                <w:sz w:val="15"/>
                <w:szCs w:val="15"/>
                <w:color w:val="auto"/>
              </w:rPr>
              <w:t>(5,531 )</w:t>
            </w:r>
          </w:p>
        </w:tc>
        <w:tc>
          <w:tcPr>
            <w:tcW w:w="460" w:type="dxa"/>
            <w:vAlign w:val="bottom"/>
            <w:tcBorders>
              <w:bottom w:val="single" w:sz="8" w:color="CFF0FC"/>
            </w:tcBorders>
            <w:shd w:val="clear" w:color="auto" w:fill="CFF0FC"/>
          </w:tcPr>
          <w:p>
            <w:pPr>
              <w:spacing w:after="0"/>
              <w:rPr>
                <w:sz w:val="16"/>
                <w:szCs w:val="16"/>
                <w:color w:val="auto"/>
              </w:rPr>
            </w:pPr>
          </w:p>
        </w:tc>
        <w:tc>
          <w:tcPr>
            <w:tcW w:w="1040" w:type="dxa"/>
            <w:vAlign w:val="bottom"/>
            <w:tcBorders>
              <w:bottom w:val="single" w:sz="8" w:color="CFF0FC"/>
            </w:tcBorders>
            <w:gridSpan w:val="2"/>
            <w:shd w:val="clear" w:color="auto" w:fill="CFF0FC"/>
          </w:tcPr>
          <w:p>
            <w:pPr>
              <w:jc w:val="right"/>
              <w:ind w:right="40"/>
              <w:spacing w:after="0"/>
              <w:rPr>
                <w:sz w:val="20"/>
                <w:szCs w:val="20"/>
                <w:color w:val="auto"/>
              </w:rPr>
            </w:pPr>
            <w:r>
              <w:rPr>
                <w:rFonts w:ascii="Calibri" w:cs="Calibri" w:eastAsia="Calibri" w:hAnsi="Calibri"/>
                <w:sz w:val="15"/>
                <w:szCs w:val="15"/>
                <w:color w:val="auto"/>
              </w:rPr>
              <w:t>(4,200 )</w:t>
            </w:r>
          </w:p>
        </w:tc>
      </w:tr>
      <w:tr>
        <w:trPr>
          <w:trHeight w:val="183"/>
        </w:trPr>
        <w:tc>
          <w:tcPr>
            <w:tcW w:w="6940" w:type="dxa"/>
            <w:vAlign w:val="bottom"/>
          </w:tcPr>
          <w:p>
            <w:pPr>
              <w:ind w:left="160"/>
              <w:spacing w:after="0"/>
              <w:rPr>
                <w:sz w:val="20"/>
                <w:szCs w:val="20"/>
                <w:color w:val="auto"/>
              </w:rPr>
            </w:pPr>
            <w:r>
              <w:rPr>
                <w:rFonts w:ascii="Calibri" w:cs="Calibri" w:eastAsia="Calibri" w:hAnsi="Calibri"/>
                <w:sz w:val="15"/>
                <w:szCs w:val="15"/>
                <w:color w:val="auto"/>
              </w:rPr>
              <w:t>Right of use assets</w:t>
            </w:r>
          </w:p>
        </w:tc>
        <w:tc>
          <w:tcPr>
            <w:tcW w:w="340" w:type="dxa"/>
            <w:vAlign w:val="bottom"/>
          </w:tcPr>
          <w:p>
            <w:pPr>
              <w:spacing w:after="0"/>
              <w:rPr>
                <w:sz w:val="15"/>
                <w:szCs w:val="15"/>
                <w:color w:val="auto"/>
              </w:rPr>
            </w:pPr>
          </w:p>
        </w:tc>
        <w:tc>
          <w:tcPr>
            <w:tcW w:w="1360" w:type="dxa"/>
            <w:vAlign w:val="bottom"/>
            <w:gridSpan w:val="2"/>
          </w:tcPr>
          <w:p>
            <w:pPr>
              <w:jc w:val="right"/>
              <w:ind w:right="220"/>
              <w:spacing w:after="0"/>
              <w:rPr>
                <w:sz w:val="20"/>
                <w:szCs w:val="20"/>
                <w:color w:val="auto"/>
              </w:rPr>
            </w:pPr>
            <w:r>
              <w:rPr>
                <w:rFonts w:ascii="Calibri" w:cs="Calibri" w:eastAsia="Calibri" w:hAnsi="Calibri"/>
                <w:sz w:val="15"/>
                <w:szCs w:val="15"/>
                <w:color w:val="auto"/>
              </w:rPr>
              <w:t>(42,531 )</w:t>
            </w:r>
          </w:p>
        </w:tc>
        <w:tc>
          <w:tcPr>
            <w:tcW w:w="460" w:type="dxa"/>
            <w:vAlign w:val="bottom"/>
          </w:tcPr>
          <w:p>
            <w:pPr>
              <w:spacing w:after="0"/>
              <w:rPr>
                <w:sz w:val="15"/>
                <w:szCs w:val="15"/>
                <w:color w:val="auto"/>
              </w:rPr>
            </w:pPr>
          </w:p>
        </w:tc>
        <w:tc>
          <w:tcPr>
            <w:tcW w:w="1040" w:type="dxa"/>
            <w:vAlign w:val="bottom"/>
            <w:gridSpan w:val="2"/>
          </w:tcPr>
          <w:p>
            <w:pPr>
              <w:jc w:val="right"/>
              <w:ind w:right="40"/>
              <w:spacing w:after="0"/>
              <w:rPr>
                <w:sz w:val="20"/>
                <w:szCs w:val="20"/>
                <w:color w:val="auto"/>
              </w:rPr>
            </w:pPr>
            <w:r>
              <w:rPr>
                <w:rFonts w:ascii="Calibri" w:cs="Calibri" w:eastAsia="Calibri" w:hAnsi="Calibri"/>
                <w:sz w:val="15"/>
                <w:szCs w:val="15"/>
                <w:color w:val="auto"/>
              </w:rPr>
              <w:t>(11,237 )</w:t>
            </w:r>
          </w:p>
        </w:tc>
      </w:tr>
      <w:tr>
        <w:trPr>
          <w:trHeight w:val="24"/>
        </w:trPr>
        <w:tc>
          <w:tcPr>
            <w:tcW w:w="6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7"/>
        </w:trPr>
        <w:tc>
          <w:tcPr>
            <w:tcW w:w="6940" w:type="dxa"/>
            <w:vAlign w:val="bottom"/>
            <w:tcBorders>
              <w:bottom w:val="single" w:sz="8" w:color="CFF0FC"/>
            </w:tcBorders>
            <w:shd w:val="clear" w:color="auto" w:fill="CFF0FC"/>
          </w:tcPr>
          <w:p>
            <w:pPr>
              <w:ind w:left="160"/>
              <w:spacing w:after="0"/>
              <w:rPr>
                <w:sz w:val="20"/>
                <w:szCs w:val="20"/>
                <w:color w:val="auto"/>
              </w:rPr>
            </w:pPr>
            <w:r>
              <w:rPr>
                <w:rFonts w:ascii="Calibri" w:cs="Calibri" w:eastAsia="Calibri" w:hAnsi="Calibri"/>
                <w:sz w:val="15"/>
                <w:szCs w:val="15"/>
                <w:color w:val="auto"/>
              </w:rPr>
              <w:t>Intangible assets</w:t>
            </w:r>
          </w:p>
        </w:tc>
        <w:tc>
          <w:tcPr>
            <w:tcW w:w="340" w:type="dxa"/>
            <w:vAlign w:val="bottom"/>
            <w:tcBorders>
              <w:bottom w:val="single" w:sz="8" w:color="CFF0FC"/>
            </w:tcBorders>
            <w:shd w:val="clear" w:color="auto" w:fill="CFF0FC"/>
          </w:tcPr>
          <w:p>
            <w:pPr>
              <w:spacing w:after="0"/>
              <w:rPr>
                <w:sz w:val="16"/>
                <w:szCs w:val="16"/>
                <w:color w:val="auto"/>
              </w:rPr>
            </w:pPr>
          </w:p>
        </w:tc>
        <w:tc>
          <w:tcPr>
            <w:tcW w:w="1360" w:type="dxa"/>
            <w:vAlign w:val="bottom"/>
            <w:tcBorders>
              <w:bottom w:val="single" w:sz="8" w:color="CFF0FC"/>
            </w:tcBorders>
            <w:gridSpan w:val="2"/>
            <w:shd w:val="clear" w:color="auto" w:fill="CFF0FC"/>
          </w:tcPr>
          <w:p>
            <w:pPr>
              <w:jc w:val="right"/>
              <w:ind w:right="280"/>
              <w:spacing w:after="0"/>
              <w:rPr>
                <w:sz w:val="20"/>
                <w:szCs w:val="20"/>
                <w:color w:val="auto"/>
              </w:rPr>
            </w:pPr>
            <w:r>
              <w:rPr>
                <w:rFonts w:ascii="Calibri" w:cs="Calibri" w:eastAsia="Calibri" w:hAnsi="Calibri"/>
                <w:sz w:val="15"/>
                <w:szCs w:val="15"/>
                <w:color w:val="auto"/>
              </w:rPr>
              <w:t>—</w:t>
            </w:r>
          </w:p>
        </w:tc>
        <w:tc>
          <w:tcPr>
            <w:tcW w:w="460" w:type="dxa"/>
            <w:vAlign w:val="bottom"/>
            <w:tcBorders>
              <w:bottom w:val="single" w:sz="8" w:color="CFF0FC"/>
            </w:tcBorders>
            <w:shd w:val="clear" w:color="auto" w:fill="CFF0FC"/>
          </w:tcPr>
          <w:p>
            <w:pPr>
              <w:spacing w:after="0"/>
              <w:rPr>
                <w:sz w:val="16"/>
                <w:szCs w:val="16"/>
                <w:color w:val="auto"/>
              </w:rPr>
            </w:pPr>
          </w:p>
        </w:tc>
        <w:tc>
          <w:tcPr>
            <w:tcW w:w="1040" w:type="dxa"/>
            <w:vAlign w:val="bottom"/>
            <w:tcBorders>
              <w:bottom w:val="single" w:sz="8" w:color="CFF0FC"/>
            </w:tcBorders>
            <w:gridSpan w:val="2"/>
            <w:shd w:val="clear" w:color="auto" w:fill="CFF0FC"/>
          </w:tcPr>
          <w:p>
            <w:pPr>
              <w:jc w:val="right"/>
              <w:ind w:right="40"/>
              <w:spacing w:after="0"/>
              <w:rPr>
                <w:sz w:val="20"/>
                <w:szCs w:val="20"/>
                <w:color w:val="auto"/>
              </w:rPr>
            </w:pPr>
            <w:r>
              <w:rPr>
                <w:rFonts w:ascii="Calibri" w:cs="Calibri" w:eastAsia="Calibri" w:hAnsi="Calibri"/>
                <w:sz w:val="15"/>
                <w:szCs w:val="15"/>
                <w:color w:val="auto"/>
              </w:rPr>
              <w:t>(733 )</w:t>
            </w:r>
          </w:p>
        </w:tc>
      </w:tr>
      <w:tr>
        <w:trPr>
          <w:trHeight w:val="183"/>
        </w:trPr>
        <w:tc>
          <w:tcPr>
            <w:tcW w:w="6940" w:type="dxa"/>
            <w:vAlign w:val="bottom"/>
          </w:tcPr>
          <w:p>
            <w:pPr>
              <w:ind w:left="160"/>
              <w:spacing w:after="0"/>
              <w:rPr>
                <w:sz w:val="20"/>
                <w:szCs w:val="20"/>
                <w:color w:val="auto"/>
              </w:rPr>
            </w:pPr>
            <w:r>
              <w:rPr>
                <w:rFonts w:ascii="Calibri" w:cs="Calibri" w:eastAsia="Calibri" w:hAnsi="Calibri"/>
                <w:sz w:val="15"/>
                <w:szCs w:val="15"/>
                <w:color w:val="auto"/>
              </w:rPr>
              <w:t>Capital lease</w:t>
            </w:r>
          </w:p>
        </w:tc>
        <w:tc>
          <w:tcPr>
            <w:tcW w:w="340" w:type="dxa"/>
            <w:vAlign w:val="bottom"/>
          </w:tcPr>
          <w:p>
            <w:pPr>
              <w:spacing w:after="0"/>
              <w:rPr>
                <w:sz w:val="15"/>
                <w:szCs w:val="15"/>
                <w:color w:val="auto"/>
              </w:rPr>
            </w:pPr>
          </w:p>
        </w:tc>
        <w:tc>
          <w:tcPr>
            <w:tcW w:w="1360" w:type="dxa"/>
            <w:vAlign w:val="bottom"/>
            <w:gridSpan w:val="2"/>
          </w:tcPr>
          <w:p>
            <w:pPr>
              <w:jc w:val="right"/>
              <w:ind w:right="220"/>
              <w:spacing w:after="0"/>
              <w:rPr>
                <w:sz w:val="20"/>
                <w:szCs w:val="20"/>
                <w:color w:val="auto"/>
              </w:rPr>
            </w:pPr>
            <w:r>
              <w:rPr>
                <w:rFonts w:ascii="Calibri" w:cs="Calibri" w:eastAsia="Calibri" w:hAnsi="Calibri"/>
                <w:sz w:val="15"/>
                <w:szCs w:val="15"/>
                <w:color w:val="auto"/>
              </w:rPr>
              <w:t>(72 )</w:t>
            </w:r>
          </w:p>
        </w:tc>
        <w:tc>
          <w:tcPr>
            <w:tcW w:w="460" w:type="dxa"/>
            <w:vAlign w:val="bottom"/>
          </w:tcPr>
          <w:p>
            <w:pPr>
              <w:spacing w:after="0"/>
              <w:rPr>
                <w:sz w:val="15"/>
                <w:szCs w:val="15"/>
                <w:color w:val="auto"/>
              </w:rPr>
            </w:pPr>
          </w:p>
        </w:tc>
        <w:tc>
          <w:tcPr>
            <w:tcW w:w="1040" w:type="dxa"/>
            <w:vAlign w:val="bottom"/>
            <w:gridSpan w:val="2"/>
          </w:tcPr>
          <w:p>
            <w:pPr>
              <w:jc w:val="right"/>
              <w:ind w:right="100"/>
              <w:spacing w:after="0"/>
              <w:rPr>
                <w:sz w:val="20"/>
                <w:szCs w:val="20"/>
                <w:color w:val="auto"/>
              </w:rPr>
            </w:pPr>
            <w:r>
              <w:rPr>
                <w:rFonts w:ascii="Calibri" w:cs="Calibri" w:eastAsia="Calibri" w:hAnsi="Calibri"/>
                <w:sz w:val="15"/>
                <w:szCs w:val="15"/>
                <w:color w:val="auto"/>
              </w:rPr>
              <w:t>—</w:t>
            </w:r>
          </w:p>
        </w:tc>
      </w:tr>
      <w:tr>
        <w:trPr>
          <w:trHeight w:val="24"/>
        </w:trPr>
        <w:tc>
          <w:tcPr>
            <w:tcW w:w="6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7"/>
        </w:trPr>
        <w:tc>
          <w:tcPr>
            <w:tcW w:w="6940" w:type="dxa"/>
            <w:vAlign w:val="bottom"/>
            <w:tcBorders>
              <w:bottom w:val="single" w:sz="8" w:color="CFF0FC"/>
            </w:tcBorders>
            <w:shd w:val="clear" w:color="auto" w:fill="CFF0FC"/>
          </w:tcPr>
          <w:p>
            <w:pPr>
              <w:ind w:left="160"/>
              <w:spacing w:after="0"/>
              <w:rPr>
                <w:sz w:val="20"/>
                <w:szCs w:val="20"/>
                <w:color w:val="auto"/>
              </w:rPr>
            </w:pPr>
            <w:r>
              <w:rPr>
                <w:rFonts w:ascii="Calibri" w:cs="Calibri" w:eastAsia="Calibri" w:hAnsi="Calibri"/>
                <w:sz w:val="15"/>
                <w:szCs w:val="15"/>
                <w:color w:val="auto"/>
              </w:rPr>
              <w:t>Property and equipment</w:t>
            </w:r>
          </w:p>
        </w:tc>
        <w:tc>
          <w:tcPr>
            <w:tcW w:w="340" w:type="dxa"/>
            <w:vAlign w:val="bottom"/>
            <w:tcBorders>
              <w:bottom w:val="single" w:sz="8" w:color="CFF0FC"/>
            </w:tcBorders>
            <w:shd w:val="clear" w:color="auto" w:fill="CFF0FC"/>
          </w:tcPr>
          <w:p>
            <w:pPr>
              <w:spacing w:after="0"/>
              <w:rPr>
                <w:sz w:val="16"/>
                <w:szCs w:val="16"/>
                <w:color w:val="auto"/>
              </w:rPr>
            </w:pPr>
          </w:p>
        </w:tc>
        <w:tc>
          <w:tcPr>
            <w:tcW w:w="136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Calibri" w:cs="Calibri" w:eastAsia="Calibri" w:hAnsi="Calibri"/>
                <w:sz w:val="15"/>
                <w:szCs w:val="15"/>
                <w:color w:val="auto"/>
              </w:rPr>
              <w:t>(700 )</w:t>
            </w:r>
          </w:p>
        </w:tc>
        <w:tc>
          <w:tcPr>
            <w:tcW w:w="460" w:type="dxa"/>
            <w:vAlign w:val="bottom"/>
            <w:tcBorders>
              <w:bottom w:val="single" w:sz="8" w:color="CFF0FC"/>
            </w:tcBorders>
            <w:shd w:val="clear" w:color="auto" w:fill="CFF0FC"/>
          </w:tcPr>
          <w:p>
            <w:pPr>
              <w:spacing w:after="0"/>
              <w:rPr>
                <w:sz w:val="16"/>
                <w:szCs w:val="16"/>
                <w:color w:val="auto"/>
              </w:rPr>
            </w:pPr>
          </w:p>
        </w:tc>
        <w:tc>
          <w:tcPr>
            <w:tcW w:w="1040" w:type="dxa"/>
            <w:vAlign w:val="bottom"/>
            <w:tcBorders>
              <w:bottom w:val="single" w:sz="8" w:color="CFF0FC"/>
            </w:tcBorders>
            <w:gridSpan w:val="2"/>
            <w:shd w:val="clear" w:color="auto" w:fill="CFF0FC"/>
          </w:tcPr>
          <w:p>
            <w:pPr>
              <w:jc w:val="right"/>
              <w:ind w:right="40"/>
              <w:spacing w:after="0"/>
              <w:rPr>
                <w:sz w:val="20"/>
                <w:szCs w:val="20"/>
                <w:color w:val="auto"/>
              </w:rPr>
            </w:pPr>
            <w:r>
              <w:rPr>
                <w:rFonts w:ascii="Calibri" w:cs="Calibri" w:eastAsia="Calibri" w:hAnsi="Calibri"/>
                <w:sz w:val="15"/>
                <w:szCs w:val="15"/>
                <w:color w:val="auto"/>
              </w:rPr>
              <w:t>(3,496 )</w:t>
            </w:r>
          </w:p>
        </w:tc>
      </w:tr>
      <w:tr>
        <w:trPr>
          <w:trHeight w:val="20"/>
        </w:trPr>
        <w:tc>
          <w:tcPr>
            <w:tcW w:w="69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75"/>
        </w:trPr>
        <w:tc>
          <w:tcPr>
            <w:tcW w:w="6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gridSpan w:val="2"/>
          </w:tcPr>
          <w:p>
            <w:pPr>
              <w:jc w:val="right"/>
              <w:ind w:right="220"/>
              <w:spacing w:after="0" w:line="174" w:lineRule="exact"/>
              <w:rPr>
                <w:sz w:val="20"/>
                <w:szCs w:val="20"/>
                <w:color w:val="auto"/>
              </w:rPr>
            </w:pPr>
            <w:r>
              <w:rPr>
                <w:rFonts w:ascii="Calibri" w:cs="Calibri" w:eastAsia="Calibri" w:hAnsi="Calibri"/>
                <w:sz w:val="15"/>
                <w:szCs w:val="15"/>
                <w:color w:val="auto"/>
              </w:rPr>
              <w:t>(51,293 )</w:t>
            </w:r>
          </w:p>
        </w:tc>
        <w:tc>
          <w:tcPr>
            <w:tcW w:w="460" w:type="dxa"/>
            <w:vAlign w:val="bottom"/>
          </w:tcPr>
          <w:p>
            <w:pPr>
              <w:spacing w:after="0"/>
              <w:rPr>
                <w:sz w:val="15"/>
                <w:szCs w:val="15"/>
                <w:color w:val="auto"/>
              </w:rPr>
            </w:pPr>
          </w:p>
        </w:tc>
        <w:tc>
          <w:tcPr>
            <w:tcW w:w="1040" w:type="dxa"/>
            <w:vAlign w:val="bottom"/>
            <w:gridSpan w:val="2"/>
          </w:tcPr>
          <w:p>
            <w:pPr>
              <w:jc w:val="right"/>
              <w:ind w:right="40"/>
              <w:spacing w:after="0" w:line="174" w:lineRule="exact"/>
              <w:rPr>
                <w:sz w:val="20"/>
                <w:szCs w:val="20"/>
                <w:color w:val="auto"/>
              </w:rPr>
            </w:pPr>
            <w:r>
              <w:rPr>
                <w:rFonts w:ascii="Calibri" w:cs="Calibri" w:eastAsia="Calibri" w:hAnsi="Calibri"/>
                <w:sz w:val="15"/>
                <w:szCs w:val="15"/>
                <w:color w:val="auto"/>
              </w:rPr>
              <w:t>(22,132 )</w:t>
            </w:r>
          </w:p>
        </w:tc>
      </w:tr>
      <w:tr>
        <w:trPr>
          <w:trHeight w:val="24"/>
        </w:trPr>
        <w:tc>
          <w:tcPr>
            <w:tcW w:w="69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24"/>
        </w:trPr>
        <w:tc>
          <w:tcPr>
            <w:tcW w:w="6940" w:type="dxa"/>
            <w:vAlign w:val="bottom"/>
            <w:tcBorders>
              <w:bottom w:val="single" w:sz="8" w:color="CFF0FC"/>
            </w:tcBorders>
            <w:shd w:val="clear" w:color="auto" w:fill="CFF0FC"/>
          </w:tcPr>
          <w:p>
            <w:pPr>
              <w:spacing w:after="0" w:line="174" w:lineRule="exact"/>
              <w:rPr>
                <w:sz w:val="20"/>
                <w:szCs w:val="20"/>
                <w:color w:val="auto"/>
              </w:rPr>
            </w:pPr>
            <w:r>
              <w:rPr>
                <w:rFonts w:ascii="Calibri" w:cs="Calibri" w:eastAsia="Calibri" w:hAnsi="Calibri"/>
                <w:sz w:val="15"/>
                <w:szCs w:val="15"/>
                <w:color w:val="auto"/>
              </w:rPr>
              <w:t>Net deferred tax assets</w:t>
            </w:r>
          </w:p>
        </w:tc>
        <w:tc>
          <w:tcPr>
            <w:tcW w:w="340" w:type="dxa"/>
            <w:vAlign w:val="bottom"/>
            <w:tcBorders>
              <w:bottom w:val="single" w:sz="8" w:color="CFF0FC"/>
            </w:tcBorders>
            <w:shd w:val="clear" w:color="auto" w:fill="CFF0FC"/>
          </w:tcPr>
          <w:p>
            <w:pPr>
              <w:jc w:val="right"/>
              <w:ind w:right="163"/>
              <w:spacing w:after="0" w:line="174" w:lineRule="exact"/>
              <w:rPr>
                <w:sz w:val="20"/>
                <w:szCs w:val="20"/>
                <w:color w:val="auto"/>
              </w:rPr>
            </w:pPr>
            <w:r>
              <w:rPr>
                <w:rFonts w:ascii="Calibri" w:cs="Calibri" w:eastAsia="Calibri" w:hAnsi="Calibri"/>
                <w:sz w:val="15"/>
                <w:szCs w:val="15"/>
                <w:color w:val="auto"/>
              </w:rPr>
              <w:t>$</w:t>
            </w:r>
          </w:p>
        </w:tc>
        <w:tc>
          <w:tcPr>
            <w:tcW w:w="1080" w:type="dxa"/>
            <w:vAlign w:val="bottom"/>
            <w:tcBorders>
              <w:bottom w:val="single" w:sz="8" w:color="CFF0FC"/>
            </w:tcBorders>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73,298</w:t>
            </w:r>
          </w:p>
        </w:tc>
        <w:tc>
          <w:tcPr>
            <w:tcW w:w="28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CFF0FC"/>
            </w:tcBorders>
            <w:shd w:val="clear" w:color="auto" w:fill="CFF0FC"/>
          </w:tcPr>
          <w:p>
            <w:pPr>
              <w:jc w:val="right"/>
              <w:ind w:right="283"/>
              <w:spacing w:after="0" w:line="174" w:lineRule="exact"/>
              <w:rPr>
                <w:sz w:val="20"/>
                <w:szCs w:val="20"/>
                <w:color w:val="auto"/>
              </w:rPr>
            </w:pPr>
            <w:r>
              <w:rPr>
                <w:rFonts w:ascii="Calibri" w:cs="Calibri" w:eastAsia="Calibri" w:hAnsi="Calibri"/>
                <w:sz w:val="15"/>
                <w:szCs w:val="15"/>
                <w:color w:val="auto"/>
              </w:rPr>
              <w:t>$</w:t>
            </w:r>
          </w:p>
        </w:tc>
        <w:tc>
          <w:tcPr>
            <w:tcW w:w="940" w:type="dxa"/>
            <w:vAlign w:val="bottom"/>
            <w:tcBorders>
              <w:bottom w:val="single" w:sz="8" w:color="CFF0FC"/>
            </w:tcBorders>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35,434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9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5664200</wp:posOffset>
            </wp:positionH>
            <wp:positionV relativeFrom="paragraph">
              <wp:posOffset>-1635760</wp:posOffset>
            </wp:positionV>
            <wp:extent cx="66040" cy="762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6731000</wp:posOffset>
            </wp:positionH>
            <wp:positionV relativeFrom="paragraph">
              <wp:posOffset>-1635760</wp:posOffset>
            </wp:positionV>
            <wp:extent cx="58420" cy="762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58420" cy="7620"/>
                    </a:xfrm>
                    <a:prstGeom prst="rect">
                      <a:avLst/>
                    </a:prstGeom>
                    <a:noFill/>
                  </pic:spPr>
                </pic:pic>
              </a:graphicData>
            </a:graphic>
          </wp:anchor>
        </w:drawing>
        <w:drawing>
          <wp:anchor simplePos="0" relativeHeight="251657728" behindDoc="1" locked="0" layoutInCell="0" allowOverlap="1">
            <wp:simplePos x="0" y="0"/>
            <wp:positionH relativeFrom="column">
              <wp:posOffset>5664200</wp:posOffset>
            </wp:positionH>
            <wp:positionV relativeFrom="paragraph">
              <wp:posOffset>-1365885</wp:posOffset>
            </wp:positionV>
            <wp:extent cx="66040" cy="762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6731000</wp:posOffset>
            </wp:positionH>
            <wp:positionV relativeFrom="paragraph">
              <wp:posOffset>-1365885</wp:posOffset>
            </wp:positionV>
            <wp:extent cx="58420" cy="762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58420" cy="7620"/>
                    </a:xfrm>
                    <a:prstGeom prst="rect">
                      <a:avLst/>
                    </a:prstGeom>
                    <a:noFill/>
                  </pic:spPr>
                </pic:pic>
              </a:graphicData>
            </a:graphic>
          </wp:anchor>
        </w:drawing>
        <w:drawing>
          <wp:anchor simplePos="0" relativeHeight="251657728" behindDoc="1" locked="0" layoutInCell="0" allowOverlap="1">
            <wp:simplePos x="0" y="0"/>
            <wp:positionH relativeFrom="column">
              <wp:posOffset>5664200</wp:posOffset>
            </wp:positionH>
            <wp:positionV relativeFrom="paragraph">
              <wp:posOffset>-299085</wp:posOffset>
            </wp:positionV>
            <wp:extent cx="66040" cy="762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6731000</wp:posOffset>
            </wp:positionH>
            <wp:positionV relativeFrom="paragraph">
              <wp:posOffset>-299085</wp:posOffset>
            </wp:positionV>
            <wp:extent cx="58420" cy="762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58420" cy="7620"/>
                    </a:xfrm>
                    <a:prstGeom prst="rect">
                      <a:avLst/>
                    </a:prstGeom>
                    <a:noFill/>
                  </pic:spPr>
                </pic:pic>
              </a:graphicData>
            </a:graphic>
          </wp:anchor>
        </w:drawing>
        <w:drawing>
          <wp:anchor simplePos="0" relativeHeight="251657728" behindDoc="1" locked="0" layoutInCell="0" allowOverlap="1">
            <wp:simplePos x="0" y="0"/>
            <wp:positionH relativeFrom="column">
              <wp:posOffset>5664200</wp:posOffset>
            </wp:positionH>
            <wp:positionV relativeFrom="paragraph">
              <wp:posOffset>-21590</wp:posOffset>
            </wp:positionV>
            <wp:extent cx="66040" cy="762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5664200</wp:posOffset>
            </wp:positionH>
            <wp:positionV relativeFrom="paragraph">
              <wp:posOffset>-6985</wp:posOffset>
            </wp:positionV>
            <wp:extent cx="66040" cy="762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6731000</wp:posOffset>
            </wp:positionH>
            <wp:positionV relativeFrom="paragraph">
              <wp:posOffset>-21590</wp:posOffset>
            </wp:positionV>
            <wp:extent cx="58420" cy="762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58420" cy="7620"/>
                    </a:xfrm>
                    <a:prstGeom prst="rect">
                      <a:avLst/>
                    </a:prstGeom>
                    <a:noFill/>
                  </pic:spPr>
                </pic:pic>
              </a:graphicData>
            </a:graphic>
          </wp:anchor>
        </w:drawing>
        <w:drawing>
          <wp:anchor simplePos="0" relativeHeight="251657728" behindDoc="1" locked="0" layoutInCell="0" allowOverlap="1">
            <wp:simplePos x="0" y="0"/>
            <wp:positionH relativeFrom="column">
              <wp:posOffset>6731000</wp:posOffset>
            </wp:positionH>
            <wp:positionV relativeFrom="paragraph">
              <wp:posOffset>-6985</wp:posOffset>
            </wp:positionV>
            <wp:extent cx="58420" cy="762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58420" cy="7620"/>
                    </a:xfrm>
                    <a:prstGeom prst="rect">
                      <a:avLst/>
                    </a:prstGeom>
                    <a:noFill/>
                  </pic:spPr>
                </pic:pic>
              </a:graphicData>
            </a:graphic>
          </wp:anchor>
        </w:drawing>
      </w:r>
    </w:p>
    <w:p>
      <w:pPr>
        <w:spacing w:after="0" w:line="330"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As of December 31, 2023 and 2022, valuaton allowances were immaterial. Based upon the level of historical U.S. earnings and future projectons over the period in which the net deferred tax assets are deductble, the Company believes it is more likely than not that it will realize the benefts of these deductble diferences, with the excepton of the deferred tax asset related to intangible assets in Ireland. For the years ended December 31, 2023 and 2022, the change in the valuaton allowance was $47 and $29, respectvely.</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As of December 31, 2023, the Company had federal and state net operatng loss (“NOL”) carryforwards of $277 and $3,442, respectvely. The federal NOL carryforward, subject to an annual limitaton of 80% of taxable income, does not expire. The state NOL carryforwards expire at various dates through 2040. As of December 31, 2023, the Company had federal and state tax credit carryforwards of $673 and $322, respectvely, available to reduce future tax liabilites. The federal tax credit carryforward expires in 2040. The state tax credit carryforwards indefnitely as it is related to California. Utlizaton of the NOL and tax credit carryforwards, respectvely, may be subject to an annual limitaton due to ownership change limitatons that have occurred previously or that could occur in the future, as provided by Secton 382 of the Internal Revenue Code (“Secton 382”), as well as similar state provisions. Ownership changes may limit the amount of NOL or tax credit carryforwards that can be utlized annually to ofset future taxable income and tax, respectvely. In general, an ownership change, as defned by Secton 382, results from transactons that increase the ownership of 5% stockholders in the stock of a corporaton by more than 50% in the aggregate over a three-year period.</w:t>
      </w:r>
    </w:p>
    <w:p>
      <w:pPr>
        <w:spacing w:after="0" w:line="186" w:lineRule="exact"/>
        <w:rPr>
          <w:sz w:val="20"/>
          <w:szCs w:val="20"/>
          <w:color w:val="auto"/>
        </w:rPr>
      </w:pPr>
    </w:p>
    <w:p>
      <w:pPr>
        <w:ind w:left="500"/>
        <w:spacing w:after="0"/>
        <w:rPr>
          <w:sz w:val="20"/>
          <w:szCs w:val="20"/>
          <w:color w:val="auto"/>
        </w:rPr>
      </w:pPr>
      <w:r>
        <w:rPr>
          <w:rFonts w:ascii="Calibri" w:cs="Calibri" w:eastAsia="Calibri" w:hAnsi="Calibri"/>
          <w:sz w:val="15"/>
          <w:szCs w:val="15"/>
          <w:color w:val="auto"/>
        </w:rPr>
        <w:t>As of December 31, 2023 and 2022, changes in the gross uncertain tax positon (excluding interest and penaltes) are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56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20" w:type="dxa"/>
            <w:vAlign w:val="bottom"/>
            <w:gridSpan w:val="3"/>
          </w:tcPr>
          <w:p>
            <w:pPr>
              <w:jc w:val="right"/>
              <w:ind w:right="120"/>
              <w:spacing w:after="0"/>
              <w:rPr>
                <w:sz w:val="20"/>
                <w:szCs w:val="20"/>
                <w:color w:val="auto"/>
              </w:rPr>
            </w:pPr>
            <w:r>
              <w:rPr>
                <w:rFonts w:ascii="Calibri" w:cs="Calibri" w:eastAsia="Calibri" w:hAnsi="Calibri"/>
                <w:sz w:val="12"/>
                <w:szCs w:val="12"/>
                <w:b w:val="1"/>
                <w:bCs w:val="1"/>
                <w:color w:val="auto"/>
              </w:rPr>
              <w:t>As of December 31,</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5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400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56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940" w:type="dxa"/>
            <w:vAlign w:val="bottom"/>
            <w:tcBorders>
              <w:top w:val="single" w:sz="8" w:color="auto"/>
            </w:tcBorders>
          </w:tcPr>
          <w:p>
            <w:pPr>
              <w:jc w:val="right"/>
              <w:ind w:right="39"/>
              <w:spacing w:after="0" w:line="138" w:lineRule="exact"/>
              <w:rPr>
                <w:sz w:val="20"/>
                <w:szCs w:val="20"/>
                <w:color w:val="auto"/>
              </w:rPr>
            </w:pPr>
            <w:r>
              <w:rPr>
                <w:rFonts w:ascii="Calibri" w:cs="Calibri" w:eastAsia="Calibri" w:hAnsi="Calibri"/>
                <w:sz w:val="12"/>
                <w:szCs w:val="12"/>
                <w:b w:val="1"/>
                <w:bCs w:val="1"/>
                <w:color w:val="auto"/>
              </w:rPr>
              <w:t>2023</w:t>
            </w:r>
          </w:p>
        </w:tc>
        <w:tc>
          <w:tcPr>
            <w:tcW w:w="4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506"/>
              <w:spacing w:after="0" w:line="138" w:lineRule="exact"/>
              <w:rPr>
                <w:sz w:val="20"/>
                <w:szCs w:val="20"/>
                <w:color w:val="auto"/>
              </w:rPr>
            </w:pPr>
            <w:r>
              <w:rPr>
                <w:rFonts w:ascii="Calibri" w:cs="Calibri" w:eastAsia="Calibri" w:hAnsi="Calibri"/>
                <w:sz w:val="12"/>
                <w:szCs w:val="12"/>
                <w:b w:val="1"/>
                <w:bCs w:val="1"/>
                <w:color w:val="auto"/>
              </w:rPr>
              <w:t>2022</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560" w:type="dxa"/>
            <w:vAlign w:val="bottom"/>
          </w:tcPr>
          <w:p>
            <w:pPr>
              <w:spacing w:after="0"/>
              <w:rPr>
                <w:sz w:val="15"/>
                <w:szCs w:val="15"/>
                <w:color w:val="auto"/>
              </w:rPr>
            </w:pPr>
          </w:p>
        </w:tc>
        <w:tc>
          <w:tcPr>
            <w:tcW w:w="3880" w:type="dxa"/>
            <w:vAlign w:val="bottom"/>
            <w:tcBorders>
              <w:bottom w:val="single" w:sz="8" w:color="CFF0FC"/>
            </w:tcBorders>
            <w:shd w:val="clear" w:color="auto" w:fill="CFF0FC"/>
          </w:tcPr>
          <w:p>
            <w:pPr>
              <w:spacing w:after="0" w:line="174" w:lineRule="exact"/>
              <w:rPr>
                <w:sz w:val="20"/>
                <w:szCs w:val="20"/>
                <w:color w:val="auto"/>
              </w:rPr>
            </w:pPr>
            <w:r>
              <w:rPr>
                <w:rFonts w:ascii="Calibri" w:cs="Calibri" w:eastAsia="Calibri" w:hAnsi="Calibri"/>
                <w:sz w:val="15"/>
                <w:szCs w:val="15"/>
                <w:color w:val="auto"/>
              </w:rPr>
              <w:t>Unrecognized tax benefts at beginning of year</w:t>
            </w:r>
          </w:p>
        </w:tc>
        <w:tc>
          <w:tcPr>
            <w:tcW w:w="4000" w:type="dxa"/>
            <w:vAlign w:val="bottom"/>
            <w:tcBorders>
              <w:bottom w:val="single" w:sz="8" w:color="CFF0FC"/>
            </w:tcBorders>
            <w:gridSpan w:val="2"/>
            <w:shd w:val="clear" w:color="auto" w:fill="CFF0FC"/>
          </w:tcPr>
          <w:p>
            <w:pPr>
              <w:jc w:val="right"/>
              <w:ind w:right="779"/>
              <w:spacing w:after="0" w:line="174" w:lineRule="exact"/>
              <w:rPr>
                <w:sz w:val="20"/>
                <w:szCs w:val="20"/>
                <w:color w:val="auto"/>
              </w:rPr>
            </w:pPr>
            <w:r>
              <w:rPr>
                <w:rFonts w:ascii="Calibri" w:cs="Calibri" w:eastAsia="Calibri" w:hAnsi="Calibri"/>
                <w:sz w:val="15"/>
                <w:szCs w:val="15"/>
                <w:color w:val="auto"/>
              </w:rPr>
              <w:t>$</w:t>
            </w:r>
          </w:p>
        </w:tc>
        <w:tc>
          <w:tcPr>
            <w:tcW w:w="480" w:type="dxa"/>
            <w:vAlign w:val="bottom"/>
            <w:tcBorders>
              <w:bottom w:val="single" w:sz="8" w:color="CFF0FC"/>
            </w:tcBorders>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598</w:t>
            </w:r>
          </w:p>
        </w:tc>
        <w:tc>
          <w:tcPr>
            <w:tcW w:w="740" w:type="dxa"/>
            <w:vAlign w:val="bottom"/>
            <w:tcBorders>
              <w:bottom w:val="single" w:sz="8" w:color="CFF0FC"/>
            </w:tcBorders>
            <w:gridSpan w:val="2"/>
            <w:shd w:val="clear" w:color="auto" w:fill="CFF0FC"/>
          </w:tcPr>
          <w:p>
            <w:pPr>
              <w:jc w:val="right"/>
              <w:ind w:right="360"/>
              <w:spacing w:after="0" w:line="174" w:lineRule="exact"/>
              <w:rPr>
                <w:sz w:val="20"/>
                <w:szCs w:val="20"/>
                <w:color w:val="auto"/>
              </w:rPr>
            </w:pPr>
            <w:r>
              <w:rPr>
                <w:rFonts w:ascii="Calibri" w:cs="Calibri" w:eastAsia="Calibri" w:hAnsi="Calibri"/>
                <w:sz w:val="15"/>
                <w:szCs w:val="15"/>
                <w:color w:val="auto"/>
              </w:rPr>
              <w:t>$</w:t>
            </w:r>
          </w:p>
        </w:tc>
        <w:tc>
          <w:tcPr>
            <w:tcW w:w="1040" w:type="dxa"/>
            <w:vAlign w:val="bottom"/>
            <w:tcBorders>
              <w:bottom w:val="single" w:sz="8" w:color="CFF0FC"/>
            </w:tcBorders>
            <w:gridSpan w:val="2"/>
            <w:shd w:val="clear" w:color="auto" w:fill="CFF0FC"/>
          </w:tcPr>
          <w:p>
            <w:pPr>
              <w:jc w:val="right"/>
              <w:ind w:right="100"/>
              <w:spacing w:after="0" w:line="174" w:lineRule="exact"/>
              <w:rPr>
                <w:sz w:val="20"/>
                <w:szCs w:val="20"/>
                <w:color w:val="auto"/>
              </w:rPr>
            </w:pPr>
            <w:r>
              <w:rPr>
                <w:rFonts w:ascii="Calibri" w:cs="Calibri" w:eastAsia="Calibri" w:hAnsi="Calibri"/>
                <w:sz w:val="15"/>
                <w:szCs w:val="15"/>
                <w:color w:val="auto"/>
              </w:rPr>
              <w:t>—</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3880" w:type="dxa"/>
            <w:vAlign w:val="bottom"/>
          </w:tcPr>
          <w:p>
            <w:pPr>
              <w:spacing w:after="0"/>
              <w:rPr>
                <w:sz w:val="20"/>
                <w:szCs w:val="20"/>
                <w:color w:val="auto"/>
              </w:rPr>
            </w:pPr>
            <w:r>
              <w:rPr>
                <w:rFonts w:ascii="Calibri" w:cs="Calibri" w:eastAsia="Calibri" w:hAnsi="Calibri"/>
                <w:sz w:val="15"/>
                <w:szCs w:val="15"/>
                <w:color w:val="auto"/>
              </w:rPr>
              <w:t>Increase related to current year tax provision</w:t>
            </w:r>
          </w:p>
        </w:tc>
        <w:tc>
          <w:tcPr>
            <w:tcW w:w="3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Calibri" w:cs="Calibri" w:eastAsia="Calibri" w:hAnsi="Calibri"/>
                <w:sz w:val="15"/>
                <w:szCs w:val="15"/>
                <w:color w:val="auto"/>
              </w:rPr>
              <w:t>178</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alibri" w:cs="Calibri" w:eastAsia="Calibri" w:hAnsi="Calibri"/>
                <w:sz w:val="15"/>
                <w:szCs w:val="15"/>
                <w:color w:val="auto"/>
              </w:rPr>
              <w:t>198</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560" w:type="dxa"/>
            <w:vAlign w:val="bottom"/>
          </w:tcPr>
          <w:p>
            <w:pPr>
              <w:spacing w:after="0"/>
              <w:rPr>
                <w:sz w:val="17"/>
                <w:szCs w:val="17"/>
                <w:color w:val="auto"/>
              </w:rPr>
            </w:pPr>
          </w:p>
        </w:tc>
        <w:tc>
          <w:tcPr>
            <w:tcW w:w="388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5"/>
                <w:szCs w:val="15"/>
                <w:color w:val="auto"/>
              </w:rPr>
              <w:t>Increase related to prior year tax provision</w:t>
            </w:r>
          </w:p>
        </w:tc>
        <w:tc>
          <w:tcPr>
            <w:tcW w:w="306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5"/>
                <w:szCs w:val="15"/>
                <w:color w:val="auto"/>
              </w:rPr>
              <w:t>36</w:t>
            </w:r>
          </w:p>
        </w:tc>
        <w:tc>
          <w:tcPr>
            <w:tcW w:w="28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5"/>
                <w:szCs w:val="15"/>
                <w:color w:val="auto"/>
              </w:rPr>
              <w:t>400</w:t>
            </w:r>
          </w:p>
        </w:tc>
        <w:tc>
          <w:tcPr>
            <w:tcW w:w="100" w:type="dxa"/>
            <w:vAlign w:val="bottom"/>
            <w:tcBorders>
              <w:bottom w:val="single" w:sz="8" w:color="CFF0FC"/>
            </w:tcBorders>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6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Calibri" w:cs="Calibri" w:eastAsia="Calibri" w:hAnsi="Calibri"/>
                <w:sz w:val="15"/>
                <w:szCs w:val="15"/>
                <w:color w:val="auto"/>
              </w:rPr>
              <w:t>Unrecognized tax benefts at end of year</w:t>
            </w:r>
          </w:p>
        </w:tc>
        <w:tc>
          <w:tcPr>
            <w:tcW w:w="4000" w:type="dxa"/>
            <w:vAlign w:val="bottom"/>
            <w:gridSpan w:val="2"/>
          </w:tcPr>
          <w:p>
            <w:pPr>
              <w:jc w:val="right"/>
              <w:ind w:right="779"/>
              <w:spacing w:after="0"/>
              <w:rPr>
                <w:sz w:val="20"/>
                <w:szCs w:val="20"/>
                <w:color w:val="auto"/>
              </w:rPr>
            </w:pPr>
            <w:r>
              <w:rPr>
                <w:rFonts w:ascii="Calibri" w:cs="Calibri" w:eastAsia="Calibri" w:hAnsi="Calibri"/>
                <w:sz w:val="15"/>
                <w:szCs w:val="15"/>
                <w:color w:val="auto"/>
              </w:rPr>
              <w:t>$</w:t>
            </w:r>
          </w:p>
        </w:tc>
        <w:tc>
          <w:tcPr>
            <w:tcW w:w="480" w:type="dxa"/>
            <w:vAlign w:val="bottom"/>
          </w:tcPr>
          <w:p>
            <w:pPr>
              <w:jc w:val="right"/>
              <w:spacing w:after="0"/>
              <w:rPr>
                <w:sz w:val="20"/>
                <w:szCs w:val="20"/>
                <w:color w:val="auto"/>
              </w:rPr>
            </w:pPr>
            <w:r>
              <w:rPr>
                <w:rFonts w:ascii="Calibri" w:cs="Calibri" w:eastAsia="Calibri" w:hAnsi="Calibri"/>
                <w:sz w:val="15"/>
                <w:szCs w:val="15"/>
                <w:color w:val="auto"/>
              </w:rPr>
              <w:t>812</w:t>
            </w:r>
          </w:p>
        </w:tc>
        <w:tc>
          <w:tcPr>
            <w:tcW w:w="740" w:type="dxa"/>
            <w:vAlign w:val="bottom"/>
            <w:gridSpan w:val="2"/>
          </w:tcPr>
          <w:p>
            <w:pPr>
              <w:jc w:val="right"/>
              <w:ind w:right="360"/>
              <w:spacing w:after="0"/>
              <w:rPr>
                <w:sz w:val="20"/>
                <w:szCs w:val="20"/>
                <w:color w:val="auto"/>
              </w:rPr>
            </w:pPr>
            <w:r>
              <w:rPr>
                <w:rFonts w:ascii="Calibri" w:cs="Calibri" w:eastAsia="Calibri" w:hAnsi="Calibri"/>
                <w:sz w:val="15"/>
                <w:szCs w:val="15"/>
                <w:color w:val="auto"/>
              </w:rPr>
              <w:t>$</w:t>
            </w:r>
          </w:p>
        </w:tc>
        <w:tc>
          <w:tcPr>
            <w:tcW w:w="940" w:type="dxa"/>
            <w:vAlign w:val="bottom"/>
          </w:tcPr>
          <w:p>
            <w:pPr>
              <w:jc w:val="right"/>
              <w:spacing w:after="0"/>
              <w:rPr>
                <w:sz w:val="20"/>
                <w:szCs w:val="20"/>
                <w:color w:val="auto"/>
              </w:rPr>
            </w:pPr>
            <w:r>
              <w:rPr>
                <w:rFonts w:ascii="Calibri" w:cs="Calibri" w:eastAsia="Calibri" w:hAnsi="Calibri"/>
                <w:sz w:val="15"/>
                <w:szCs w:val="15"/>
                <w:color w:val="auto"/>
              </w:rPr>
              <w:t>598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060" w:type="dxa"/>
            <w:vAlign w:val="bottom"/>
            <w:vMerge w:val="restart"/>
          </w:tcPr>
          <w:p>
            <w:pPr>
              <w:jc w:val="right"/>
              <w:ind w:right="1683"/>
              <w:spacing w:after="0"/>
              <w:rPr>
                <w:sz w:val="20"/>
                <w:szCs w:val="20"/>
                <w:color w:val="auto"/>
              </w:rPr>
            </w:pPr>
            <w:r>
              <w:rPr>
                <w:rFonts w:ascii="Calibri" w:cs="Calibri" w:eastAsia="Calibri" w:hAnsi="Calibri"/>
                <w:sz w:val="15"/>
                <w:szCs w:val="15"/>
                <w:color w:val="auto"/>
              </w:rPr>
              <w:t>128</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5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06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5"/>
        </w:trPr>
        <w:tc>
          <w:tcPr>
            <w:tcW w:w="56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5664200</wp:posOffset>
            </wp:positionH>
            <wp:positionV relativeFrom="paragraph">
              <wp:posOffset>-927100</wp:posOffset>
            </wp:positionV>
            <wp:extent cx="66040" cy="762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6731000</wp:posOffset>
            </wp:positionH>
            <wp:positionV relativeFrom="paragraph">
              <wp:posOffset>-927100</wp:posOffset>
            </wp:positionV>
            <wp:extent cx="58420" cy="762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58420" cy="7620"/>
                    </a:xfrm>
                    <a:prstGeom prst="rect">
                      <a:avLst/>
                    </a:prstGeom>
                    <a:noFill/>
                  </pic:spPr>
                </pic:pic>
              </a:graphicData>
            </a:graphic>
          </wp:anchor>
        </w:drawing>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-26670</wp:posOffset>
            </wp:positionV>
            <wp:extent cx="33020" cy="4000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1133" w:right="319" w:bottom="1440" w:gutter="0" w:footer="0" w:header="0"/>
        </w:sectPr>
      </w:pPr>
    </w:p>
    <w:bookmarkStart w:id="130" w:name="page131"/>
    <w:bookmarkEnd w:id="130"/>
    <w:p>
      <w:pPr>
        <w:jc w:val="both"/>
        <w:ind w:firstLine="511"/>
        <w:spacing w:after="0" w:line="241" w:lineRule="auto"/>
        <w:rPr>
          <w:sz w:val="20"/>
          <w:szCs w:val="20"/>
          <w:color w:val="auto"/>
        </w:rPr>
      </w:pPr>
      <w:r>
        <w:rPr>
          <w:rFonts w:ascii="Calibri" w:cs="Calibri" w:eastAsia="Calibri" w:hAnsi="Calibri"/>
          <w:sz w:val="15"/>
          <w:szCs w:val="15"/>
          <w:color w:val="auto"/>
        </w:rPr>
        <w:t>For the year ended December 31, 2023, income tax expense and liability related to uncertain tax positons, exclusive of immaterial interest or penaltes related to uncertain tax provisions, was $812, which would favorably afect the Company's efectve tax rate, if recognized. For the year ended December 31, 2022, income tax expense and liability related to uncertain tax positons, exclusive of immaterial interest or penaltes related to uncertain tax provisions, was $598, which would favorably afect the Company's efectve tax rate, if recognized.</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The Company permanently reinvests the earnings, if any, of its foreign subsidiaries and, therefore, does not provide for U.S. income taxes that could result from the distributon of those earnings to the Company. As of December 31, 2023 and December 31, 2022, the amount of unrecognized deferred U.S. taxes on these earnings was immaterial.</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The Company and its subsidiaries are subject to various U.S. federal, state, and foreign income tax examinatons. The Company is currently not subject to income tax examinaton for the tax years of 2019 and prior as a result of applicable statute of limitatons of the Internal Revenue Service and a majority of applicable state jurisdictons. The Company is currently not subject to examinaton in its foreign jurisdictons for tax years 2017 and prior.</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b w:val="1"/>
          <w:bCs w:val="1"/>
          <w:color w:val="auto"/>
        </w:rPr>
        <w:t>14. Segment and Geographic Informaton</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Efectve as of the fourth quarter of 2022, the Company revised its segment reportng from one reportable segment to two reportable segments, U.S. Marketplace and Digital Wholesale. The change in segment reportng was a triggering event for an evaluaton of goodwill impairment. As such, the Company evaluated for goodwill impairment on December 31, 2022, and did not identfy any impairment to its goodwill. The change in segment reportng was made to align with fnancial reportng results regularly provided to the Company's CODM to assess the business. The CODM reviews segment revenue and segment income (loss) from operatons as a proxy for the performance of the Company’s operatons.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The U.S. Marketplace segment derives revenue from marketplace services from customers within the U.S. The Digital Wholesale segment derives revenue from Dealer-to-Dealer and IMCO services and products which are sold on the CarOfer platorm. The Company also has two operatng segments which are individually immaterial and therefore aggregated into the Other category to reconcile reportable segments to the consolidated income statements. The Other category derives revenue from marketplace services from customers outside of the U.S.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Revenue and costs discretely incurred by reportable segments, including depreciaton and amortzaton, are included in the calculaton of reportable segment income (loss) from operatons. For the year ended December 31, 2022, Digital Wholesale segment income (loss) from operatons did not refect certain Dealer-to-Dealer and IMCO-related capitalized website development amortzaton incurred by the U.S. Marketplace segment. During the three months ended March 31, 2023, the Company updated Digital Wholesale segment income (loss) from operatons to refect certain Dealer-to-Dealer and IMCO-related capitalized website development amortzaton incurred by the U.S. Marketplace segment and accordingly updated Digital Wholesale segment income (loss) from operatons for the twelve months ended December 31, 2022, for comparatve purposes. Digital Wholesale segment income (loss) from operatons also refects certain IMCO marketng and lead generaton fees allocated from the U.S. Marketplace segment. Asset informaton by reportable segment is not provided to the CODM as asset informaton is assessed and reviewed on a consolidated basis.</w:t>
      </w:r>
    </w:p>
    <w:p>
      <w:pPr>
        <w:spacing w:after="0" w:line="186" w:lineRule="exact"/>
        <w:rPr>
          <w:sz w:val="20"/>
          <w:szCs w:val="20"/>
          <w:color w:val="auto"/>
        </w:rPr>
      </w:pPr>
    </w:p>
    <w:p>
      <w:pPr>
        <w:jc w:val="center"/>
        <w:ind w:right="20"/>
        <w:spacing w:after="0"/>
        <w:rPr>
          <w:sz w:val="20"/>
          <w:szCs w:val="20"/>
          <w:color w:val="auto"/>
        </w:rPr>
      </w:pPr>
      <w:r>
        <w:rPr>
          <w:rFonts w:ascii="Calibri" w:cs="Calibri" w:eastAsia="Calibri" w:hAnsi="Calibri"/>
          <w:sz w:val="15"/>
          <w:szCs w:val="15"/>
          <w:color w:val="auto"/>
        </w:rPr>
        <w:t>For the years December 31, 2023, 2022, and 2021, segment revenue, segment income (loss) from operatons, and segment depreciaton and amortzaton are as follows:</w:t>
      </w:r>
    </w:p>
    <w:p>
      <w:pPr>
        <w:spacing w:after="0" w:line="386" w:lineRule="exact"/>
        <w:rPr>
          <w:sz w:val="20"/>
          <w:szCs w:val="20"/>
          <w:color w:val="auto"/>
        </w:rPr>
      </w:pPr>
    </w:p>
    <w:p>
      <w:pPr>
        <w:ind w:left="7920"/>
        <w:spacing w:after="0"/>
        <w:rPr>
          <w:sz w:val="20"/>
          <w:szCs w:val="20"/>
          <w:color w:val="auto"/>
        </w:rPr>
      </w:pPr>
      <w:r>
        <w:rPr>
          <w:rFonts w:ascii="Calibri" w:cs="Calibri" w:eastAsia="Calibri" w:hAnsi="Calibri"/>
          <w:sz w:val="12"/>
          <w:szCs w:val="12"/>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4144645</wp:posOffset>
            </wp:positionH>
            <wp:positionV relativeFrom="paragraph">
              <wp:posOffset>17780</wp:posOffset>
            </wp:positionV>
            <wp:extent cx="2586355" cy="762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2586355" cy="7620"/>
                    </a:xfrm>
                    <a:prstGeom prst="rect">
                      <a:avLst/>
                    </a:prstGeom>
                    <a:noFill/>
                  </pic:spPr>
                </pic:pic>
              </a:graphicData>
            </a:graphic>
          </wp:anchor>
        </w:drawing>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56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ind w:right="406"/>
              <w:spacing w:after="0"/>
              <w:rPr>
                <w:sz w:val="20"/>
                <w:szCs w:val="20"/>
                <w:color w:val="auto"/>
              </w:rPr>
            </w:pPr>
            <w:r>
              <w:rPr>
                <w:rFonts w:ascii="Calibri" w:cs="Calibri" w:eastAsia="Calibri" w:hAnsi="Calibri"/>
                <w:sz w:val="12"/>
                <w:szCs w:val="12"/>
                <w:b w:val="1"/>
                <w:bCs w:val="1"/>
                <w:color w:val="auto"/>
              </w:rPr>
              <w:t>2023</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jc w:val="right"/>
              <w:ind w:right="386"/>
              <w:spacing w:after="0"/>
              <w:rPr>
                <w:sz w:val="20"/>
                <w:szCs w:val="20"/>
                <w:color w:val="auto"/>
              </w:rPr>
            </w:pPr>
            <w:r>
              <w:rPr>
                <w:rFonts w:ascii="Calibri" w:cs="Calibri" w:eastAsia="Calibri" w:hAnsi="Calibri"/>
                <w:sz w:val="12"/>
                <w:szCs w:val="12"/>
                <w:b w:val="1"/>
                <w:bCs w:val="1"/>
                <w:color w:val="auto"/>
              </w:rPr>
              <w:t>2022</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jc w:val="right"/>
              <w:ind w:right="386"/>
              <w:spacing w:after="0"/>
              <w:rPr>
                <w:sz w:val="20"/>
                <w:szCs w:val="20"/>
                <w:color w:val="auto"/>
              </w:rPr>
            </w:pPr>
            <w:r>
              <w:rPr>
                <w:rFonts w:ascii="Calibri" w:cs="Calibri" w:eastAsia="Calibri" w:hAnsi="Calibri"/>
                <w:sz w:val="12"/>
                <w:szCs w:val="12"/>
                <w:b w:val="1"/>
                <w:bCs w:val="1"/>
                <w:color w:val="auto"/>
              </w:rPr>
              <w:t>2021</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28"/>
        </w:trPr>
        <w:tc>
          <w:tcPr>
            <w:tcW w:w="5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179"/>
        </w:trPr>
        <w:tc>
          <w:tcPr>
            <w:tcW w:w="560" w:type="dxa"/>
            <w:vAlign w:val="bottom"/>
          </w:tcPr>
          <w:p>
            <w:pPr>
              <w:spacing w:after="0"/>
              <w:rPr>
                <w:sz w:val="15"/>
                <w:szCs w:val="15"/>
                <w:color w:val="auto"/>
              </w:rPr>
            </w:pPr>
          </w:p>
        </w:tc>
        <w:tc>
          <w:tcPr>
            <w:tcW w:w="3080" w:type="dxa"/>
            <w:vAlign w:val="bottom"/>
            <w:tcBorders>
              <w:bottom w:val="single" w:sz="8" w:color="CFF0FC"/>
            </w:tcBorders>
            <w:shd w:val="clear" w:color="auto" w:fill="CFF0FC"/>
          </w:tcPr>
          <w:p>
            <w:pPr>
              <w:spacing w:after="0" w:line="174" w:lineRule="exact"/>
              <w:rPr>
                <w:sz w:val="20"/>
                <w:szCs w:val="20"/>
                <w:color w:val="auto"/>
              </w:rPr>
            </w:pPr>
            <w:r>
              <w:rPr>
                <w:rFonts w:ascii="Calibri" w:cs="Calibri" w:eastAsia="Calibri" w:hAnsi="Calibri"/>
                <w:sz w:val="15"/>
                <w:szCs w:val="15"/>
                <w:i w:val="1"/>
                <w:iCs w:val="1"/>
                <w:color w:val="auto"/>
              </w:rPr>
              <w:t>Segment Revenue</w:t>
            </w:r>
          </w:p>
        </w:tc>
        <w:tc>
          <w:tcPr>
            <w:tcW w:w="288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560" w:type="dxa"/>
            <w:vAlign w:val="bottom"/>
          </w:tcPr>
          <w:p>
            <w:pPr>
              <w:spacing w:after="0"/>
              <w:rPr>
                <w:sz w:val="15"/>
                <w:szCs w:val="15"/>
                <w:color w:val="auto"/>
              </w:rPr>
            </w:pPr>
          </w:p>
        </w:tc>
      </w:tr>
      <w:tr>
        <w:trPr>
          <w:trHeight w:val="183"/>
        </w:trPr>
        <w:tc>
          <w:tcPr>
            <w:tcW w:w="560" w:type="dxa"/>
            <w:vAlign w:val="bottom"/>
          </w:tcPr>
          <w:p>
            <w:pPr>
              <w:spacing w:after="0"/>
              <w:rPr>
                <w:sz w:val="15"/>
                <w:szCs w:val="15"/>
                <w:color w:val="auto"/>
              </w:rPr>
            </w:pPr>
          </w:p>
        </w:tc>
        <w:tc>
          <w:tcPr>
            <w:tcW w:w="3080" w:type="dxa"/>
            <w:vAlign w:val="bottom"/>
          </w:tcPr>
          <w:p>
            <w:pPr>
              <w:ind w:left="160"/>
              <w:spacing w:after="0"/>
              <w:rPr>
                <w:sz w:val="20"/>
                <w:szCs w:val="20"/>
                <w:color w:val="auto"/>
              </w:rPr>
            </w:pPr>
            <w:r>
              <w:rPr>
                <w:rFonts w:ascii="Calibri" w:cs="Calibri" w:eastAsia="Calibri" w:hAnsi="Calibri"/>
                <w:sz w:val="15"/>
                <w:szCs w:val="15"/>
                <w:color w:val="auto"/>
              </w:rPr>
              <w:t>U.S. Marketplace</w:t>
            </w:r>
          </w:p>
        </w:tc>
        <w:tc>
          <w:tcPr>
            <w:tcW w:w="3160" w:type="dxa"/>
            <w:vAlign w:val="bottom"/>
            <w:gridSpan w:val="2"/>
          </w:tcPr>
          <w:p>
            <w:pPr>
              <w:jc w:val="right"/>
              <w:ind w:right="180"/>
              <w:spacing w:after="0"/>
              <w:rPr>
                <w:sz w:val="20"/>
                <w:szCs w:val="20"/>
                <w:color w:val="auto"/>
              </w:rPr>
            </w:pPr>
            <w:r>
              <w:rPr>
                <w:rFonts w:ascii="Calibri" w:cs="Calibri" w:eastAsia="Calibri" w:hAnsi="Calibri"/>
                <w:sz w:val="15"/>
                <w:szCs w:val="15"/>
                <w:color w:val="auto"/>
              </w:rPr>
              <w:t>$</w:t>
            </w:r>
          </w:p>
        </w:tc>
        <w:tc>
          <w:tcPr>
            <w:tcW w:w="920" w:type="dxa"/>
            <w:vAlign w:val="bottom"/>
          </w:tcPr>
          <w:p>
            <w:pPr>
              <w:jc w:val="right"/>
              <w:spacing w:after="0"/>
              <w:rPr>
                <w:sz w:val="20"/>
                <w:szCs w:val="20"/>
                <w:color w:val="auto"/>
              </w:rPr>
            </w:pPr>
            <w:r>
              <w:rPr>
                <w:rFonts w:ascii="Calibri" w:cs="Calibri" w:eastAsia="Calibri" w:hAnsi="Calibri"/>
                <w:sz w:val="15"/>
                <w:szCs w:val="15"/>
                <w:color w:val="auto"/>
              </w:rPr>
              <w:t>647,284</w:t>
            </w:r>
          </w:p>
        </w:tc>
        <w:tc>
          <w:tcPr>
            <w:tcW w:w="560" w:type="dxa"/>
            <w:vAlign w:val="bottom"/>
            <w:gridSpan w:val="2"/>
          </w:tcPr>
          <w:p>
            <w:pPr>
              <w:jc w:val="right"/>
              <w:ind w:right="200"/>
              <w:spacing w:after="0"/>
              <w:rPr>
                <w:sz w:val="20"/>
                <w:szCs w:val="20"/>
                <w:color w:val="auto"/>
              </w:rPr>
            </w:pPr>
            <w:r>
              <w:rPr>
                <w:rFonts w:ascii="Calibri" w:cs="Calibri" w:eastAsia="Calibri" w:hAnsi="Calibri"/>
                <w:sz w:val="15"/>
                <w:szCs w:val="15"/>
                <w:color w:val="auto"/>
              </w:rPr>
              <w:t>$</w:t>
            </w:r>
          </w:p>
        </w:tc>
        <w:tc>
          <w:tcPr>
            <w:tcW w:w="900" w:type="dxa"/>
            <w:vAlign w:val="bottom"/>
          </w:tcPr>
          <w:p>
            <w:pPr>
              <w:jc w:val="right"/>
              <w:spacing w:after="0"/>
              <w:rPr>
                <w:sz w:val="20"/>
                <w:szCs w:val="20"/>
                <w:color w:val="auto"/>
              </w:rPr>
            </w:pPr>
            <w:r>
              <w:rPr>
                <w:rFonts w:ascii="Calibri" w:cs="Calibri" w:eastAsia="Calibri" w:hAnsi="Calibri"/>
                <w:sz w:val="15"/>
                <w:szCs w:val="15"/>
                <w:color w:val="auto"/>
              </w:rPr>
              <w:t>614,136</w:t>
            </w:r>
          </w:p>
        </w:tc>
        <w:tc>
          <w:tcPr>
            <w:tcW w:w="520" w:type="dxa"/>
            <w:vAlign w:val="bottom"/>
            <w:gridSpan w:val="2"/>
          </w:tcPr>
          <w:p>
            <w:pPr>
              <w:jc w:val="right"/>
              <w:ind w:right="180"/>
              <w:spacing w:after="0"/>
              <w:rPr>
                <w:sz w:val="20"/>
                <w:szCs w:val="20"/>
                <w:color w:val="auto"/>
              </w:rPr>
            </w:pPr>
            <w:r>
              <w:rPr>
                <w:rFonts w:ascii="Calibri" w:cs="Calibri" w:eastAsia="Calibri" w:hAnsi="Calibri"/>
                <w:sz w:val="15"/>
                <w:szCs w:val="15"/>
                <w:color w:val="auto"/>
              </w:rPr>
              <w:t>$</w:t>
            </w:r>
          </w:p>
        </w:tc>
        <w:tc>
          <w:tcPr>
            <w:tcW w:w="900" w:type="dxa"/>
            <w:vAlign w:val="bottom"/>
          </w:tcPr>
          <w:p>
            <w:pPr>
              <w:jc w:val="right"/>
              <w:spacing w:after="0"/>
              <w:rPr>
                <w:sz w:val="20"/>
                <w:szCs w:val="20"/>
                <w:color w:val="auto"/>
              </w:rPr>
            </w:pPr>
            <w:r>
              <w:rPr>
                <w:rFonts w:ascii="Calibri" w:cs="Calibri" w:eastAsia="Calibri" w:hAnsi="Calibri"/>
                <w:sz w:val="15"/>
                <w:szCs w:val="15"/>
                <w:color w:val="auto"/>
              </w:rPr>
              <w:t>594,602</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4"/>
        </w:trPr>
        <w:tc>
          <w:tcPr>
            <w:tcW w:w="5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187"/>
        </w:trPr>
        <w:tc>
          <w:tcPr>
            <w:tcW w:w="560" w:type="dxa"/>
            <w:vAlign w:val="bottom"/>
          </w:tcPr>
          <w:p>
            <w:pPr>
              <w:spacing w:after="0"/>
              <w:rPr>
                <w:sz w:val="16"/>
                <w:szCs w:val="16"/>
                <w:color w:val="auto"/>
              </w:rPr>
            </w:pPr>
          </w:p>
        </w:tc>
        <w:tc>
          <w:tcPr>
            <w:tcW w:w="3080" w:type="dxa"/>
            <w:vAlign w:val="bottom"/>
            <w:tcBorders>
              <w:bottom w:val="single" w:sz="8" w:color="CFF0FC"/>
            </w:tcBorders>
            <w:shd w:val="clear" w:color="auto" w:fill="CFF0FC"/>
          </w:tcPr>
          <w:p>
            <w:pPr>
              <w:ind w:left="160"/>
              <w:spacing w:after="0"/>
              <w:rPr>
                <w:sz w:val="20"/>
                <w:szCs w:val="20"/>
                <w:color w:val="auto"/>
              </w:rPr>
            </w:pPr>
            <w:r>
              <w:rPr>
                <w:rFonts w:ascii="Calibri" w:cs="Calibri" w:eastAsia="Calibri" w:hAnsi="Calibri"/>
                <w:sz w:val="15"/>
                <w:szCs w:val="15"/>
                <w:color w:val="auto"/>
              </w:rPr>
              <w:t>Digital Wholesale</w:t>
            </w:r>
          </w:p>
        </w:tc>
        <w:tc>
          <w:tcPr>
            <w:tcW w:w="288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216,005</w:t>
            </w:r>
          </w:p>
        </w:tc>
        <w:tc>
          <w:tcPr>
            <w:tcW w:w="26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CFF0FC"/>
            </w:tcBorders>
            <w:shd w:val="clear" w:color="auto" w:fill="CFF0FC"/>
          </w:tcPr>
          <w:p>
            <w:pPr>
              <w:spacing w:after="0"/>
              <w:rPr>
                <w:sz w:val="16"/>
                <w:szCs w:val="16"/>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996,264</w:t>
            </w:r>
          </w:p>
        </w:tc>
        <w:tc>
          <w:tcPr>
            <w:tcW w:w="24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314,431</w:t>
            </w:r>
          </w:p>
        </w:tc>
        <w:tc>
          <w:tcPr>
            <w:tcW w:w="100" w:type="dxa"/>
            <w:vAlign w:val="bottom"/>
            <w:tcBorders>
              <w:bottom w:val="single" w:sz="8" w:color="CFF0FC"/>
            </w:tcBorders>
            <w:shd w:val="clear" w:color="auto" w:fill="CFF0FC"/>
          </w:tcPr>
          <w:p>
            <w:pPr>
              <w:spacing w:after="0"/>
              <w:rPr>
                <w:sz w:val="16"/>
                <w:szCs w:val="16"/>
                <w:color w:val="auto"/>
              </w:rPr>
            </w:pPr>
          </w:p>
        </w:tc>
        <w:tc>
          <w:tcPr>
            <w:tcW w:w="560" w:type="dxa"/>
            <w:vAlign w:val="bottom"/>
          </w:tcPr>
          <w:p>
            <w:pPr>
              <w:spacing w:after="0"/>
              <w:rPr>
                <w:sz w:val="16"/>
                <w:szCs w:val="16"/>
                <w:color w:val="auto"/>
              </w:rPr>
            </w:pPr>
          </w:p>
        </w:tc>
      </w:tr>
      <w:tr>
        <w:trPr>
          <w:trHeight w:val="183"/>
        </w:trPr>
        <w:tc>
          <w:tcPr>
            <w:tcW w:w="560" w:type="dxa"/>
            <w:vAlign w:val="bottom"/>
          </w:tcPr>
          <w:p>
            <w:pPr>
              <w:spacing w:after="0"/>
              <w:rPr>
                <w:sz w:val="15"/>
                <w:szCs w:val="15"/>
                <w:color w:val="auto"/>
              </w:rPr>
            </w:pPr>
          </w:p>
        </w:tc>
        <w:tc>
          <w:tcPr>
            <w:tcW w:w="3080" w:type="dxa"/>
            <w:vAlign w:val="bottom"/>
          </w:tcPr>
          <w:p>
            <w:pPr>
              <w:ind w:left="160"/>
              <w:spacing w:after="0"/>
              <w:rPr>
                <w:sz w:val="20"/>
                <w:szCs w:val="20"/>
                <w:color w:val="auto"/>
              </w:rPr>
            </w:pPr>
            <w:r>
              <w:rPr>
                <w:rFonts w:ascii="Calibri" w:cs="Calibri" w:eastAsia="Calibri" w:hAnsi="Calibri"/>
                <w:sz w:val="15"/>
                <w:szCs w:val="15"/>
                <w:color w:val="auto"/>
              </w:rPr>
              <w:t>Other</w:t>
            </w:r>
          </w:p>
        </w:tc>
        <w:tc>
          <w:tcPr>
            <w:tcW w:w="2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alibri" w:cs="Calibri" w:eastAsia="Calibri" w:hAnsi="Calibri"/>
                <w:sz w:val="15"/>
                <w:szCs w:val="15"/>
                <w:color w:val="auto"/>
              </w:rPr>
              <w:t>50,953</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alibri" w:cs="Calibri" w:eastAsia="Calibri" w:hAnsi="Calibri"/>
                <w:sz w:val="15"/>
                <w:szCs w:val="15"/>
                <w:color w:val="auto"/>
              </w:rPr>
              <w:t>44,635</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alibri" w:cs="Calibri" w:eastAsia="Calibri" w:hAnsi="Calibri"/>
                <w:sz w:val="15"/>
                <w:szCs w:val="15"/>
                <w:color w:val="auto"/>
              </w:rPr>
              <w:t>42,340</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4"/>
        </w:trPr>
        <w:tc>
          <w:tcPr>
            <w:tcW w:w="5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44"/>
        </w:trPr>
        <w:tc>
          <w:tcPr>
            <w:tcW w:w="560" w:type="dxa"/>
            <w:vAlign w:val="bottom"/>
          </w:tcPr>
          <w:p>
            <w:pPr>
              <w:spacing w:after="0"/>
              <w:rPr>
                <w:sz w:val="20"/>
                <w:szCs w:val="20"/>
                <w:color w:val="auto"/>
              </w:rPr>
            </w:pPr>
          </w:p>
        </w:tc>
        <w:tc>
          <w:tcPr>
            <w:tcW w:w="3080" w:type="dxa"/>
            <w:vAlign w:val="bottom"/>
            <w:tcBorders>
              <w:bottom w:val="single" w:sz="8" w:color="CFF0FC"/>
            </w:tcBorders>
            <w:shd w:val="clear" w:color="auto" w:fill="CFF0FC"/>
          </w:tcPr>
          <w:p>
            <w:pPr>
              <w:ind w:left="320"/>
              <w:spacing w:after="0" w:line="174" w:lineRule="exact"/>
              <w:rPr>
                <w:sz w:val="20"/>
                <w:szCs w:val="20"/>
                <w:color w:val="auto"/>
              </w:rPr>
            </w:pPr>
            <w:r>
              <w:rPr>
                <w:rFonts w:ascii="Calibri" w:cs="Calibri" w:eastAsia="Calibri" w:hAnsi="Calibri"/>
                <w:sz w:val="15"/>
                <w:szCs w:val="15"/>
                <w:color w:val="auto"/>
              </w:rPr>
              <w:t>Total</w:t>
            </w:r>
          </w:p>
        </w:tc>
        <w:tc>
          <w:tcPr>
            <w:tcW w:w="3160" w:type="dxa"/>
            <w:vAlign w:val="bottom"/>
            <w:tcBorders>
              <w:bottom w:val="single" w:sz="8" w:color="CFF0FC"/>
            </w:tcBorders>
            <w:gridSpan w:val="2"/>
            <w:shd w:val="clear" w:color="auto" w:fill="CFF0FC"/>
          </w:tcPr>
          <w:p>
            <w:pPr>
              <w:jc w:val="right"/>
              <w:ind w:right="180"/>
              <w:spacing w:after="0" w:line="174" w:lineRule="exact"/>
              <w:rPr>
                <w:sz w:val="20"/>
                <w:szCs w:val="20"/>
                <w:color w:val="auto"/>
              </w:rPr>
            </w:pPr>
            <w:r>
              <w:rPr>
                <w:rFonts w:ascii="Calibri" w:cs="Calibri" w:eastAsia="Calibri" w:hAnsi="Calibri"/>
                <w:sz w:val="15"/>
                <w:szCs w:val="15"/>
                <w:color w:val="auto"/>
              </w:rPr>
              <w:t>$</w:t>
            </w:r>
          </w:p>
        </w:tc>
        <w:tc>
          <w:tcPr>
            <w:tcW w:w="920" w:type="dxa"/>
            <w:vAlign w:val="bottom"/>
            <w:tcBorders>
              <w:bottom w:val="single" w:sz="8" w:color="CFF0FC"/>
            </w:tcBorders>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914,242</w:t>
            </w:r>
          </w:p>
        </w:tc>
        <w:tc>
          <w:tcPr>
            <w:tcW w:w="560" w:type="dxa"/>
            <w:vAlign w:val="bottom"/>
            <w:tcBorders>
              <w:bottom w:val="single" w:sz="8" w:color="CFF0FC"/>
            </w:tcBorders>
            <w:gridSpan w:val="2"/>
            <w:shd w:val="clear" w:color="auto" w:fill="CFF0FC"/>
          </w:tcPr>
          <w:p>
            <w:pPr>
              <w:jc w:val="right"/>
              <w:ind w:right="200"/>
              <w:spacing w:after="0" w:line="174" w:lineRule="exact"/>
              <w:rPr>
                <w:sz w:val="20"/>
                <w:szCs w:val="20"/>
                <w:color w:val="auto"/>
              </w:rPr>
            </w:pPr>
            <w:r>
              <w:rPr>
                <w:rFonts w:ascii="Calibri" w:cs="Calibri" w:eastAsia="Calibri" w:hAnsi="Calibri"/>
                <w:sz w:val="15"/>
                <w:szCs w:val="15"/>
                <w:color w:val="auto"/>
              </w:rPr>
              <w:t>$</w:t>
            </w:r>
          </w:p>
        </w:tc>
        <w:tc>
          <w:tcPr>
            <w:tcW w:w="900" w:type="dxa"/>
            <w:vAlign w:val="bottom"/>
            <w:tcBorders>
              <w:bottom w:val="single" w:sz="8" w:color="CFF0FC"/>
            </w:tcBorders>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1,655,035</w:t>
            </w:r>
          </w:p>
        </w:tc>
        <w:tc>
          <w:tcPr>
            <w:tcW w:w="520" w:type="dxa"/>
            <w:vAlign w:val="bottom"/>
            <w:tcBorders>
              <w:bottom w:val="single" w:sz="8" w:color="CFF0FC"/>
            </w:tcBorders>
            <w:gridSpan w:val="2"/>
            <w:shd w:val="clear" w:color="auto" w:fill="CFF0FC"/>
          </w:tcPr>
          <w:p>
            <w:pPr>
              <w:jc w:val="right"/>
              <w:ind w:right="180"/>
              <w:spacing w:after="0" w:line="174" w:lineRule="exact"/>
              <w:rPr>
                <w:sz w:val="20"/>
                <w:szCs w:val="20"/>
                <w:color w:val="auto"/>
              </w:rPr>
            </w:pPr>
            <w:r>
              <w:rPr>
                <w:rFonts w:ascii="Calibri" w:cs="Calibri" w:eastAsia="Calibri" w:hAnsi="Calibri"/>
                <w:sz w:val="15"/>
                <w:szCs w:val="15"/>
                <w:color w:val="auto"/>
              </w:rPr>
              <w:t>$</w:t>
            </w:r>
          </w:p>
        </w:tc>
        <w:tc>
          <w:tcPr>
            <w:tcW w:w="900" w:type="dxa"/>
            <w:vAlign w:val="bottom"/>
            <w:tcBorders>
              <w:bottom w:val="single" w:sz="8" w:color="CFF0FC"/>
            </w:tcBorders>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951,373</w:t>
            </w:r>
          </w:p>
        </w:tc>
        <w:tc>
          <w:tcPr>
            <w:tcW w:w="100" w:type="dxa"/>
            <w:vAlign w:val="bottom"/>
            <w:tcBorders>
              <w:bottom w:val="single" w:sz="8" w:color="CFF0FC"/>
            </w:tcBorders>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507"/>
        </w:trPr>
        <w:tc>
          <w:tcPr>
            <w:tcW w:w="560" w:type="dxa"/>
            <w:vAlign w:val="bottom"/>
          </w:tcPr>
          <w:p>
            <w:pPr>
              <w:spacing w:after="0"/>
              <w:rPr>
                <w:sz w:val="24"/>
                <w:szCs w:val="24"/>
                <w:color w:val="auto"/>
              </w:rPr>
            </w:pPr>
          </w:p>
        </w:tc>
        <w:tc>
          <w:tcPr>
            <w:tcW w:w="3080" w:type="dxa"/>
            <w:vAlign w:val="bottom"/>
            <w:tcBorders>
              <w:top w:val="single" w:sz="8" w:color="CFF0FC"/>
            </w:tcBorders>
          </w:tcPr>
          <w:p>
            <w:pPr>
              <w:spacing w:after="0"/>
              <w:rPr>
                <w:sz w:val="24"/>
                <w:szCs w:val="24"/>
                <w:color w:val="auto"/>
              </w:rPr>
            </w:pPr>
          </w:p>
        </w:tc>
        <w:tc>
          <w:tcPr>
            <w:tcW w:w="2880" w:type="dxa"/>
            <w:vAlign w:val="bottom"/>
            <w:tcBorders>
              <w:top w:val="single" w:sz="8" w:color="CFF0FC"/>
            </w:tcBorders>
          </w:tcPr>
          <w:p>
            <w:pPr>
              <w:jc w:val="right"/>
              <w:ind w:right="703"/>
              <w:spacing w:after="0"/>
              <w:rPr>
                <w:sz w:val="20"/>
                <w:szCs w:val="20"/>
                <w:color w:val="auto"/>
              </w:rPr>
            </w:pPr>
            <w:r>
              <w:rPr>
                <w:rFonts w:ascii="Calibri" w:cs="Calibri" w:eastAsia="Calibri" w:hAnsi="Calibri"/>
                <w:sz w:val="15"/>
                <w:szCs w:val="15"/>
                <w:color w:val="auto"/>
              </w:rPr>
              <w:t>129</w:t>
            </w:r>
          </w:p>
        </w:tc>
        <w:tc>
          <w:tcPr>
            <w:tcW w:w="2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560" w:type="dxa"/>
            <w:vAlign w:val="bottom"/>
          </w:tcPr>
          <w:p>
            <w:pPr>
              <w:spacing w:after="0"/>
              <w:rPr>
                <w:sz w:val="24"/>
                <w:szCs w:val="24"/>
                <w:color w:val="auto"/>
              </w:rPr>
            </w:pPr>
          </w:p>
        </w:tc>
      </w:tr>
      <w:tr>
        <w:trPr>
          <w:trHeight w:val="655"/>
        </w:trPr>
        <w:tc>
          <w:tcPr>
            <w:tcW w:w="56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4904740</wp:posOffset>
            </wp:positionH>
            <wp:positionV relativeFrom="paragraph">
              <wp:posOffset>-788670</wp:posOffset>
            </wp:positionV>
            <wp:extent cx="66040" cy="762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4904740</wp:posOffset>
            </wp:positionH>
            <wp:positionV relativeFrom="paragraph">
              <wp:posOffset>-774065</wp:posOffset>
            </wp:positionV>
            <wp:extent cx="66040" cy="762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5832475</wp:posOffset>
            </wp:positionH>
            <wp:positionV relativeFrom="paragraph">
              <wp:posOffset>-788670</wp:posOffset>
            </wp:positionV>
            <wp:extent cx="58420" cy="762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58420" cy="7620"/>
                    </a:xfrm>
                    <a:prstGeom prst="rect">
                      <a:avLst/>
                    </a:prstGeom>
                    <a:noFill/>
                  </pic:spPr>
                </pic:pic>
              </a:graphicData>
            </a:graphic>
          </wp:anchor>
        </w:drawing>
        <w:drawing>
          <wp:anchor simplePos="0" relativeHeight="251657728" behindDoc="1" locked="0" layoutInCell="0" allowOverlap="1">
            <wp:simplePos x="0" y="0"/>
            <wp:positionH relativeFrom="column">
              <wp:posOffset>5832475</wp:posOffset>
            </wp:positionH>
            <wp:positionV relativeFrom="paragraph">
              <wp:posOffset>-774065</wp:posOffset>
            </wp:positionV>
            <wp:extent cx="58420" cy="762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58420" cy="7620"/>
                    </a:xfrm>
                    <a:prstGeom prst="rect">
                      <a:avLst/>
                    </a:prstGeom>
                    <a:noFill/>
                  </pic:spPr>
                </pic:pic>
              </a:graphicData>
            </a:graphic>
          </wp:anchor>
        </w:drawing>
        <w:drawing>
          <wp:anchor simplePos="0" relativeHeight="251657728" behindDoc="1" locked="0" layoutInCell="0" allowOverlap="1">
            <wp:simplePos x="0" y="0"/>
            <wp:positionH relativeFrom="column">
              <wp:posOffset>6731000</wp:posOffset>
            </wp:positionH>
            <wp:positionV relativeFrom="paragraph">
              <wp:posOffset>-788670</wp:posOffset>
            </wp:positionV>
            <wp:extent cx="58420" cy="762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58420" cy="7620"/>
                    </a:xfrm>
                    <a:prstGeom prst="rect">
                      <a:avLst/>
                    </a:prstGeom>
                    <a:noFill/>
                  </pic:spPr>
                </pic:pic>
              </a:graphicData>
            </a:graphic>
          </wp:anchor>
        </w:drawing>
        <w:drawing>
          <wp:anchor simplePos="0" relativeHeight="251657728" behindDoc="1" locked="0" layoutInCell="0" allowOverlap="1">
            <wp:simplePos x="0" y="0"/>
            <wp:positionH relativeFrom="column">
              <wp:posOffset>6731000</wp:posOffset>
            </wp:positionH>
            <wp:positionV relativeFrom="paragraph">
              <wp:posOffset>-774065</wp:posOffset>
            </wp:positionV>
            <wp:extent cx="58420" cy="762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58420" cy="7620"/>
                    </a:xfrm>
                    <a:prstGeom prst="rect">
                      <a:avLst/>
                    </a:prstGeom>
                    <a:noFill/>
                  </pic:spPr>
                </pic:pic>
              </a:graphicData>
            </a:graphic>
          </wp:anchor>
        </w:drawing>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-26670</wp:posOffset>
            </wp:positionV>
            <wp:extent cx="33020" cy="4000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1134" w:right="319" w:bottom="1440" w:gutter="0" w:footer="0" w:header="0"/>
        </w:sectPr>
      </w:pPr>
    </w:p>
    <w:bookmarkStart w:id="131" w:name="page132"/>
    <w:bookmarkEnd w:id="131"/>
    <w:tbl>
      <w:tblPr>
        <w:tblLayout w:type="fixed"/>
        <w:tblInd w:w="62" w:type="dxa"/>
        <w:tblCellMar>
          <w:top w:w="0" w:type="dxa"/>
          <w:left w:w="0" w:type="dxa"/>
          <w:bottom w:w="0" w:type="dxa"/>
          <w:right w:w="0" w:type="dxa"/>
        </w:tblCellMar>
      </w:tblPr>
      <w:tr>
        <w:trPr>
          <w:trHeight w:val="146"/>
        </w:trPr>
        <w:tc>
          <w:tcPr>
            <w:tcW w:w="5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4"/>
          </w:tcPr>
          <w:p>
            <w:pPr>
              <w:jc w:val="right"/>
              <w:ind w:right="200"/>
              <w:spacing w:after="0"/>
              <w:rPr>
                <w:sz w:val="20"/>
                <w:szCs w:val="20"/>
                <w:color w:val="auto"/>
              </w:rPr>
            </w:pPr>
            <w:r>
              <w:rPr>
                <w:rFonts w:ascii="Calibri" w:cs="Calibri" w:eastAsia="Calibri" w:hAnsi="Calibri"/>
                <w:sz w:val="12"/>
                <w:szCs w:val="12"/>
                <w:b w:val="1"/>
                <w:bCs w:val="1"/>
                <w:color w:val="auto"/>
              </w:rPr>
              <w:t>Year Ended December 31,</w:t>
            </w: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8"/>
        </w:trPr>
        <w:tc>
          <w:tcPr>
            <w:tcW w:w="59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64"/>
        </w:trPr>
        <w:tc>
          <w:tcPr>
            <w:tcW w:w="59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06"/>
              <w:spacing w:after="0"/>
              <w:rPr>
                <w:sz w:val="20"/>
                <w:szCs w:val="20"/>
                <w:color w:val="auto"/>
              </w:rPr>
            </w:pPr>
            <w:r>
              <w:rPr>
                <w:rFonts w:ascii="Calibri" w:cs="Calibri" w:eastAsia="Calibri" w:hAnsi="Calibri"/>
                <w:sz w:val="12"/>
                <w:szCs w:val="12"/>
                <w:b w:val="1"/>
                <w:bCs w:val="1"/>
                <w:color w:val="auto"/>
              </w:rPr>
              <w:t>2023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26"/>
              <w:spacing w:after="0" w:line="164" w:lineRule="exact"/>
              <w:rPr>
                <w:sz w:val="20"/>
                <w:szCs w:val="20"/>
                <w:color w:val="auto"/>
              </w:rPr>
            </w:pPr>
            <w:r>
              <w:rPr>
                <w:rFonts w:ascii="Calibri" w:cs="Calibri" w:eastAsia="Calibri" w:hAnsi="Calibri"/>
                <w:sz w:val="12"/>
                <w:szCs w:val="12"/>
                <w:b w:val="1"/>
                <w:bCs w:val="1"/>
                <w:color w:val="auto"/>
              </w:rPr>
              <w:t xml:space="preserve">2022 </w:t>
            </w:r>
            <w:r>
              <w:rPr>
                <w:rFonts w:ascii="Calibri" w:cs="Calibri" w:eastAsia="Calibri" w:hAnsi="Calibri"/>
                <w:sz w:val="16"/>
                <w:szCs w:val="16"/>
                <w:b w:val="1"/>
                <w:bCs w:val="1"/>
                <w:color w:val="auto"/>
                <w:vertAlign w:val="superscript"/>
              </w:rPr>
              <w:t>(1)</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26"/>
              <w:spacing w:after="0" w:line="164" w:lineRule="exact"/>
              <w:rPr>
                <w:sz w:val="20"/>
                <w:szCs w:val="20"/>
                <w:color w:val="auto"/>
              </w:rPr>
            </w:pPr>
            <w:r>
              <w:rPr>
                <w:rFonts w:ascii="Calibri" w:cs="Calibri" w:eastAsia="Calibri" w:hAnsi="Calibri"/>
                <w:sz w:val="12"/>
                <w:szCs w:val="12"/>
                <w:b w:val="1"/>
                <w:bCs w:val="1"/>
                <w:color w:val="auto"/>
              </w:rPr>
              <w:t xml:space="preserve">2021 </w:t>
            </w:r>
            <w:r>
              <w:rPr>
                <w:rFonts w:ascii="Calibri" w:cs="Calibri" w:eastAsia="Calibri" w:hAnsi="Calibri"/>
                <w:sz w:val="16"/>
                <w:szCs w:val="16"/>
                <w:b w:val="1"/>
                <w:bCs w:val="1"/>
                <w:color w:val="auto"/>
                <w:vertAlign w:val="superscript"/>
              </w:rPr>
              <w:t>(1)</w:t>
            </w:r>
          </w:p>
        </w:tc>
        <w:tc>
          <w:tcPr>
            <w:tcW w:w="100" w:type="dxa"/>
            <w:vAlign w:val="bottom"/>
          </w:tcPr>
          <w:p>
            <w:pPr>
              <w:spacing w:after="0"/>
              <w:rPr>
                <w:sz w:val="14"/>
                <w:szCs w:val="14"/>
                <w:color w:val="auto"/>
              </w:rPr>
            </w:pPr>
          </w:p>
        </w:tc>
      </w:tr>
      <w:tr>
        <w:trPr>
          <w:trHeight w:val="179"/>
        </w:trPr>
        <w:tc>
          <w:tcPr>
            <w:tcW w:w="5960" w:type="dxa"/>
            <w:vAlign w:val="bottom"/>
            <w:tcBorders>
              <w:bottom w:val="single" w:sz="8" w:color="CFF0FC"/>
            </w:tcBorders>
            <w:shd w:val="clear" w:color="auto" w:fill="CFF0FC"/>
          </w:tcPr>
          <w:p>
            <w:pPr>
              <w:spacing w:after="0" w:line="174" w:lineRule="exact"/>
              <w:rPr>
                <w:sz w:val="20"/>
                <w:szCs w:val="20"/>
                <w:color w:val="auto"/>
              </w:rPr>
            </w:pPr>
            <w:r>
              <w:rPr>
                <w:rFonts w:ascii="Calibri" w:cs="Calibri" w:eastAsia="Calibri" w:hAnsi="Calibri"/>
                <w:sz w:val="15"/>
                <w:szCs w:val="15"/>
                <w:i w:val="1"/>
                <w:iCs w:val="1"/>
                <w:color w:val="auto"/>
              </w:rPr>
              <w:t>Segment Income (Loss) from Operatons:</w:t>
            </w:r>
          </w:p>
        </w:tc>
        <w:tc>
          <w:tcPr>
            <w:tcW w:w="28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9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r>
      <w:tr>
        <w:trPr>
          <w:trHeight w:val="183"/>
        </w:trPr>
        <w:tc>
          <w:tcPr>
            <w:tcW w:w="5960" w:type="dxa"/>
            <w:vAlign w:val="bottom"/>
          </w:tcPr>
          <w:p>
            <w:pPr>
              <w:ind w:left="160"/>
              <w:spacing w:after="0"/>
              <w:rPr>
                <w:sz w:val="20"/>
                <w:szCs w:val="20"/>
                <w:color w:val="auto"/>
              </w:rPr>
            </w:pPr>
            <w:r>
              <w:rPr>
                <w:rFonts w:ascii="Calibri" w:cs="Calibri" w:eastAsia="Calibri" w:hAnsi="Calibri"/>
                <w:sz w:val="15"/>
                <w:szCs w:val="15"/>
                <w:color w:val="auto"/>
              </w:rPr>
              <w:t>U.S. Marketplace</w:t>
            </w:r>
          </w:p>
        </w:tc>
        <w:tc>
          <w:tcPr>
            <w:tcW w:w="280" w:type="dxa"/>
            <w:vAlign w:val="bottom"/>
          </w:tcPr>
          <w:p>
            <w:pPr>
              <w:jc w:val="right"/>
              <w:ind w:right="103"/>
              <w:spacing w:after="0"/>
              <w:rPr>
                <w:sz w:val="20"/>
                <w:szCs w:val="20"/>
                <w:color w:val="auto"/>
              </w:rPr>
            </w:pPr>
            <w:r>
              <w:rPr>
                <w:rFonts w:ascii="Calibri" w:cs="Calibri" w:eastAsia="Calibri" w:hAnsi="Calibri"/>
                <w:sz w:val="15"/>
                <w:szCs w:val="15"/>
                <w:color w:val="auto"/>
              </w:rPr>
              <w:t>$</w:t>
            </w:r>
          </w:p>
        </w:tc>
        <w:tc>
          <w:tcPr>
            <w:tcW w:w="920" w:type="dxa"/>
            <w:vAlign w:val="bottom"/>
          </w:tcPr>
          <w:p>
            <w:pPr>
              <w:jc w:val="right"/>
              <w:spacing w:after="0"/>
              <w:rPr>
                <w:sz w:val="20"/>
                <w:szCs w:val="20"/>
                <w:color w:val="auto"/>
              </w:rPr>
            </w:pPr>
            <w:r>
              <w:rPr>
                <w:rFonts w:ascii="Calibri" w:cs="Calibri" w:eastAsia="Calibri" w:hAnsi="Calibri"/>
                <w:sz w:val="15"/>
                <w:szCs w:val="15"/>
                <w:color w:val="auto"/>
              </w:rPr>
              <w:t>127,724</w:t>
            </w:r>
          </w:p>
        </w:tc>
        <w:tc>
          <w:tcPr>
            <w:tcW w:w="120" w:type="dxa"/>
            <w:vAlign w:val="bottom"/>
          </w:tcPr>
          <w:p>
            <w:pPr>
              <w:spacing w:after="0"/>
              <w:rPr>
                <w:sz w:val="15"/>
                <w:szCs w:val="15"/>
                <w:color w:val="auto"/>
              </w:rPr>
            </w:pPr>
          </w:p>
        </w:tc>
        <w:tc>
          <w:tcPr>
            <w:tcW w:w="400" w:type="dxa"/>
            <w:vAlign w:val="bottom"/>
            <w:gridSpan w:val="2"/>
          </w:tcPr>
          <w:p>
            <w:pPr>
              <w:jc w:val="right"/>
              <w:ind w:right="160"/>
              <w:spacing w:after="0"/>
              <w:rPr>
                <w:sz w:val="20"/>
                <w:szCs w:val="20"/>
                <w:color w:val="auto"/>
              </w:rPr>
            </w:pPr>
            <w:r>
              <w:rPr>
                <w:rFonts w:ascii="Calibri" w:cs="Calibri" w:eastAsia="Calibri" w:hAnsi="Calibri"/>
                <w:sz w:val="15"/>
                <w:szCs w:val="15"/>
                <w:color w:val="auto"/>
              </w:rPr>
              <w:t>$</w:t>
            </w:r>
          </w:p>
        </w:tc>
        <w:tc>
          <w:tcPr>
            <w:tcW w:w="940" w:type="dxa"/>
            <w:vAlign w:val="bottom"/>
          </w:tcPr>
          <w:p>
            <w:pPr>
              <w:jc w:val="right"/>
              <w:spacing w:after="0"/>
              <w:rPr>
                <w:sz w:val="20"/>
                <w:szCs w:val="20"/>
                <w:color w:val="auto"/>
              </w:rPr>
            </w:pPr>
            <w:r>
              <w:rPr>
                <w:rFonts w:ascii="Calibri" w:cs="Calibri" w:eastAsia="Calibri" w:hAnsi="Calibri"/>
                <w:sz w:val="15"/>
                <w:szCs w:val="15"/>
                <w:color w:val="auto"/>
              </w:rPr>
              <w:t>128,455</w:t>
            </w:r>
          </w:p>
        </w:tc>
        <w:tc>
          <w:tcPr>
            <w:tcW w:w="240" w:type="dxa"/>
            <w:vAlign w:val="bottom"/>
          </w:tcPr>
          <w:p>
            <w:pPr>
              <w:spacing w:after="0"/>
              <w:rPr>
                <w:sz w:val="15"/>
                <w:szCs w:val="15"/>
                <w:color w:val="auto"/>
              </w:rPr>
            </w:pPr>
          </w:p>
        </w:tc>
        <w:tc>
          <w:tcPr>
            <w:tcW w:w="260" w:type="dxa"/>
            <w:vAlign w:val="bottom"/>
          </w:tcPr>
          <w:p>
            <w:pPr>
              <w:jc w:val="right"/>
              <w:ind w:right="83"/>
              <w:spacing w:after="0"/>
              <w:rPr>
                <w:sz w:val="20"/>
                <w:szCs w:val="20"/>
                <w:color w:val="auto"/>
              </w:rPr>
            </w:pPr>
            <w:r>
              <w:rPr>
                <w:rFonts w:ascii="Calibri" w:cs="Calibri" w:eastAsia="Calibri" w:hAnsi="Calibri"/>
                <w:sz w:val="15"/>
                <w:szCs w:val="15"/>
                <w:color w:val="auto"/>
              </w:rPr>
              <w:t>$</w:t>
            </w:r>
          </w:p>
        </w:tc>
        <w:tc>
          <w:tcPr>
            <w:tcW w:w="920" w:type="dxa"/>
            <w:vAlign w:val="bottom"/>
          </w:tcPr>
          <w:p>
            <w:pPr>
              <w:jc w:val="right"/>
              <w:spacing w:after="0"/>
              <w:rPr>
                <w:sz w:val="20"/>
                <w:szCs w:val="20"/>
                <w:color w:val="auto"/>
              </w:rPr>
            </w:pPr>
            <w:r>
              <w:rPr>
                <w:rFonts w:ascii="Calibri" w:cs="Calibri" w:eastAsia="Calibri" w:hAnsi="Calibri"/>
                <w:sz w:val="15"/>
                <w:szCs w:val="15"/>
                <w:color w:val="auto"/>
              </w:rPr>
              <w:t>152,006</w:t>
            </w:r>
          </w:p>
        </w:tc>
        <w:tc>
          <w:tcPr>
            <w:tcW w:w="100" w:type="dxa"/>
            <w:vAlign w:val="bottom"/>
          </w:tcPr>
          <w:p>
            <w:pPr>
              <w:spacing w:after="0"/>
              <w:rPr>
                <w:sz w:val="15"/>
                <w:szCs w:val="15"/>
                <w:color w:val="auto"/>
              </w:rPr>
            </w:pPr>
          </w:p>
        </w:tc>
      </w:tr>
      <w:tr>
        <w:trPr>
          <w:trHeight w:val="24"/>
        </w:trPr>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7"/>
        </w:trPr>
        <w:tc>
          <w:tcPr>
            <w:tcW w:w="5960" w:type="dxa"/>
            <w:vAlign w:val="bottom"/>
            <w:tcBorders>
              <w:bottom w:val="single" w:sz="8" w:color="CFF0FC"/>
            </w:tcBorders>
            <w:shd w:val="clear" w:color="auto" w:fill="CFF0FC"/>
          </w:tcPr>
          <w:p>
            <w:pPr>
              <w:ind w:left="160"/>
              <w:spacing w:after="0"/>
              <w:rPr>
                <w:sz w:val="20"/>
                <w:szCs w:val="20"/>
                <w:color w:val="auto"/>
              </w:rPr>
            </w:pPr>
            <w:r>
              <w:rPr>
                <w:rFonts w:ascii="Calibri" w:cs="Calibri" w:eastAsia="Calibri" w:hAnsi="Calibri"/>
                <w:sz w:val="15"/>
                <w:szCs w:val="15"/>
                <w:color w:val="auto"/>
              </w:rPr>
              <w:t>Digital Wholesale</w:t>
            </w:r>
          </w:p>
        </w:tc>
        <w:tc>
          <w:tcPr>
            <w:tcW w:w="280" w:type="dxa"/>
            <w:vAlign w:val="bottom"/>
            <w:tcBorders>
              <w:bottom w:val="single" w:sz="8" w:color="CFF0FC"/>
            </w:tcBorders>
            <w:shd w:val="clear" w:color="auto" w:fill="CFF0FC"/>
          </w:tcPr>
          <w:p>
            <w:pPr>
              <w:spacing w:after="0"/>
              <w:rPr>
                <w:sz w:val="16"/>
                <w:szCs w:val="16"/>
                <w:color w:val="auto"/>
              </w:rPr>
            </w:pPr>
          </w:p>
        </w:tc>
        <w:tc>
          <w:tcPr>
            <w:tcW w:w="1040" w:type="dxa"/>
            <w:vAlign w:val="bottom"/>
            <w:tcBorders>
              <w:bottom w:val="single" w:sz="8" w:color="CFF0FC"/>
            </w:tcBorders>
            <w:gridSpan w:val="2"/>
            <w:shd w:val="clear" w:color="auto" w:fill="CFF0FC"/>
          </w:tcPr>
          <w:p>
            <w:pPr>
              <w:jc w:val="right"/>
              <w:ind w:right="60"/>
              <w:spacing w:after="0"/>
              <w:rPr>
                <w:sz w:val="20"/>
                <w:szCs w:val="20"/>
                <w:color w:val="auto"/>
              </w:rPr>
            </w:pPr>
            <w:r>
              <w:rPr>
                <w:rFonts w:ascii="Calibri" w:cs="Calibri" w:eastAsia="Calibri" w:hAnsi="Calibri"/>
                <w:sz w:val="15"/>
                <w:szCs w:val="15"/>
                <w:color w:val="auto"/>
              </w:rPr>
              <w:t>(96,383 )</w:t>
            </w:r>
          </w:p>
        </w:tc>
        <w:tc>
          <w:tcPr>
            <w:tcW w:w="14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118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Calibri" w:cs="Calibri" w:eastAsia="Calibri" w:hAnsi="Calibri"/>
                <w:sz w:val="15"/>
                <w:szCs w:val="15"/>
                <w:color w:val="auto"/>
              </w:rPr>
              <w:t>(11,834 )</w:t>
            </w:r>
          </w:p>
        </w:tc>
        <w:tc>
          <w:tcPr>
            <w:tcW w:w="260" w:type="dxa"/>
            <w:vAlign w:val="bottom"/>
            <w:tcBorders>
              <w:bottom w:val="single" w:sz="8" w:color="CFF0FC"/>
            </w:tcBorders>
            <w:shd w:val="clear" w:color="auto" w:fill="CFF0FC"/>
          </w:tcPr>
          <w:p>
            <w:pPr>
              <w:spacing w:after="0"/>
              <w:rPr>
                <w:sz w:val="16"/>
                <w:szCs w:val="16"/>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6,526</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5960" w:type="dxa"/>
            <w:vAlign w:val="bottom"/>
          </w:tcPr>
          <w:p>
            <w:pPr>
              <w:ind w:left="160"/>
              <w:spacing w:after="0"/>
              <w:rPr>
                <w:sz w:val="20"/>
                <w:szCs w:val="20"/>
                <w:color w:val="auto"/>
              </w:rPr>
            </w:pPr>
            <w:r>
              <w:rPr>
                <w:rFonts w:ascii="Calibri" w:cs="Calibri" w:eastAsia="Calibri" w:hAnsi="Calibri"/>
                <w:sz w:val="15"/>
                <w:szCs w:val="15"/>
                <w:color w:val="auto"/>
              </w:rPr>
              <w:t>Other</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alibri" w:cs="Calibri" w:eastAsia="Calibri" w:hAnsi="Calibri"/>
                <w:sz w:val="15"/>
                <w:szCs w:val="15"/>
                <w:color w:val="auto"/>
              </w:rPr>
              <w:t>1,286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Calibri" w:cs="Calibri" w:eastAsia="Calibri" w:hAnsi="Calibri"/>
                <w:sz w:val="15"/>
                <w:szCs w:val="15"/>
                <w:color w:val="auto"/>
              </w:rPr>
              <w:t>(8,143 )</w:t>
            </w:r>
          </w:p>
        </w:tc>
        <w:tc>
          <w:tcPr>
            <w:tcW w:w="260" w:type="dxa"/>
            <w:vAlign w:val="bottom"/>
          </w:tcPr>
          <w:p>
            <w:pPr>
              <w:spacing w:after="0"/>
              <w:rPr>
                <w:sz w:val="15"/>
                <w:szCs w:val="15"/>
                <w:color w:val="auto"/>
              </w:rPr>
            </w:pPr>
          </w:p>
        </w:tc>
        <w:tc>
          <w:tcPr>
            <w:tcW w:w="1020" w:type="dxa"/>
            <w:vAlign w:val="bottom"/>
            <w:gridSpan w:val="2"/>
          </w:tcPr>
          <w:p>
            <w:pPr>
              <w:jc w:val="right"/>
              <w:ind w:right="40"/>
              <w:spacing w:after="0"/>
              <w:rPr>
                <w:sz w:val="20"/>
                <w:szCs w:val="20"/>
                <w:color w:val="auto"/>
              </w:rPr>
            </w:pPr>
            <w:r>
              <w:rPr>
                <w:rFonts w:ascii="Calibri" w:cs="Calibri" w:eastAsia="Calibri" w:hAnsi="Calibri"/>
                <w:sz w:val="15"/>
                <w:szCs w:val="15"/>
                <w:color w:val="auto"/>
              </w:rPr>
              <w:t>(10,264 )</w:t>
            </w:r>
          </w:p>
        </w:tc>
      </w:tr>
      <w:tr>
        <w:trPr>
          <w:trHeight w:val="24"/>
        </w:trPr>
        <w:tc>
          <w:tcPr>
            <w:tcW w:w="59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24"/>
        </w:trPr>
        <w:tc>
          <w:tcPr>
            <w:tcW w:w="5960" w:type="dxa"/>
            <w:vAlign w:val="bottom"/>
            <w:tcBorders>
              <w:bottom w:val="single" w:sz="8" w:color="CFF0FC"/>
            </w:tcBorders>
            <w:shd w:val="clear" w:color="auto" w:fill="CFF0FC"/>
          </w:tcPr>
          <w:p>
            <w:pPr>
              <w:ind w:left="320"/>
              <w:spacing w:after="0" w:line="174" w:lineRule="exact"/>
              <w:rPr>
                <w:sz w:val="20"/>
                <w:szCs w:val="20"/>
                <w:color w:val="auto"/>
              </w:rPr>
            </w:pPr>
            <w:r>
              <w:rPr>
                <w:rFonts w:ascii="Calibri" w:cs="Calibri" w:eastAsia="Calibri" w:hAnsi="Calibri"/>
                <w:sz w:val="15"/>
                <w:szCs w:val="15"/>
                <w:color w:val="auto"/>
              </w:rPr>
              <w:t>Total</w:t>
            </w:r>
          </w:p>
        </w:tc>
        <w:tc>
          <w:tcPr>
            <w:tcW w:w="280" w:type="dxa"/>
            <w:vAlign w:val="bottom"/>
            <w:tcBorders>
              <w:bottom w:val="single" w:sz="8" w:color="CFF0FC"/>
            </w:tcBorders>
            <w:shd w:val="clear" w:color="auto" w:fill="CFF0FC"/>
          </w:tcPr>
          <w:p>
            <w:pPr>
              <w:jc w:val="right"/>
              <w:ind w:right="103"/>
              <w:spacing w:after="0" w:line="174" w:lineRule="exact"/>
              <w:rPr>
                <w:sz w:val="20"/>
                <w:szCs w:val="20"/>
                <w:color w:val="auto"/>
              </w:rPr>
            </w:pPr>
            <w:r>
              <w:rPr>
                <w:rFonts w:ascii="Calibri" w:cs="Calibri" w:eastAsia="Calibri" w:hAnsi="Calibri"/>
                <w:sz w:val="15"/>
                <w:szCs w:val="15"/>
                <w:color w:val="auto"/>
              </w:rPr>
              <w:t>$</w:t>
            </w:r>
          </w:p>
        </w:tc>
        <w:tc>
          <w:tcPr>
            <w:tcW w:w="920" w:type="dxa"/>
            <w:vAlign w:val="bottom"/>
            <w:tcBorders>
              <w:bottom w:val="single" w:sz="8" w:color="CFF0FC"/>
            </w:tcBorders>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32,627</w:t>
            </w:r>
          </w:p>
        </w:tc>
        <w:tc>
          <w:tcPr>
            <w:tcW w:w="12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gridSpan w:val="2"/>
            <w:shd w:val="clear" w:color="auto" w:fill="CFF0FC"/>
          </w:tcPr>
          <w:p>
            <w:pPr>
              <w:jc w:val="right"/>
              <w:ind w:right="160"/>
              <w:spacing w:after="0" w:line="174" w:lineRule="exact"/>
              <w:rPr>
                <w:sz w:val="20"/>
                <w:szCs w:val="20"/>
                <w:color w:val="auto"/>
              </w:rPr>
            </w:pPr>
            <w:r>
              <w:rPr>
                <w:rFonts w:ascii="Calibri" w:cs="Calibri" w:eastAsia="Calibri" w:hAnsi="Calibri"/>
                <w:sz w:val="15"/>
                <w:szCs w:val="15"/>
                <w:color w:val="auto"/>
              </w:rPr>
              <w:t>$</w:t>
            </w:r>
          </w:p>
        </w:tc>
        <w:tc>
          <w:tcPr>
            <w:tcW w:w="940" w:type="dxa"/>
            <w:vAlign w:val="bottom"/>
            <w:tcBorders>
              <w:bottom w:val="single" w:sz="8" w:color="CFF0FC"/>
            </w:tcBorders>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108,478</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jc w:val="right"/>
              <w:ind w:right="83"/>
              <w:spacing w:after="0" w:line="174" w:lineRule="exact"/>
              <w:rPr>
                <w:sz w:val="20"/>
                <w:szCs w:val="20"/>
                <w:color w:val="auto"/>
              </w:rPr>
            </w:pPr>
            <w:r>
              <w:rPr>
                <w:rFonts w:ascii="Calibri" w:cs="Calibri" w:eastAsia="Calibri" w:hAnsi="Calibri"/>
                <w:sz w:val="15"/>
                <w:szCs w:val="15"/>
                <w:color w:val="auto"/>
              </w:rPr>
              <w:t>$</w:t>
            </w:r>
          </w:p>
        </w:tc>
        <w:tc>
          <w:tcPr>
            <w:tcW w:w="920" w:type="dxa"/>
            <w:vAlign w:val="bottom"/>
            <w:tcBorders>
              <w:bottom w:val="single" w:sz="8" w:color="CFF0FC"/>
            </w:tcBorders>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148,268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9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4588510</wp:posOffset>
            </wp:positionH>
            <wp:positionV relativeFrom="paragraph">
              <wp:posOffset>-21590</wp:posOffset>
            </wp:positionV>
            <wp:extent cx="66040" cy="762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4588510</wp:posOffset>
            </wp:positionH>
            <wp:positionV relativeFrom="paragraph">
              <wp:posOffset>-6985</wp:posOffset>
            </wp:positionV>
            <wp:extent cx="66040" cy="762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5516245</wp:posOffset>
            </wp:positionH>
            <wp:positionV relativeFrom="paragraph">
              <wp:posOffset>-21590</wp:posOffset>
            </wp:positionV>
            <wp:extent cx="58420" cy="762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58420" cy="7620"/>
                    </a:xfrm>
                    <a:prstGeom prst="rect">
                      <a:avLst/>
                    </a:prstGeom>
                    <a:noFill/>
                  </pic:spPr>
                </pic:pic>
              </a:graphicData>
            </a:graphic>
          </wp:anchor>
        </w:drawing>
        <w:drawing>
          <wp:anchor simplePos="0" relativeHeight="251657728" behindDoc="1" locked="0" layoutInCell="0" allowOverlap="1">
            <wp:simplePos x="0" y="0"/>
            <wp:positionH relativeFrom="column">
              <wp:posOffset>5516245</wp:posOffset>
            </wp:positionH>
            <wp:positionV relativeFrom="paragraph">
              <wp:posOffset>-6985</wp:posOffset>
            </wp:positionV>
            <wp:extent cx="58420" cy="762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58420" cy="7620"/>
                    </a:xfrm>
                    <a:prstGeom prst="rect">
                      <a:avLst/>
                    </a:prstGeom>
                    <a:noFill/>
                  </pic:spPr>
                </pic:pic>
              </a:graphicData>
            </a:graphic>
          </wp:anchor>
        </w:drawing>
        <w:drawing>
          <wp:anchor simplePos="0" relativeHeight="251657728" behindDoc="1" locked="0" layoutInCell="0" allowOverlap="1">
            <wp:simplePos x="0" y="0"/>
            <wp:positionH relativeFrom="column">
              <wp:posOffset>6414770</wp:posOffset>
            </wp:positionH>
            <wp:positionV relativeFrom="paragraph">
              <wp:posOffset>-21590</wp:posOffset>
            </wp:positionV>
            <wp:extent cx="58420" cy="762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58420" cy="7620"/>
                    </a:xfrm>
                    <a:prstGeom prst="rect">
                      <a:avLst/>
                    </a:prstGeom>
                    <a:noFill/>
                  </pic:spPr>
                </pic:pic>
              </a:graphicData>
            </a:graphic>
          </wp:anchor>
        </w:drawing>
        <w:drawing>
          <wp:anchor simplePos="0" relativeHeight="251657728" behindDoc="1" locked="0" layoutInCell="0" allowOverlap="1">
            <wp:simplePos x="0" y="0"/>
            <wp:positionH relativeFrom="column">
              <wp:posOffset>6414770</wp:posOffset>
            </wp:positionH>
            <wp:positionV relativeFrom="paragraph">
              <wp:posOffset>-6985</wp:posOffset>
            </wp:positionV>
            <wp:extent cx="58420" cy="762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58420" cy="7620"/>
                    </a:xfrm>
                    <a:prstGeom prst="rect">
                      <a:avLst/>
                    </a:prstGeom>
                    <a:noFill/>
                  </pic:spPr>
                </pic:pic>
              </a:graphicData>
            </a:graphic>
          </wp:anchor>
        </w:drawing>
      </w:r>
    </w:p>
    <w:p>
      <w:pPr>
        <w:spacing w:after="0" w:line="67" w:lineRule="exact"/>
        <w:rPr>
          <w:sz w:val="20"/>
          <w:szCs w:val="20"/>
          <w:color w:val="auto"/>
        </w:rPr>
      </w:pPr>
    </w:p>
    <w:p>
      <w:pPr>
        <w:jc w:val="both"/>
        <w:ind w:left="522" w:hanging="522"/>
        <w:spacing w:after="0" w:line="201" w:lineRule="auto"/>
        <w:tabs>
          <w:tab w:leader="none" w:pos="522" w:val="left"/>
        </w:tabs>
        <w:numPr>
          <w:ilvl w:val="0"/>
          <w:numId w:val="32"/>
        </w:numPr>
        <w:rPr>
          <w:rFonts w:ascii="Calibri" w:cs="Calibri" w:eastAsia="Calibri" w:hAnsi="Calibri"/>
          <w:sz w:val="21"/>
          <w:szCs w:val="21"/>
          <w:color w:val="auto"/>
          <w:vertAlign w:val="subscript"/>
        </w:rPr>
      </w:pPr>
      <w:r>
        <w:rPr>
          <w:rFonts w:ascii="Calibri" w:cs="Calibri" w:eastAsia="Calibri" w:hAnsi="Calibri"/>
          <w:sz w:val="10"/>
          <w:szCs w:val="10"/>
          <w:color w:val="auto"/>
        </w:rPr>
        <w:t>As of December 31, 2022 and 2021, Digital Wholesale segment loss (income) did not refect certain Dealer-to-Dealer and IMCO related capitalized website development expense from the U.S. Marketplace segment. During the three months ended March 31, 2023, the Company updated Digital Wholesale Depreciaton and Amortzaton to refect certain Dealer-to-Dealer and IMCO related capitalized website development amortzaton expense from the U.S. Marketplace segment and accordingly updated Digital Wholesale Depreciaton as of December 31, 2022 and 2021 for comparatve purposes.</w:t>
      </w:r>
    </w:p>
    <w:p>
      <w:pPr>
        <w:spacing w:after="0" w:line="160" w:lineRule="exact"/>
        <w:rPr>
          <w:sz w:val="20"/>
          <w:szCs w:val="20"/>
          <w:color w:val="auto"/>
        </w:rPr>
      </w:pPr>
    </w:p>
    <w:tbl>
      <w:tblPr>
        <w:tblLayout w:type="fixed"/>
        <w:tblInd w:w="62" w:type="dxa"/>
        <w:tblCellMar>
          <w:top w:w="0" w:type="dxa"/>
          <w:left w:w="0" w:type="dxa"/>
          <w:bottom w:w="0" w:type="dxa"/>
          <w:right w:w="0" w:type="dxa"/>
        </w:tblCellMar>
      </w:tblPr>
      <w:tr>
        <w:trPr>
          <w:trHeight w:val="146"/>
        </w:trPr>
        <w:tc>
          <w:tcPr>
            <w:tcW w:w="5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00" w:type="dxa"/>
            <w:vAlign w:val="bottom"/>
            <w:gridSpan w:val="4"/>
          </w:tcPr>
          <w:p>
            <w:pPr>
              <w:ind w:left="200"/>
              <w:spacing w:after="0"/>
              <w:rPr>
                <w:sz w:val="20"/>
                <w:szCs w:val="20"/>
                <w:color w:val="auto"/>
              </w:rPr>
            </w:pPr>
            <w:r>
              <w:rPr>
                <w:rFonts w:ascii="Calibri" w:cs="Calibri" w:eastAsia="Calibri" w:hAnsi="Calibri"/>
                <w:sz w:val="12"/>
                <w:szCs w:val="12"/>
                <w:b w:val="1"/>
                <w:bCs w:val="1"/>
                <w:color w:val="auto"/>
              </w:rPr>
              <w:t>Year Ended December 31,</w:t>
            </w: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8"/>
        </w:trPr>
        <w:tc>
          <w:tcPr>
            <w:tcW w:w="59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64"/>
        </w:trPr>
        <w:tc>
          <w:tcPr>
            <w:tcW w:w="596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Calibri" w:cs="Calibri" w:eastAsia="Calibri" w:hAnsi="Calibri"/>
                <w:sz w:val="12"/>
                <w:szCs w:val="12"/>
                <w:b w:val="1"/>
                <w:bCs w:val="1"/>
                <w:color w:val="auto"/>
              </w:rPr>
              <w:t>2023</w:t>
            </w:r>
          </w:p>
        </w:tc>
        <w:tc>
          <w:tcPr>
            <w:tcW w:w="4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26"/>
              <w:spacing w:after="0" w:line="164" w:lineRule="exact"/>
              <w:rPr>
                <w:sz w:val="20"/>
                <w:szCs w:val="20"/>
                <w:color w:val="auto"/>
              </w:rPr>
            </w:pPr>
            <w:r>
              <w:rPr>
                <w:rFonts w:ascii="Calibri" w:cs="Calibri" w:eastAsia="Calibri" w:hAnsi="Calibri"/>
                <w:sz w:val="12"/>
                <w:szCs w:val="12"/>
                <w:b w:val="1"/>
                <w:bCs w:val="1"/>
                <w:color w:val="auto"/>
              </w:rPr>
              <w:t xml:space="preserve">2022 </w:t>
            </w:r>
            <w:r>
              <w:rPr>
                <w:rFonts w:ascii="Calibri" w:cs="Calibri" w:eastAsia="Calibri" w:hAnsi="Calibri"/>
                <w:sz w:val="16"/>
                <w:szCs w:val="16"/>
                <w:b w:val="1"/>
                <w:bCs w:val="1"/>
                <w:color w:val="auto"/>
                <w:vertAlign w:val="superscript"/>
              </w:rPr>
              <w:t>(1)</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26"/>
              <w:spacing w:after="0" w:line="164" w:lineRule="exact"/>
              <w:rPr>
                <w:sz w:val="20"/>
                <w:szCs w:val="20"/>
                <w:color w:val="auto"/>
              </w:rPr>
            </w:pPr>
            <w:r>
              <w:rPr>
                <w:rFonts w:ascii="Calibri" w:cs="Calibri" w:eastAsia="Calibri" w:hAnsi="Calibri"/>
                <w:sz w:val="12"/>
                <w:szCs w:val="12"/>
                <w:b w:val="1"/>
                <w:bCs w:val="1"/>
                <w:color w:val="auto"/>
              </w:rPr>
              <w:t xml:space="preserve">2021 </w:t>
            </w:r>
            <w:r>
              <w:rPr>
                <w:rFonts w:ascii="Calibri" w:cs="Calibri" w:eastAsia="Calibri" w:hAnsi="Calibri"/>
                <w:sz w:val="16"/>
                <w:szCs w:val="16"/>
                <w:b w:val="1"/>
                <w:bCs w:val="1"/>
                <w:color w:val="auto"/>
                <w:vertAlign w:val="superscript"/>
              </w:rPr>
              <w:t>(1)</w:t>
            </w:r>
          </w:p>
        </w:tc>
        <w:tc>
          <w:tcPr>
            <w:tcW w:w="100" w:type="dxa"/>
            <w:vAlign w:val="bottom"/>
          </w:tcPr>
          <w:p>
            <w:pPr>
              <w:spacing w:after="0"/>
              <w:rPr>
                <w:sz w:val="14"/>
                <w:szCs w:val="14"/>
                <w:color w:val="auto"/>
              </w:rPr>
            </w:pPr>
          </w:p>
        </w:tc>
      </w:tr>
      <w:tr>
        <w:trPr>
          <w:trHeight w:val="179"/>
        </w:trPr>
        <w:tc>
          <w:tcPr>
            <w:tcW w:w="5960" w:type="dxa"/>
            <w:vAlign w:val="bottom"/>
            <w:tcBorders>
              <w:bottom w:val="single" w:sz="8" w:color="CFF0FC"/>
            </w:tcBorders>
            <w:shd w:val="clear" w:color="auto" w:fill="CFF0FC"/>
          </w:tcPr>
          <w:p>
            <w:pPr>
              <w:spacing w:after="0" w:line="174" w:lineRule="exact"/>
              <w:rPr>
                <w:sz w:val="20"/>
                <w:szCs w:val="20"/>
                <w:color w:val="auto"/>
              </w:rPr>
            </w:pPr>
            <w:r>
              <w:rPr>
                <w:rFonts w:ascii="Calibri" w:cs="Calibri" w:eastAsia="Calibri" w:hAnsi="Calibri"/>
                <w:sz w:val="15"/>
                <w:szCs w:val="15"/>
                <w:i w:val="1"/>
                <w:iCs w:val="1"/>
                <w:color w:val="auto"/>
              </w:rPr>
              <w:t>Segment Depreciaton and Amortzaton:</w:t>
            </w:r>
          </w:p>
        </w:tc>
        <w:tc>
          <w:tcPr>
            <w:tcW w:w="760" w:type="dxa"/>
            <w:vAlign w:val="bottom"/>
            <w:tcBorders>
              <w:bottom w:val="single" w:sz="8" w:color="CFF0FC"/>
            </w:tcBorders>
            <w:shd w:val="clear" w:color="auto" w:fill="CFF0FC"/>
          </w:tcPr>
          <w:p>
            <w:pPr>
              <w:spacing w:after="0"/>
              <w:rPr>
                <w:sz w:val="15"/>
                <w:szCs w:val="15"/>
                <w:color w:val="auto"/>
              </w:rPr>
            </w:pPr>
          </w:p>
        </w:tc>
        <w:tc>
          <w:tcPr>
            <w:tcW w:w="44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9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r>
      <w:tr>
        <w:trPr>
          <w:trHeight w:val="183"/>
        </w:trPr>
        <w:tc>
          <w:tcPr>
            <w:tcW w:w="5960" w:type="dxa"/>
            <w:vAlign w:val="bottom"/>
          </w:tcPr>
          <w:p>
            <w:pPr>
              <w:ind w:left="160"/>
              <w:spacing w:after="0"/>
              <w:rPr>
                <w:sz w:val="20"/>
                <w:szCs w:val="20"/>
                <w:color w:val="auto"/>
              </w:rPr>
            </w:pPr>
            <w:r>
              <w:rPr>
                <w:rFonts w:ascii="Calibri" w:cs="Calibri" w:eastAsia="Calibri" w:hAnsi="Calibri"/>
                <w:sz w:val="15"/>
                <w:szCs w:val="15"/>
                <w:color w:val="auto"/>
              </w:rPr>
              <w:t>U.S. Marketplace</w:t>
            </w:r>
          </w:p>
        </w:tc>
        <w:tc>
          <w:tcPr>
            <w:tcW w:w="760" w:type="dxa"/>
            <w:vAlign w:val="bottom"/>
          </w:tcPr>
          <w:p>
            <w:pPr>
              <w:jc w:val="right"/>
              <w:ind w:right="588"/>
              <w:spacing w:after="0"/>
              <w:rPr>
                <w:sz w:val="20"/>
                <w:szCs w:val="20"/>
                <w:color w:val="auto"/>
              </w:rPr>
            </w:pPr>
            <w:r>
              <w:rPr>
                <w:rFonts w:ascii="Calibri" w:cs="Calibri" w:eastAsia="Calibri" w:hAnsi="Calibri"/>
                <w:sz w:val="15"/>
                <w:szCs w:val="15"/>
                <w:color w:val="auto"/>
              </w:rPr>
              <w:t>$</w:t>
            </w:r>
          </w:p>
        </w:tc>
        <w:tc>
          <w:tcPr>
            <w:tcW w:w="440" w:type="dxa"/>
            <w:vAlign w:val="bottom"/>
          </w:tcPr>
          <w:p>
            <w:pPr>
              <w:jc w:val="right"/>
              <w:spacing w:after="0"/>
              <w:rPr>
                <w:sz w:val="20"/>
                <w:szCs w:val="20"/>
                <w:color w:val="auto"/>
              </w:rPr>
            </w:pPr>
            <w:r>
              <w:rPr>
                <w:rFonts w:ascii="Calibri" w:cs="Calibri" w:eastAsia="Calibri" w:hAnsi="Calibri"/>
                <w:sz w:val="15"/>
                <w:szCs w:val="15"/>
                <w:color w:val="auto"/>
              </w:rPr>
              <w:t>11,561</w:t>
            </w:r>
          </w:p>
        </w:tc>
        <w:tc>
          <w:tcPr>
            <w:tcW w:w="520" w:type="dxa"/>
            <w:vAlign w:val="bottom"/>
            <w:gridSpan w:val="2"/>
          </w:tcPr>
          <w:p>
            <w:pPr>
              <w:jc w:val="right"/>
              <w:ind w:right="160"/>
              <w:spacing w:after="0"/>
              <w:rPr>
                <w:sz w:val="20"/>
                <w:szCs w:val="20"/>
                <w:color w:val="auto"/>
              </w:rPr>
            </w:pPr>
            <w:r>
              <w:rPr>
                <w:rFonts w:ascii="Calibri" w:cs="Calibri" w:eastAsia="Calibri" w:hAnsi="Calibri"/>
                <w:sz w:val="15"/>
                <w:szCs w:val="15"/>
                <w:color w:val="auto"/>
              </w:rPr>
              <w:t>$</w:t>
            </w:r>
          </w:p>
        </w:tc>
        <w:tc>
          <w:tcPr>
            <w:tcW w:w="940" w:type="dxa"/>
            <w:vAlign w:val="bottom"/>
          </w:tcPr>
          <w:p>
            <w:pPr>
              <w:jc w:val="right"/>
              <w:spacing w:after="0"/>
              <w:rPr>
                <w:sz w:val="20"/>
                <w:szCs w:val="20"/>
                <w:color w:val="auto"/>
              </w:rPr>
            </w:pPr>
            <w:r>
              <w:rPr>
                <w:rFonts w:ascii="Calibri" w:cs="Calibri" w:eastAsia="Calibri" w:hAnsi="Calibri"/>
                <w:sz w:val="15"/>
                <w:szCs w:val="15"/>
                <w:color w:val="auto"/>
              </w:rPr>
              <w:t>11,554</w:t>
            </w:r>
          </w:p>
        </w:tc>
        <w:tc>
          <w:tcPr>
            <w:tcW w:w="240" w:type="dxa"/>
            <w:vAlign w:val="bottom"/>
          </w:tcPr>
          <w:p>
            <w:pPr>
              <w:spacing w:after="0"/>
              <w:rPr>
                <w:sz w:val="15"/>
                <w:szCs w:val="15"/>
                <w:color w:val="auto"/>
              </w:rPr>
            </w:pPr>
          </w:p>
        </w:tc>
        <w:tc>
          <w:tcPr>
            <w:tcW w:w="260" w:type="dxa"/>
            <w:vAlign w:val="bottom"/>
          </w:tcPr>
          <w:p>
            <w:pPr>
              <w:jc w:val="right"/>
              <w:ind w:right="83"/>
              <w:spacing w:after="0"/>
              <w:rPr>
                <w:sz w:val="20"/>
                <w:szCs w:val="20"/>
                <w:color w:val="auto"/>
              </w:rPr>
            </w:pPr>
            <w:r>
              <w:rPr>
                <w:rFonts w:ascii="Calibri" w:cs="Calibri" w:eastAsia="Calibri" w:hAnsi="Calibri"/>
                <w:sz w:val="15"/>
                <w:szCs w:val="15"/>
                <w:color w:val="auto"/>
              </w:rPr>
              <w:t>$</w:t>
            </w:r>
          </w:p>
        </w:tc>
        <w:tc>
          <w:tcPr>
            <w:tcW w:w="920" w:type="dxa"/>
            <w:vAlign w:val="bottom"/>
          </w:tcPr>
          <w:p>
            <w:pPr>
              <w:jc w:val="right"/>
              <w:spacing w:after="0"/>
              <w:rPr>
                <w:sz w:val="20"/>
                <w:szCs w:val="20"/>
                <w:color w:val="auto"/>
              </w:rPr>
            </w:pPr>
            <w:r>
              <w:rPr>
                <w:rFonts w:ascii="Calibri" w:cs="Calibri" w:eastAsia="Calibri" w:hAnsi="Calibri"/>
                <w:sz w:val="15"/>
                <w:szCs w:val="15"/>
                <w:color w:val="auto"/>
              </w:rPr>
              <w:t>10,648</w:t>
            </w:r>
          </w:p>
        </w:tc>
        <w:tc>
          <w:tcPr>
            <w:tcW w:w="100" w:type="dxa"/>
            <w:vAlign w:val="bottom"/>
          </w:tcPr>
          <w:p>
            <w:pPr>
              <w:spacing w:after="0"/>
              <w:rPr>
                <w:sz w:val="15"/>
                <w:szCs w:val="15"/>
                <w:color w:val="auto"/>
              </w:rPr>
            </w:pPr>
          </w:p>
        </w:tc>
      </w:tr>
      <w:tr>
        <w:trPr>
          <w:trHeight w:val="24"/>
        </w:trPr>
        <w:tc>
          <w:tcPr>
            <w:tcW w:w="5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7"/>
        </w:trPr>
        <w:tc>
          <w:tcPr>
            <w:tcW w:w="5960" w:type="dxa"/>
            <w:vAlign w:val="bottom"/>
            <w:tcBorders>
              <w:bottom w:val="single" w:sz="8" w:color="CFF0FC"/>
            </w:tcBorders>
            <w:shd w:val="clear" w:color="auto" w:fill="CFF0FC"/>
          </w:tcPr>
          <w:p>
            <w:pPr>
              <w:ind w:left="160"/>
              <w:spacing w:after="0"/>
              <w:rPr>
                <w:sz w:val="20"/>
                <w:szCs w:val="20"/>
                <w:color w:val="auto"/>
              </w:rPr>
            </w:pPr>
            <w:r>
              <w:rPr>
                <w:rFonts w:ascii="Calibri" w:cs="Calibri" w:eastAsia="Calibri" w:hAnsi="Calibri"/>
                <w:sz w:val="15"/>
                <w:szCs w:val="15"/>
                <w:color w:val="auto"/>
              </w:rPr>
              <w:t>Digital Wholesale</w:t>
            </w:r>
          </w:p>
        </w:tc>
        <w:tc>
          <w:tcPr>
            <w:tcW w:w="760" w:type="dxa"/>
            <w:vAlign w:val="bottom"/>
            <w:tcBorders>
              <w:bottom w:val="single" w:sz="8" w:color="CFF0FC"/>
            </w:tcBorders>
            <w:shd w:val="clear" w:color="auto" w:fill="CFF0FC"/>
          </w:tcPr>
          <w:p>
            <w:pPr>
              <w:spacing w:after="0"/>
              <w:rPr>
                <w:sz w:val="16"/>
                <w:szCs w:val="16"/>
                <w:color w:val="auto"/>
              </w:rPr>
            </w:pPr>
          </w:p>
        </w:tc>
        <w:tc>
          <w:tcPr>
            <w:tcW w:w="44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36,265</w:t>
            </w:r>
          </w:p>
        </w:tc>
        <w:tc>
          <w:tcPr>
            <w:tcW w:w="26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33,350</w:t>
            </w:r>
          </w:p>
        </w:tc>
        <w:tc>
          <w:tcPr>
            <w:tcW w:w="24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29,059</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5960" w:type="dxa"/>
            <w:vAlign w:val="bottom"/>
          </w:tcPr>
          <w:p>
            <w:pPr>
              <w:ind w:left="160"/>
              <w:spacing w:after="0"/>
              <w:rPr>
                <w:sz w:val="20"/>
                <w:szCs w:val="20"/>
                <w:color w:val="auto"/>
              </w:rPr>
            </w:pPr>
            <w:r>
              <w:rPr>
                <w:rFonts w:ascii="Calibri" w:cs="Calibri" w:eastAsia="Calibri" w:hAnsi="Calibri"/>
                <w:sz w:val="15"/>
                <w:szCs w:val="15"/>
                <w:color w:val="auto"/>
              </w:rPr>
              <w:t>Other</w:t>
            </w:r>
          </w:p>
        </w:tc>
        <w:tc>
          <w:tcPr>
            <w:tcW w:w="7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Calibri" w:cs="Calibri" w:eastAsia="Calibri" w:hAnsi="Calibri"/>
                <w:sz w:val="15"/>
                <w:szCs w:val="15"/>
                <w:color w:val="auto"/>
              </w:rPr>
              <w:t>648</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alibri" w:cs="Calibri" w:eastAsia="Calibri" w:hAnsi="Calibri"/>
                <w:sz w:val="15"/>
                <w:szCs w:val="15"/>
                <w:color w:val="auto"/>
              </w:rPr>
              <w:t>430</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alibri" w:cs="Calibri" w:eastAsia="Calibri" w:hAnsi="Calibri"/>
                <w:sz w:val="15"/>
                <w:szCs w:val="15"/>
                <w:color w:val="auto"/>
              </w:rPr>
              <w:t>769</w:t>
            </w:r>
          </w:p>
        </w:tc>
        <w:tc>
          <w:tcPr>
            <w:tcW w:w="100" w:type="dxa"/>
            <w:vAlign w:val="bottom"/>
          </w:tcPr>
          <w:p>
            <w:pPr>
              <w:spacing w:after="0"/>
              <w:rPr>
                <w:sz w:val="15"/>
                <w:szCs w:val="15"/>
                <w:color w:val="auto"/>
              </w:rPr>
            </w:pPr>
          </w:p>
        </w:tc>
      </w:tr>
      <w:tr>
        <w:trPr>
          <w:trHeight w:val="24"/>
        </w:trPr>
        <w:tc>
          <w:tcPr>
            <w:tcW w:w="59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24"/>
        </w:trPr>
        <w:tc>
          <w:tcPr>
            <w:tcW w:w="5960" w:type="dxa"/>
            <w:vAlign w:val="bottom"/>
            <w:tcBorders>
              <w:bottom w:val="single" w:sz="8" w:color="CFF0FC"/>
            </w:tcBorders>
            <w:shd w:val="clear" w:color="auto" w:fill="CFF0FC"/>
          </w:tcPr>
          <w:p>
            <w:pPr>
              <w:ind w:left="320"/>
              <w:spacing w:after="0" w:line="174" w:lineRule="exact"/>
              <w:rPr>
                <w:sz w:val="20"/>
                <w:szCs w:val="20"/>
                <w:color w:val="auto"/>
              </w:rPr>
            </w:pPr>
            <w:r>
              <w:rPr>
                <w:rFonts w:ascii="Calibri" w:cs="Calibri" w:eastAsia="Calibri" w:hAnsi="Calibri"/>
                <w:sz w:val="15"/>
                <w:szCs w:val="15"/>
                <w:color w:val="auto"/>
              </w:rPr>
              <w:t>Total</w:t>
            </w:r>
          </w:p>
        </w:tc>
        <w:tc>
          <w:tcPr>
            <w:tcW w:w="760" w:type="dxa"/>
            <w:vAlign w:val="bottom"/>
            <w:tcBorders>
              <w:bottom w:val="single" w:sz="8" w:color="CFF0FC"/>
            </w:tcBorders>
            <w:shd w:val="clear" w:color="auto" w:fill="CFF0FC"/>
          </w:tcPr>
          <w:p>
            <w:pPr>
              <w:jc w:val="right"/>
              <w:ind w:right="588"/>
              <w:spacing w:after="0" w:line="174" w:lineRule="exact"/>
              <w:rPr>
                <w:sz w:val="20"/>
                <w:szCs w:val="20"/>
                <w:color w:val="auto"/>
              </w:rPr>
            </w:pPr>
            <w:r>
              <w:rPr>
                <w:rFonts w:ascii="Calibri" w:cs="Calibri" w:eastAsia="Calibri" w:hAnsi="Calibri"/>
                <w:sz w:val="15"/>
                <w:szCs w:val="15"/>
                <w:color w:val="auto"/>
              </w:rPr>
              <w:t>$</w:t>
            </w:r>
          </w:p>
        </w:tc>
        <w:tc>
          <w:tcPr>
            <w:tcW w:w="440" w:type="dxa"/>
            <w:vAlign w:val="bottom"/>
            <w:tcBorders>
              <w:bottom w:val="single" w:sz="8" w:color="CFF0FC"/>
            </w:tcBorders>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48,474</w:t>
            </w:r>
          </w:p>
        </w:tc>
        <w:tc>
          <w:tcPr>
            <w:tcW w:w="520" w:type="dxa"/>
            <w:vAlign w:val="bottom"/>
            <w:tcBorders>
              <w:bottom w:val="single" w:sz="8" w:color="CFF0FC"/>
            </w:tcBorders>
            <w:gridSpan w:val="2"/>
            <w:shd w:val="clear" w:color="auto" w:fill="CFF0FC"/>
          </w:tcPr>
          <w:p>
            <w:pPr>
              <w:jc w:val="right"/>
              <w:ind w:right="160"/>
              <w:spacing w:after="0" w:line="174" w:lineRule="exact"/>
              <w:rPr>
                <w:sz w:val="20"/>
                <w:szCs w:val="20"/>
                <w:color w:val="auto"/>
              </w:rPr>
            </w:pPr>
            <w:r>
              <w:rPr>
                <w:rFonts w:ascii="Calibri" w:cs="Calibri" w:eastAsia="Calibri" w:hAnsi="Calibri"/>
                <w:sz w:val="15"/>
                <w:szCs w:val="15"/>
                <w:color w:val="auto"/>
              </w:rPr>
              <w:t>$</w:t>
            </w:r>
          </w:p>
        </w:tc>
        <w:tc>
          <w:tcPr>
            <w:tcW w:w="940" w:type="dxa"/>
            <w:vAlign w:val="bottom"/>
            <w:tcBorders>
              <w:bottom w:val="single" w:sz="8" w:color="CFF0FC"/>
            </w:tcBorders>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45,334</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jc w:val="right"/>
              <w:ind w:right="83"/>
              <w:spacing w:after="0" w:line="174" w:lineRule="exact"/>
              <w:rPr>
                <w:sz w:val="20"/>
                <w:szCs w:val="20"/>
                <w:color w:val="auto"/>
              </w:rPr>
            </w:pPr>
            <w:r>
              <w:rPr>
                <w:rFonts w:ascii="Calibri" w:cs="Calibri" w:eastAsia="Calibri" w:hAnsi="Calibri"/>
                <w:sz w:val="15"/>
                <w:szCs w:val="15"/>
                <w:color w:val="auto"/>
              </w:rPr>
              <w:t>$</w:t>
            </w:r>
          </w:p>
        </w:tc>
        <w:tc>
          <w:tcPr>
            <w:tcW w:w="920" w:type="dxa"/>
            <w:vAlign w:val="bottom"/>
            <w:tcBorders>
              <w:bottom w:val="single" w:sz="8" w:color="CFF0FC"/>
            </w:tcBorders>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40,476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96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4588510</wp:posOffset>
            </wp:positionH>
            <wp:positionV relativeFrom="paragraph">
              <wp:posOffset>-21590</wp:posOffset>
            </wp:positionV>
            <wp:extent cx="66040" cy="762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4588510</wp:posOffset>
            </wp:positionH>
            <wp:positionV relativeFrom="paragraph">
              <wp:posOffset>-6985</wp:posOffset>
            </wp:positionV>
            <wp:extent cx="66040" cy="762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5516245</wp:posOffset>
            </wp:positionH>
            <wp:positionV relativeFrom="paragraph">
              <wp:posOffset>-21590</wp:posOffset>
            </wp:positionV>
            <wp:extent cx="58420" cy="762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58420" cy="7620"/>
                    </a:xfrm>
                    <a:prstGeom prst="rect">
                      <a:avLst/>
                    </a:prstGeom>
                    <a:noFill/>
                  </pic:spPr>
                </pic:pic>
              </a:graphicData>
            </a:graphic>
          </wp:anchor>
        </w:drawing>
        <w:drawing>
          <wp:anchor simplePos="0" relativeHeight="251657728" behindDoc="1" locked="0" layoutInCell="0" allowOverlap="1">
            <wp:simplePos x="0" y="0"/>
            <wp:positionH relativeFrom="column">
              <wp:posOffset>5516245</wp:posOffset>
            </wp:positionH>
            <wp:positionV relativeFrom="paragraph">
              <wp:posOffset>-6985</wp:posOffset>
            </wp:positionV>
            <wp:extent cx="58420" cy="762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58420" cy="7620"/>
                    </a:xfrm>
                    <a:prstGeom prst="rect">
                      <a:avLst/>
                    </a:prstGeom>
                    <a:noFill/>
                  </pic:spPr>
                </pic:pic>
              </a:graphicData>
            </a:graphic>
          </wp:anchor>
        </w:drawing>
        <w:drawing>
          <wp:anchor simplePos="0" relativeHeight="251657728" behindDoc="1" locked="0" layoutInCell="0" allowOverlap="1">
            <wp:simplePos x="0" y="0"/>
            <wp:positionH relativeFrom="column">
              <wp:posOffset>6414770</wp:posOffset>
            </wp:positionH>
            <wp:positionV relativeFrom="paragraph">
              <wp:posOffset>-21590</wp:posOffset>
            </wp:positionV>
            <wp:extent cx="58420" cy="762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58420" cy="7620"/>
                    </a:xfrm>
                    <a:prstGeom prst="rect">
                      <a:avLst/>
                    </a:prstGeom>
                    <a:noFill/>
                  </pic:spPr>
                </pic:pic>
              </a:graphicData>
            </a:graphic>
          </wp:anchor>
        </w:drawing>
        <w:drawing>
          <wp:anchor simplePos="0" relativeHeight="251657728" behindDoc="1" locked="0" layoutInCell="0" allowOverlap="1">
            <wp:simplePos x="0" y="0"/>
            <wp:positionH relativeFrom="column">
              <wp:posOffset>6414770</wp:posOffset>
            </wp:positionH>
            <wp:positionV relativeFrom="paragraph">
              <wp:posOffset>-6985</wp:posOffset>
            </wp:positionV>
            <wp:extent cx="58420" cy="762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58420" cy="7620"/>
                    </a:xfrm>
                    <a:prstGeom prst="rect">
                      <a:avLst/>
                    </a:prstGeom>
                    <a:noFill/>
                  </pic:spPr>
                </pic:pic>
              </a:graphicData>
            </a:graphic>
          </wp:anchor>
        </w:drawing>
      </w:r>
    </w:p>
    <w:p>
      <w:pPr>
        <w:spacing w:after="0" w:line="67" w:lineRule="exact"/>
        <w:rPr>
          <w:sz w:val="20"/>
          <w:szCs w:val="20"/>
          <w:color w:val="auto"/>
        </w:rPr>
      </w:pPr>
    </w:p>
    <w:p>
      <w:pPr>
        <w:jc w:val="both"/>
        <w:ind w:left="522" w:hanging="522"/>
        <w:spacing w:after="0" w:line="201" w:lineRule="auto"/>
        <w:tabs>
          <w:tab w:leader="none" w:pos="522" w:val="left"/>
        </w:tabs>
        <w:numPr>
          <w:ilvl w:val="0"/>
          <w:numId w:val="33"/>
        </w:numPr>
        <w:rPr>
          <w:rFonts w:ascii="Calibri" w:cs="Calibri" w:eastAsia="Calibri" w:hAnsi="Calibri"/>
          <w:sz w:val="21"/>
          <w:szCs w:val="21"/>
          <w:color w:val="auto"/>
          <w:vertAlign w:val="subscript"/>
        </w:rPr>
      </w:pPr>
      <w:r>
        <w:rPr>
          <w:rFonts w:ascii="Calibri" w:cs="Calibri" w:eastAsia="Calibri" w:hAnsi="Calibri"/>
          <w:sz w:val="10"/>
          <w:szCs w:val="10"/>
          <w:color w:val="auto"/>
        </w:rPr>
        <w:t>As of December 31, 2022, Digital Wholesale Depreciaton and Amortzaton did not refect certain Dealer-to-Dealer and IMCO related capitalized website development expense from the U.S. Marketplace segment. During the three months ended March 31, 2023, the Company updated Digital Wholesale Depreciaton and Amortzaton to refect certain Dealer-to-Dealer and IMCO related capitalized website development amortzaton expense from the U.S. Marketplace segment and accordingly updated Digital Wholesale Depreciaton as of December 31, 2022 and 2021 for comparatve purposes.</w:t>
      </w:r>
    </w:p>
    <w:p>
      <w:pPr>
        <w:spacing w:after="0" w:line="200" w:lineRule="exact"/>
        <w:rPr>
          <w:sz w:val="20"/>
          <w:szCs w:val="20"/>
          <w:color w:val="auto"/>
        </w:rPr>
      </w:pPr>
    </w:p>
    <w:p>
      <w:pPr>
        <w:ind w:left="2"/>
        <w:spacing w:after="0"/>
        <w:rPr>
          <w:sz w:val="20"/>
          <w:szCs w:val="20"/>
          <w:color w:val="auto"/>
        </w:rPr>
      </w:pPr>
      <w:r>
        <w:rPr>
          <w:rFonts w:ascii="Calibri" w:cs="Calibri" w:eastAsia="Calibri" w:hAnsi="Calibri"/>
          <w:sz w:val="15"/>
          <w:szCs w:val="15"/>
          <w:color w:val="auto"/>
        </w:rPr>
        <w:t>For the years December 31, 2023, 2022, and 2021, a reconciliaton between total segment income from operatons to consolidated income before income taxes is as follows:</w:t>
      </w:r>
    </w:p>
    <w:p>
      <w:pPr>
        <w:spacing w:after="0" w:line="200" w:lineRule="exact"/>
        <w:rPr>
          <w:sz w:val="20"/>
          <w:szCs w:val="20"/>
          <w:color w:val="auto"/>
        </w:rPr>
      </w:pPr>
    </w:p>
    <w:p>
      <w:pPr>
        <w:spacing w:after="0" w:line="209" w:lineRule="exact"/>
        <w:rPr>
          <w:sz w:val="20"/>
          <w:szCs w:val="20"/>
          <w:color w:val="auto"/>
        </w:rPr>
      </w:pPr>
    </w:p>
    <w:tbl>
      <w:tblPr>
        <w:tblLayout w:type="fixed"/>
        <w:tblInd w:w="2" w:type="dxa"/>
        <w:tblCellMar>
          <w:top w:w="0" w:type="dxa"/>
          <w:left w:w="0" w:type="dxa"/>
          <w:bottom w:w="0" w:type="dxa"/>
          <w:right w:w="0" w:type="dxa"/>
        </w:tblCellMar>
      </w:tblPr>
      <w:tr>
        <w:trPr>
          <w:trHeight w:val="146"/>
        </w:trPr>
        <w:tc>
          <w:tcPr>
            <w:tcW w:w="6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700" w:type="dxa"/>
            <w:vAlign w:val="bottom"/>
            <w:gridSpan w:val="4"/>
          </w:tcPr>
          <w:p>
            <w:pPr>
              <w:jc w:val="center"/>
              <w:spacing w:after="0"/>
              <w:rPr>
                <w:sz w:val="20"/>
                <w:szCs w:val="20"/>
                <w:color w:val="auto"/>
              </w:rPr>
            </w:pPr>
            <w:r>
              <w:rPr>
                <w:rFonts w:ascii="Calibri" w:cs="Calibri" w:eastAsia="Calibri" w:hAnsi="Calibri"/>
                <w:sz w:val="12"/>
                <w:szCs w:val="12"/>
                <w:b w:val="1"/>
                <w:bCs w:val="1"/>
                <w:color w:val="auto"/>
              </w:rPr>
              <w:t>Year Ended December 31,</w:t>
            </w: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8"/>
        </w:trPr>
        <w:tc>
          <w:tcPr>
            <w:tcW w:w="60" w:type="dxa"/>
            <w:vAlign w:val="bottom"/>
          </w:tcPr>
          <w:p>
            <w:pPr>
              <w:spacing w:after="0"/>
              <w:rPr>
                <w:sz w:val="2"/>
                <w:szCs w:val="2"/>
                <w:color w:val="auto"/>
              </w:rPr>
            </w:pPr>
          </w:p>
        </w:tc>
        <w:tc>
          <w:tcPr>
            <w:tcW w:w="59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60"/>
        </w:trPr>
        <w:tc>
          <w:tcPr>
            <w:tcW w:w="60" w:type="dxa"/>
            <w:vAlign w:val="bottom"/>
          </w:tcPr>
          <w:p>
            <w:pPr>
              <w:spacing w:after="0"/>
              <w:rPr>
                <w:sz w:val="13"/>
                <w:szCs w:val="13"/>
                <w:color w:val="auto"/>
              </w:rPr>
            </w:pPr>
          </w:p>
        </w:tc>
        <w:tc>
          <w:tcPr>
            <w:tcW w:w="5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ind w:right="407"/>
              <w:spacing w:after="0"/>
              <w:rPr>
                <w:sz w:val="20"/>
                <w:szCs w:val="20"/>
                <w:color w:val="auto"/>
              </w:rPr>
            </w:pPr>
            <w:r>
              <w:rPr>
                <w:rFonts w:ascii="Calibri" w:cs="Calibri" w:eastAsia="Calibri" w:hAnsi="Calibri"/>
                <w:sz w:val="12"/>
                <w:szCs w:val="12"/>
                <w:b w:val="1"/>
                <w:bCs w:val="1"/>
                <w:color w:val="auto"/>
              </w:rPr>
              <w:t>2023</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ind w:right="387"/>
              <w:spacing w:after="0"/>
              <w:rPr>
                <w:sz w:val="20"/>
                <w:szCs w:val="20"/>
                <w:color w:val="auto"/>
              </w:rPr>
            </w:pPr>
            <w:r>
              <w:rPr>
                <w:rFonts w:ascii="Calibri" w:cs="Calibri" w:eastAsia="Calibri" w:hAnsi="Calibri"/>
                <w:sz w:val="12"/>
                <w:szCs w:val="12"/>
                <w:b w:val="1"/>
                <w:bCs w:val="1"/>
                <w:color w:val="auto"/>
              </w:rPr>
              <w:t>2022</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ind w:right="387"/>
              <w:spacing w:after="0"/>
              <w:rPr>
                <w:sz w:val="20"/>
                <w:szCs w:val="20"/>
                <w:color w:val="auto"/>
              </w:rPr>
            </w:pPr>
            <w:r>
              <w:rPr>
                <w:rFonts w:ascii="Calibri" w:cs="Calibri" w:eastAsia="Calibri" w:hAnsi="Calibri"/>
                <w:sz w:val="12"/>
                <w:szCs w:val="12"/>
                <w:b w:val="1"/>
                <w:bCs w:val="1"/>
                <w:color w:val="auto"/>
              </w:rPr>
              <w:t>2021</w:t>
            </w:r>
          </w:p>
        </w:tc>
        <w:tc>
          <w:tcPr>
            <w:tcW w:w="100" w:type="dxa"/>
            <w:vAlign w:val="bottom"/>
          </w:tcPr>
          <w:p>
            <w:pPr>
              <w:spacing w:after="0"/>
              <w:rPr>
                <w:sz w:val="13"/>
                <w:szCs w:val="13"/>
                <w:color w:val="auto"/>
              </w:rPr>
            </w:pPr>
          </w:p>
        </w:tc>
      </w:tr>
      <w:tr>
        <w:trPr>
          <w:trHeight w:val="28"/>
        </w:trPr>
        <w:tc>
          <w:tcPr>
            <w:tcW w:w="60" w:type="dxa"/>
            <w:vAlign w:val="bottom"/>
          </w:tcPr>
          <w:p>
            <w:pPr>
              <w:spacing w:after="0"/>
              <w:rPr>
                <w:sz w:val="2"/>
                <w:szCs w:val="2"/>
                <w:color w:val="auto"/>
              </w:rPr>
            </w:pPr>
          </w:p>
        </w:tc>
        <w:tc>
          <w:tcPr>
            <w:tcW w:w="59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79"/>
        </w:trPr>
        <w:tc>
          <w:tcPr>
            <w:tcW w:w="60" w:type="dxa"/>
            <w:vAlign w:val="bottom"/>
          </w:tcPr>
          <w:p>
            <w:pPr>
              <w:spacing w:after="0"/>
              <w:rPr>
                <w:sz w:val="15"/>
                <w:szCs w:val="15"/>
                <w:color w:val="auto"/>
              </w:rPr>
            </w:pPr>
          </w:p>
        </w:tc>
        <w:tc>
          <w:tcPr>
            <w:tcW w:w="5960" w:type="dxa"/>
            <w:vAlign w:val="bottom"/>
            <w:tcBorders>
              <w:bottom w:val="single" w:sz="8" w:color="CFF0FC"/>
            </w:tcBorders>
            <w:shd w:val="clear" w:color="auto" w:fill="CFF0FC"/>
          </w:tcPr>
          <w:p>
            <w:pPr>
              <w:spacing w:after="0" w:line="174" w:lineRule="exact"/>
              <w:rPr>
                <w:sz w:val="20"/>
                <w:szCs w:val="20"/>
                <w:color w:val="auto"/>
              </w:rPr>
            </w:pPr>
            <w:r>
              <w:rPr>
                <w:rFonts w:ascii="Calibri" w:cs="Calibri" w:eastAsia="Calibri" w:hAnsi="Calibri"/>
                <w:sz w:val="15"/>
                <w:szCs w:val="15"/>
                <w:color w:val="auto"/>
              </w:rPr>
              <w:t>Total segment income from operatons</w:t>
            </w:r>
          </w:p>
        </w:tc>
        <w:tc>
          <w:tcPr>
            <w:tcW w:w="280" w:type="dxa"/>
            <w:vAlign w:val="bottom"/>
            <w:tcBorders>
              <w:bottom w:val="single" w:sz="8" w:color="CFF0FC"/>
            </w:tcBorders>
            <w:shd w:val="clear" w:color="auto" w:fill="CFF0FC"/>
          </w:tcPr>
          <w:p>
            <w:pPr>
              <w:jc w:val="right"/>
              <w:ind w:right="103"/>
              <w:spacing w:after="0" w:line="174" w:lineRule="exact"/>
              <w:rPr>
                <w:sz w:val="20"/>
                <w:szCs w:val="20"/>
                <w:color w:val="auto"/>
              </w:rPr>
            </w:pPr>
            <w:r>
              <w:rPr>
                <w:rFonts w:ascii="Calibri" w:cs="Calibri" w:eastAsia="Calibri" w:hAnsi="Calibri"/>
                <w:sz w:val="15"/>
                <w:szCs w:val="15"/>
                <w:color w:val="auto"/>
              </w:rPr>
              <w:t>$</w:t>
            </w:r>
          </w:p>
        </w:tc>
        <w:tc>
          <w:tcPr>
            <w:tcW w:w="920" w:type="dxa"/>
            <w:vAlign w:val="bottom"/>
            <w:tcBorders>
              <w:bottom w:val="single" w:sz="8" w:color="CFF0FC"/>
            </w:tcBorders>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32,627</w:t>
            </w:r>
          </w:p>
        </w:tc>
        <w:tc>
          <w:tcPr>
            <w:tcW w:w="520" w:type="dxa"/>
            <w:vAlign w:val="bottom"/>
            <w:tcBorders>
              <w:bottom w:val="single" w:sz="8" w:color="CFF0FC"/>
            </w:tcBorders>
            <w:gridSpan w:val="2"/>
            <w:shd w:val="clear" w:color="auto" w:fill="CFF0FC"/>
          </w:tcPr>
          <w:p>
            <w:pPr>
              <w:jc w:val="right"/>
              <w:ind w:right="83"/>
              <w:spacing w:after="0" w:line="174" w:lineRule="exact"/>
              <w:rPr>
                <w:sz w:val="20"/>
                <w:szCs w:val="20"/>
                <w:color w:val="auto"/>
              </w:rPr>
            </w:pPr>
            <w:r>
              <w:rPr>
                <w:rFonts w:ascii="Calibri" w:cs="Calibri" w:eastAsia="Calibri" w:hAnsi="Calibri"/>
                <w:sz w:val="15"/>
                <w:szCs w:val="15"/>
                <w:color w:val="auto"/>
              </w:rPr>
              <w:t>$</w:t>
            </w:r>
          </w:p>
        </w:tc>
        <w:tc>
          <w:tcPr>
            <w:tcW w:w="940" w:type="dxa"/>
            <w:vAlign w:val="bottom"/>
            <w:tcBorders>
              <w:bottom w:val="single" w:sz="8" w:color="CFF0FC"/>
            </w:tcBorders>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108,478</w:t>
            </w:r>
          </w:p>
        </w:tc>
        <w:tc>
          <w:tcPr>
            <w:tcW w:w="24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jc w:val="right"/>
              <w:ind w:right="83"/>
              <w:spacing w:after="0" w:line="174" w:lineRule="exact"/>
              <w:rPr>
                <w:sz w:val="20"/>
                <w:szCs w:val="20"/>
                <w:color w:val="auto"/>
              </w:rPr>
            </w:pPr>
            <w:r>
              <w:rPr>
                <w:rFonts w:ascii="Calibri" w:cs="Calibri" w:eastAsia="Calibri" w:hAnsi="Calibri"/>
                <w:sz w:val="15"/>
                <w:szCs w:val="15"/>
                <w:color w:val="auto"/>
              </w:rPr>
              <w:t>$</w:t>
            </w:r>
          </w:p>
        </w:tc>
        <w:tc>
          <w:tcPr>
            <w:tcW w:w="920" w:type="dxa"/>
            <w:vAlign w:val="bottom"/>
            <w:tcBorders>
              <w:bottom w:val="single" w:sz="8" w:color="CFF0FC"/>
            </w:tcBorders>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148,268</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99"/>
        </w:trPr>
        <w:tc>
          <w:tcPr>
            <w:tcW w:w="60" w:type="dxa"/>
            <w:vAlign w:val="bottom"/>
          </w:tcPr>
          <w:p>
            <w:pPr>
              <w:spacing w:after="0"/>
              <w:rPr>
                <w:sz w:val="17"/>
                <w:szCs w:val="17"/>
                <w:color w:val="auto"/>
              </w:rPr>
            </w:pPr>
          </w:p>
        </w:tc>
        <w:tc>
          <w:tcPr>
            <w:tcW w:w="5960" w:type="dxa"/>
            <w:vAlign w:val="bottom"/>
          </w:tcPr>
          <w:p>
            <w:pPr>
              <w:spacing w:after="0"/>
              <w:rPr>
                <w:sz w:val="20"/>
                <w:szCs w:val="20"/>
                <w:color w:val="auto"/>
              </w:rPr>
            </w:pPr>
            <w:r>
              <w:rPr>
                <w:rFonts w:ascii="Calibri" w:cs="Calibri" w:eastAsia="Calibri" w:hAnsi="Calibri"/>
                <w:sz w:val="15"/>
                <w:szCs w:val="15"/>
                <w:color w:val="auto"/>
              </w:rPr>
              <w:t>Other income, net</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Calibri" w:cs="Calibri" w:eastAsia="Calibri" w:hAnsi="Calibri"/>
                <w:sz w:val="15"/>
                <w:szCs w:val="15"/>
                <w:color w:val="auto"/>
              </w:rPr>
              <w:t>19,060</w:t>
            </w: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Calibri" w:cs="Calibri" w:eastAsia="Calibri" w:hAnsi="Calibri"/>
                <w:sz w:val="15"/>
                <w:szCs w:val="15"/>
                <w:color w:val="auto"/>
              </w:rPr>
              <w:t>2,884</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Calibri" w:cs="Calibri" w:eastAsia="Calibri" w:hAnsi="Calibri"/>
                <w:sz w:val="15"/>
                <w:szCs w:val="15"/>
                <w:color w:val="auto"/>
              </w:rPr>
              <w:t>1,092</w:t>
            </w:r>
          </w:p>
        </w:tc>
        <w:tc>
          <w:tcPr>
            <w:tcW w:w="100" w:type="dxa"/>
            <w:vAlign w:val="bottom"/>
          </w:tcPr>
          <w:p>
            <w:pPr>
              <w:spacing w:after="0"/>
              <w:rPr>
                <w:sz w:val="17"/>
                <w:szCs w:val="17"/>
                <w:color w:val="auto"/>
              </w:rPr>
            </w:pPr>
          </w:p>
        </w:tc>
      </w:tr>
      <w:tr>
        <w:trPr>
          <w:trHeight w:val="247"/>
        </w:trPr>
        <w:tc>
          <w:tcPr>
            <w:tcW w:w="60" w:type="dxa"/>
            <w:vAlign w:val="bottom"/>
          </w:tcPr>
          <w:p>
            <w:pPr>
              <w:spacing w:after="0"/>
              <w:rPr>
                <w:sz w:val="21"/>
                <w:szCs w:val="21"/>
                <w:color w:val="auto"/>
              </w:rPr>
            </w:pPr>
          </w:p>
        </w:tc>
        <w:tc>
          <w:tcPr>
            <w:tcW w:w="5960" w:type="dxa"/>
            <w:vAlign w:val="bottom"/>
            <w:tcBorders>
              <w:bottom w:val="single" w:sz="8" w:color="CFF0FC"/>
            </w:tcBorders>
            <w:shd w:val="clear" w:color="auto" w:fill="CFF0FC"/>
          </w:tcPr>
          <w:p>
            <w:pPr>
              <w:spacing w:after="0"/>
              <w:rPr>
                <w:sz w:val="20"/>
                <w:szCs w:val="20"/>
                <w:color w:val="auto"/>
              </w:rPr>
            </w:pPr>
            <w:r>
              <w:rPr>
                <w:rFonts w:ascii="Calibri" w:cs="Calibri" w:eastAsia="Calibri" w:hAnsi="Calibri"/>
                <w:sz w:val="15"/>
                <w:szCs w:val="15"/>
                <w:color w:val="auto"/>
              </w:rPr>
              <w:t>Consolidated income before income taxes</w:t>
            </w:r>
          </w:p>
        </w:tc>
        <w:tc>
          <w:tcPr>
            <w:tcW w:w="280" w:type="dxa"/>
            <w:vAlign w:val="bottom"/>
            <w:tcBorders>
              <w:bottom w:val="single" w:sz="8" w:color="auto"/>
            </w:tcBorders>
            <w:shd w:val="clear" w:color="auto" w:fill="CFF0FC"/>
          </w:tcPr>
          <w:p>
            <w:pPr>
              <w:jc w:val="right"/>
              <w:ind w:right="103"/>
              <w:spacing w:after="0"/>
              <w:rPr>
                <w:sz w:val="20"/>
                <w:szCs w:val="20"/>
                <w:color w:val="auto"/>
              </w:rPr>
            </w:pPr>
            <w:r>
              <w:rPr>
                <w:rFonts w:ascii="Calibri" w:cs="Calibri" w:eastAsia="Calibri" w:hAnsi="Calibri"/>
                <w:sz w:val="15"/>
                <w:szCs w:val="15"/>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5"/>
                <w:szCs w:val="15"/>
                <w:color w:val="auto"/>
              </w:rPr>
              <w:t>51,687</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83"/>
              <w:spacing w:after="0"/>
              <w:rPr>
                <w:sz w:val="20"/>
                <w:szCs w:val="20"/>
                <w:color w:val="auto"/>
              </w:rPr>
            </w:pPr>
            <w:r>
              <w:rPr>
                <w:rFonts w:ascii="Calibri" w:cs="Calibri" w:eastAsia="Calibri" w:hAnsi="Calibri"/>
                <w:sz w:val="15"/>
                <w:szCs w:val="15"/>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5"/>
                <w:szCs w:val="15"/>
                <w:color w:val="auto"/>
              </w:rPr>
              <w:t>111,362</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83"/>
              <w:spacing w:after="0"/>
              <w:rPr>
                <w:sz w:val="20"/>
                <w:szCs w:val="20"/>
                <w:color w:val="auto"/>
              </w:rPr>
            </w:pPr>
            <w:r>
              <w:rPr>
                <w:rFonts w:ascii="Calibri" w:cs="Calibri" w:eastAsia="Calibri" w:hAnsi="Calibri"/>
                <w:sz w:val="15"/>
                <w:szCs w:val="15"/>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Calibri" w:cs="Calibri" w:eastAsia="Calibri" w:hAnsi="Calibri"/>
                <w:sz w:val="15"/>
                <w:szCs w:val="15"/>
                <w:color w:val="auto"/>
              </w:rPr>
              <w:t>149,360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323"/>
        </w:trPr>
        <w:tc>
          <w:tcPr>
            <w:tcW w:w="6020" w:type="dxa"/>
            <w:vAlign w:val="bottom"/>
            <w:gridSpan w:val="2"/>
          </w:tcPr>
          <w:p>
            <w:pPr>
              <w:spacing w:after="0"/>
              <w:rPr>
                <w:sz w:val="20"/>
                <w:szCs w:val="20"/>
                <w:color w:val="auto"/>
              </w:rPr>
            </w:pPr>
            <w:r>
              <w:rPr>
                <w:rFonts w:ascii="Calibri" w:cs="Calibri" w:eastAsia="Calibri" w:hAnsi="Calibri"/>
                <w:sz w:val="15"/>
                <w:szCs w:val="15"/>
                <w:color w:val="auto"/>
              </w:rPr>
              <w:t>As of December 31, 2023, 2022, and 2021, segment assets are as follows:</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33"/>
        </w:trPr>
        <w:tc>
          <w:tcPr>
            <w:tcW w:w="6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00" w:type="dxa"/>
            <w:vAlign w:val="bottom"/>
            <w:gridSpan w:val="4"/>
          </w:tcPr>
          <w:p>
            <w:pPr>
              <w:jc w:val="center"/>
              <w:ind w:right="40"/>
              <w:spacing w:after="0"/>
              <w:rPr>
                <w:sz w:val="20"/>
                <w:szCs w:val="20"/>
                <w:color w:val="auto"/>
              </w:rPr>
            </w:pPr>
            <w:r>
              <w:rPr>
                <w:rFonts w:ascii="Calibri" w:cs="Calibri" w:eastAsia="Calibri" w:hAnsi="Calibri"/>
                <w:sz w:val="12"/>
                <w:szCs w:val="12"/>
                <w:b w:val="1"/>
                <w:bCs w:val="1"/>
                <w:color w:val="auto"/>
              </w:rPr>
              <w:t>Year Ended December 31,</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8"/>
        </w:trPr>
        <w:tc>
          <w:tcPr>
            <w:tcW w:w="60" w:type="dxa"/>
            <w:vAlign w:val="bottom"/>
          </w:tcPr>
          <w:p>
            <w:pPr>
              <w:spacing w:after="0"/>
              <w:rPr>
                <w:sz w:val="2"/>
                <w:szCs w:val="2"/>
                <w:color w:val="auto"/>
              </w:rPr>
            </w:pPr>
          </w:p>
        </w:tc>
        <w:tc>
          <w:tcPr>
            <w:tcW w:w="59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64"/>
        </w:trPr>
        <w:tc>
          <w:tcPr>
            <w:tcW w:w="6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07"/>
              <w:spacing w:after="0"/>
              <w:rPr>
                <w:sz w:val="20"/>
                <w:szCs w:val="20"/>
                <w:color w:val="auto"/>
              </w:rPr>
            </w:pPr>
            <w:r>
              <w:rPr>
                <w:rFonts w:ascii="Calibri" w:cs="Calibri" w:eastAsia="Calibri" w:hAnsi="Calibri"/>
                <w:sz w:val="12"/>
                <w:szCs w:val="12"/>
                <w:b w:val="1"/>
                <w:bCs w:val="1"/>
                <w:color w:val="auto"/>
              </w:rPr>
              <w:t>2023</w:t>
            </w: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67"/>
              <w:spacing w:after="0" w:line="164" w:lineRule="exact"/>
              <w:rPr>
                <w:sz w:val="20"/>
                <w:szCs w:val="20"/>
                <w:color w:val="auto"/>
              </w:rPr>
            </w:pPr>
            <w:r>
              <w:rPr>
                <w:rFonts w:ascii="Calibri" w:cs="Calibri" w:eastAsia="Calibri" w:hAnsi="Calibri"/>
                <w:sz w:val="12"/>
                <w:szCs w:val="12"/>
                <w:b w:val="1"/>
                <w:bCs w:val="1"/>
                <w:color w:val="auto"/>
                <w:w w:val="93"/>
              </w:rPr>
              <w:t>2022</w:t>
            </w:r>
            <w:r>
              <w:rPr>
                <w:rFonts w:ascii="Calibri" w:cs="Calibri" w:eastAsia="Calibri" w:hAnsi="Calibri"/>
                <w:sz w:val="16"/>
                <w:szCs w:val="16"/>
                <w:b w:val="1"/>
                <w:bCs w:val="1"/>
                <w:color w:val="auto"/>
                <w:w w:val="93"/>
                <w:vertAlign w:val="superscript"/>
              </w:rPr>
              <w:t>(1)</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47"/>
              <w:spacing w:after="0" w:line="164" w:lineRule="exact"/>
              <w:rPr>
                <w:sz w:val="20"/>
                <w:szCs w:val="20"/>
                <w:color w:val="auto"/>
              </w:rPr>
            </w:pPr>
            <w:r>
              <w:rPr>
                <w:rFonts w:ascii="Calibri" w:cs="Calibri" w:eastAsia="Calibri" w:hAnsi="Calibri"/>
                <w:sz w:val="12"/>
                <w:szCs w:val="12"/>
                <w:b w:val="1"/>
                <w:bCs w:val="1"/>
                <w:color w:val="auto"/>
              </w:rPr>
              <w:t>2021</w:t>
            </w:r>
            <w:r>
              <w:rPr>
                <w:rFonts w:ascii="Calibri" w:cs="Calibri" w:eastAsia="Calibri" w:hAnsi="Calibri"/>
                <w:sz w:val="16"/>
                <w:szCs w:val="16"/>
                <w:b w:val="1"/>
                <w:bCs w:val="1"/>
                <w:color w:val="auto"/>
                <w:vertAlign w:val="superscript"/>
              </w:rPr>
              <w:t>(1)</w:t>
            </w:r>
          </w:p>
        </w:tc>
        <w:tc>
          <w:tcPr>
            <w:tcW w:w="100" w:type="dxa"/>
            <w:vAlign w:val="bottom"/>
          </w:tcPr>
          <w:p>
            <w:pPr>
              <w:spacing w:after="0"/>
              <w:rPr>
                <w:sz w:val="14"/>
                <w:szCs w:val="14"/>
                <w:color w:val="auto"/>
              </w:rPr>
            </w:pPr>
          </w:p>
        </w:tc>
      </w:tr>
      <w:tr>
        <w:trPr>
          <w:trHeight w:val="179"/>
        </w:trPr>
        <w:tc>
          <w:tcPr>
            <w:tcW w:w="60" w:type="dxa"/>
            <w:vAlign w:val="bottom"/>
          </w:tcPr>
          <w:p>
            <w:pPr>
              <w:spacing w:after="0"/>
              <w:rPr>
                <w:sz w:val="15"/>
                <w:szCs w:val="15"/>
                <w:color w:val="auto"/>
              </w:rPr>
            </w:pPr>
          </w:p>
        </w:tc>
        <w:tc>
          <w:tcPr>
            <w:tcW w:w="5960" w:type="dxa"/>
            <w:vAlign w:val="bottom"/>
            <w:tcBorders>
              <w:bottom w:val="single" w:sz="8" w:color="CFF0FC"/>
            </w:tcBorders>
            <w:shd w:val="clear" w:color="auto" w:fill="CFF0FC"/>
          </w:tcPr>
          <w:p>
            <w:pPr>
              <w:spacing w:after="0" w:line="174" w:lineRule="exact"/>
              <w:rPr>
                <w:sz w:val="20"/>
                <w:szCs w:val="20"/>
                <w:color w:val="auto"/>
              </w:rPr>
            </w:pPr>
            <w:r>
              <w:rPr>
                <w:rFonts w:ascii="Calibri" w:cs="Calibri" w:eastAsia="Calibri" w:hAnsi="Calibri"/>
                <w:sz w:val="15"/>
                <w:szCs w:val="15"/>
                <w:i w:val="1"/>
                <w:iCs w:val="1"/>
                <w:color w:val="auto"/>
              </w:rPr>
              <w:t>Segment Assets:</w:t>
            </w:r>
          </w:p>
        </w:tc>
        <w:tc>
          <w:tcPr>
            <w:tcW w:w="28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9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r>
      <w:tr>
        <w:trPr>
          <w:trHeight w:val="183"/>
        </w:trPr>
        <w:tc>
          <w:tcPr>
            <w:tcW w:w="60" w:type="dxa"/>
            <w:vAlign w:val="bottom"/>
          </w:tcPr>
          <w:p>
            <w:pPr>
              <w:spacing w:after="0"/>
              <w:rPr>
                <w:sz w:val="15"/>
                <w:szCs w:val="15"/>
                <w:color w:val="auto"/>
              </w:rPr>
            </w:pPr>
          </w:p>
        </w:tc>
        <w:tc>
          <w:tcPr>
            <w:tcW w:w="5960" w:type="dxa"/>
            <w:vAlign w:val="bottom"/>
          </w:tcPr>
          <w:p>
            <w:pPr>
              <w:ind w:left="160"/>
              <w:spacing w:after="0"/>
              <w:rPr>
                <w:sz w:val="20"/>
                <w:szCs w:val="20"/>
                <w:color w:val="auto"/>
              </w:rPr>
            </w:pPr>
            <w:r>
              <w:rPr>
                <w:rFonts w:ascii="Calibri" w:cs="Calibri" w:eastAsia="Calibri" w:hAnsi="Calibri"/>
                <w:sz w:val="15"/>
                <w:szCs w:val="15"/>
                <w:color w:val="auto"/>
              </w:rPr>
              <w:t>U.S. Marketplace</w:t>
            </w:r>
          </w:p>
        </w:tc>
        <w:tc>
          <w:tcPr>
            <w:tcW w:w="280" w:type="dxa"/>
            <w:vAlign w:val="bottom"/>
          </w:tcPr>
          <w:p>
            <w:pPr>
              <w:jc w:val="right"/>
              <w:ind w:right="123"/>
              <w:spacing w:after="0"/>
              <w:rPr>
                <w:sz w:val="20"/>
                <w:szCs w:val="20"/>
                <w:color w:val="auto"/>
              </w:rPr>
            </w:pPr>
            <w:r>
              <w:rPr>
                <w:rFonts w:ascii="Calibri" w:cs="Calibri" w:eastAsia="Calibri" w:hAnsi="Calibri"/>
                <w:sz w:val="15"/>
                <w:szCs w:val="15"/>
                <w:color w:val="auto"/>
                <w:w w:val="78"/>
              </w:rPr>
              <w:t>$</w:t>
            </w:r>
          </w:p>
        </w:tc>
        <w:tc>
          <w:tcPr>
            <w:tcW w:w="920" w:type="dxa"/>
            <w:vAlign w:val="bottom"/>
          </w:tcPr>
          <w:p>
            <w:pPr>
              <w:jc w:val="right"/>
              <w:spacing w:after="0"/>
              <w:rPr>
                <w:sz w:val="20"/>
                <w:szCs w:val="20"/>
                <w:color w:val="auto"/>
              </w:rPr>
            </w:pPr>
            <w:r>
              <w:rPr>
                <w:rFonts w:ascii="Calibri" w:cs="Calibri" w:eastAsia="Calibri" w:hAnsi="Calibri"/>
                <w:sz w:val="15"/>
                <w:szCs w:val="15"/>
                <w:color w:val="auto"/>
              </w:rPr>
              <w:t>607,307</w:t>
            </w:r>
          </w:p>
        </w:tc>
        <w:tc>
          <w:tcPr>
            <w:tcW w:w="520" w:type="dxa"/>
            <w:vAlign w:val="bottom"/>
            <w:gridSpan w:val="2"/>
          </w:tcPr>
          <w:p>
            <w:pPr>
              <w:jc w:val="right"/>
              <w:ind w:right="83"/>
              <w:spacing w:after="0"/>
              <w:rPr>
                <w:sz w:val="20"/>
                <w:szCs w:val="20"/>
                <w:color w:val="auto"/>
              </w:rPr>
            </w:pPr>
            <w:r>
              <w:rPr>
                <w:rFonts w:ascii="Calibri" w:cs="Calibri" w:eastAsia="Calibri" w:hAnsi="Calibri"/>
                <w:sz w:val="15"/>
                <w:szCs w:val="15"/>
                <w:color w:val="auto"/>
              </w:rPr>
              <w:t>$</w:t>
            </w:r>
          </w:p>
        </w:tc>
        <w:tc>
          <w:tcPr>
            <w:tcW w:w="940" w:type="dxa"/>
            <w:vAlign w:val="bottom"/>
          </w:tcPr>
          <w:p>
            <w:pPr>
              <w:jc w:val="right"/>
              <w:spacing w:after="0"/>
              <w:rPr>
                <w:sz w:val="20"/>
                <w:szCs w:val="20"/>
                <w:color w:val="auto"/>
              </w:rPr>
            </w:pPr>
            <w:r>
              <w:rPr>
                <w:rFonts w:ascii="Calibri" w:cs="Calibri" w:eastAsia="Calibri" w:hAnsi="Calibri"/>
                <w:sz w:val="15"/>
                <w:szCs w:val="15"/>
                <w:color w:val="auto"/>
              </w:rPr>
              <w:t>525,103</w:t>
            </w:r>
          </w:p>
        </w:tc>
        <w:tc>
          <w:tcPr>
            <w:tcW w:w="240" w:type="dxa"/>
            <w:vAlign w:val="bottom"/>
          </w:tcPr>
          <w:p>
            <w:pPr>
              <w:spacing w:after="0"/>
              <w:rPr>
                <w:sz w:val="15"/>
                <w:szCs w:val="15"/>
                <w:color w:val="auto"/>
              </w:rPr>
            </w:pPr>
          </w:p>
        </w:tc>
        <w:tc>
          <w:tcPr>
            <w:tcW w:w="260" w:type="dxa"/>
            <w:vAlign w:val="bottom"/>
          </w:tcPr>
          <w:p>
            <w:pPr>
              <w:jc w:val="right"/>
              <w:ind w:right="103"/>
              <w:spacing w:after="0"/>
              <w:rPr>
                <w:sz w:val="20"/>
                <w:szCs w:val="20"/>
                <w:color w:val="auto"/>
              </w:rPr>
            </w:pPr>
            <w:r>
              <w:rPr>
                <w:rFonts w:ascii="Calibri" w:cs="Calibri" w:eastAsia="Calibri" w:hAnsi="Calibri"/>
                <w:sz w:val="15"/>
                <w:szCs w:val="15"/>
                <w:color w:val="auto"/>
                <w:w w:val="78"/>
              </w:rPr>
              <w:t>$</w:t>
            </w:r>
          </w:p>
        </w:tc>
        <w:tc>
          <w:tcPr>
            <w:tcW w:w="920" w:type="dxa"/>
            <w:vAlign w:val="bottom"/>
          </w:tcPr>
          <w:p>
            <w:pPr>
              <w:jc w:val="right"/>
              <w:spacing w:after="0"/>
              <w:rPr>
                <w:sz w:val="20"/>
                <w:szCs w:val="20"/>
                <w:color w:val="auto"/>
              </w:rPr>
            </w:pPr>
            <w:r>
              <w:rPr>
                <w:rFonts w:ascii="Calibri" w:cs="Calibri" w:eastAsia="Calibri" w:hAnsi="Calibri"/>
                <w:sz w:val="15"/>
                <w:szCs w:val="15"/>
                <w:color w:val="auto"/>
              </w:rPr>
              <w:t>449,230</w:t>
            </w:r>
          </w:p>
        </w:tc>
        <w:tc>
          <w:tcPr>
            <w:tcW w:w="100" w:type="dxa"/>
            <w:vAlign w:val="bottom"/>
          </w:tcPr>
          <w:p>
            <w:pPr>
              <w:spacing w:after="0"/>
              <w:rPr>
                <w:sz w:val="15"/>
                <w:szCs w:val="15"/>
                <w:color w:val="auto"/>
              </w:rPr>
            </w:pPr>
          </w:p>
        </w:tc>
      </w:tr>
      <w:tr>
        <w:trPr>
          <w:trHeight w:val="24"/>
        </w:trPr>
        <w:tc>
          <w:tcPr>
            <w:tcW w:w="60" w:type="dxa"/>
            <w:vAlign w:val="bottom"/>
          </w:tcPr>
          <w:p>
            <w:pPr>
              <w:spacing w:after="0"/>
              <w:rPr>
                <w:sz w:val="2"/>
                <w:szCs w:val="2"/>
                <w:color w:val="auto"/>
              </w:rPr>
            </w:pPr>
          </w:p>
        </w:tc>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87"/>
        </w:trPr>
        <w:tc>
          <w:tcPr>
            <w:tcW w:w="60" w:type="dxa"/>
            <w:vAlign w:val="bottom"/>
          </w:tcPr>
          <w:p>
            <w:pPr>
              <w:spacing w:after="0"/>
              <w:rPr>
                <w:sz w:val="16"/>
                <w:szCs w:val="16"/>
                <w:color w:val="auto"/>
              </w:rPr>
            </w:pPr>
          </w:p>
        </w:tc>
        <w:tc>
          <w:tcPr>
            <w:tcW w:w="5960" w:type="dxa"/>
            <w:vAlign w:val="bottom"/>
            <w:tcBorders>
              <w:bottom w:val="single" w:sz="8" w:color="CFF0FC"/>
            </w:tcBorders>
            <w:shd w:val="clear" w:color="auto" w:fill="CFF0FC"/>
          </w:tcPr>
          <w:p>
            <w:pPr>
              <w:ind w:left="160"/>
              <w:spacing w:after="0"/>
              <w:rPr>
                <w:sz w:val="20"/>
                <w:szCs w:val="20"/>
                <w:color w:val="auto"/>
              </w:rPr>
            </w:pPr>
            <w:r>
              <w:rPr>
                <w:rFonts w:ascii="Calibri" w:cs="Calibri" w:eastAsia="Calibri" w:hAnsi="Calibri"/>
                <w:sz w:val="15"/>
                <w:szCs w:val="15"/>
                <w:color w:val="auto"/>
              </w:rPr>
              <w:t>Digital Wholesale</w:t>
            </w:r>
          </w:p>
        </w:tc>
        <w:tc>
          <w:tcPr>
            <w:tcW w:w="280" w:type="dxa"/>
            <w:vAlign w:val="bottom"/>
            <w:tcBorders>
              <w:bottom w:val="single" w:sz="8" w:color="CFF0FC"/>
            </w:tcBorders>
            <w:shd w:val="clear" w:color="auto" w:fill="CFF0FC"/>
          </w:tcPr>
          <w:p>
            <w:pPr>
              <w:spacing w:after="0"/>
              <w:rPr>
                <w:sz w:val="16"/>
                <w:szCs w:val="16"/>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258,458</w:t>
            </w:r>
          </w:p>
        </w:tc>
        <w:tc>
          <w:tcPr>
            <w:tcW w:w="26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358,289</w:t>
            </w:r>
          </w:p>
        </w:tc>
        <w:tc>
          <w:tcPr>
            <w:tcW w:w="24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446,823</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60" w:type="dxa"/>
            <w:vAlign w:val="bottom"/>
          </w:tcPr>
          <w:p>
            <w:pPr>
              <w:spacing w:after="0"/>
              <w:rPr>
                <w:sz w:val="15"/>
                <w:szCs w:val="15"/>
                <w:color w:val="auto"/>
              </w:rPr>
            </w:pPr>
          </w:p>
        </w:tc>
        <w:tc>
          <w:tcPr>
            <w:tcW w:w="5960" w:type="dxa"/>
            <w:vAlign w:val="bottom"/>
          </w:tcPr>
          <w:p>
            <w:pPr>
              <w:ind w:left="160"/>
              <w:spacing w:after="0"/>
              <w:rPr>
                <w:sz w:val="20"/>
                <w:szCs w:val="20"/>
                <w:color w:val="auto"/>
              </w:rPr>
            </w:pPr>
            <w:r>
              <w:rPr>
                <w:rFonts w:ascii="Calibri" w:cs="Calibri" w:eastAsia="Calibri" w:hAnsi="Calibri"/>
                <w:sz w:val="15"/>
                <w:szCs w:val="15"/>
                <w:color w:val="auto"/>
              </w:rPr>
              <w:t>Other</w:t>
            </w: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alibri" w:cs="Calibri" w:eastAsia="Calibri" w:hAnsi="Calibri"/>
                <w:sz w:val="15"/>
                <w:szCs w:val="15"/>
                <w:color w:val="auto"/>
              </w:rPr>
              <w:t>53,162</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alibri" w:cs="Calibri" w:eastAsia="Calibri" w:hAnsi="Calibri"/>
                <w:sz w:val="15"/>
                <w:szCs w:val="15"/>
                <w:color w:val="auto"/>
              </w:rPr>
              <w:t>43,710</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alibri" w:cs="Calibri" w:eastAsia="Calibri" w:hAnsi="Calibri"/>
                <w:sz w:val="15"/>
                <w:szCs w:val="15"/>
                <w:color w:val="auto"/>
              </w:rPr>
              <w:t>35,521</w:t>
            </w:r>
          </w:p>
        </w:tc>
        <w:tc>
          <w:tcPr>
            <w:tcW w:w="100" w:type="dxa"/>
            <w:vAlign w:val="bottom"/>
          </w:tcPr>
          <w:p>
            <w:pPr>
              <w:spacing w:after="0"/>
              <w:rPr>
                <w:sz w:val="15"/>
                <w:szCs w:val="15"/>
                <w:color w:val="auto"/>
              </w:rPr>
            </w:pPr>
          </w:p>
        </w:tc>
      </w:tr>
      <w:tr>
        <w:trPr>
          <w:trHeight w:val="24"/>
        </w:trPr>
        <w:tc>
          <w:tcPr>
            <w:tcW w:w="60" w:type="dxa"/>
            <w:vAlign w:val="bottom"/>
          </w:tcPr>
          <w:p>
            <w:pPr>
              <w:spacing w:after="0"/>
              <w:rPr>
                <w:sz w:val="2"/>
                <w:szCs w:val="2"/>
                <w:color w:val="auto"/>
              </w:rPr>
            </w:pPr>
          </w:p>
        </w:tc>
        <w:tc>
          <w:tcPr>
            <w:tcW w:w="59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24"/>
        </w:trPr>
        <w:tc>
          <w:tcPr>
            <w:tcW w:w="60" w:type="dxa"/>
            <w:vAlign w:val="bottom"/>
          </w:tcPr>
          <w:p>
            <w:pPr>
              <w:spacing w:after="0"/>
              <w:rPr>
                <w:sz w:val="19"/>
                <w:szCs w:val="19"/>
                <w:color w:val="auto"/>
              </w:rPr>
            </w:pPr>
          </w:p>
        </w:tc>
        <w:tc>
          <w:tcPr>
            <w:tcW w:w="5960" w:type="dxa"/>
            <w:vAlign w:val="bottom"/>
            <w:tcBorders>
              <w:bottom w:val="single" w:sz="8" w:color="CFF0FC"/>
            </w:tcBorders>
            <w:shd w:val="clear" w:color="auto" w:fill="CFF0FC"/>
          </w:tcPr>
          <w:p>
            <w:pPr>
              <w:ind w:left="320"/>
              <w:spacing w:after="0" w:line="174" w:lineRule="exact"/>
              <w:rPr>
                <w:sz w:val="20"/>
                <w:szCs w:val="20"/>
                <w:color w:val="auto"/>
              </w:rPr>
            </w:pPr>
            <w:r>
              <w:rPr>
                <w:rFonts w:ascii="Calibri" w:cs="Calibri" w:eastAsia="Calibri" w:hAnsi="Calibri"/>
                <w:sz w:val="15"/>
                <w:szCs w:val="15"/>
                <w:color w:val="auto"/>
              </w:rPr>
              <w:t>Total</w:t>
            </w:r>
          </w:p>
        </w:tc>
        <w:tc>
          <w:tcPr>
            <w:tcW w:w="280" w:type="dxa"/>
            <w:vAlign w:val="bottom"/>
            <w:tcBorders>
              <w:bottom w:val="single" w:sz="8" w:color="CFF0FC"/>
            </w:tcBorders>
            <w:shd w:val="clear" w:color="auto" w:fill="CFF0FC"/>
          </w:tcPr>
          <w:p>
            <w:pPr>
              <w:jc w:val="right"/>
              <w:ind w:right="123"/>
              <w:spacing w:after="0" w:line="174" w:lineRule="exact"/>
              <w:rPr>
                <w:sz w:val="20"/>
                <w:szCs w:val="20"/>
                <w:color w:val="auto"/>
              </w:rPr>
            </w:pPr>
            <w:r>
              <w:rPr>
                <w:rFonts w:ascii="Calibri" w:cs="Calibri" w:eastAsia="Calibri" w:hAnsi="Calibri"/>
                <w:sz w:val="15"/>
                <w:szCs w:val="15"/>
                <w:color w:val="auto"/>
                <w:w w:val="78"/>
              </w:rPr>
              <w:t>$</w:t>
            </w:r>
          </w:p>
        </w:tc>
        <w:tc>
          <w:tcPr>
            <w:tcW w:w="920" w:type="dxa"/>
            <w:vAlign w:val="bottom"/>
            <w:tcBorders>
              <w:bottom w:val="single" w:sz="8" w:color="CFF0FC"/>
            </w:tcBorders>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918,927</w:t>
            </w:r>
          </w:p>
        </w:tc>
        <w:tc>
          <w:tcPr>
            <w:tcW w:w="520" w:type="dxa"/>
            <w:vAlign w:val="bottom"/>
            <w:tcBorders>
              <w:bottom w:val="single" w:sz="8" w:color="CFF0FC"/>
            </w:tcBorders>
            <w:gridSpan w:val="2"/>
            <w:shd w:val="clear" w:color="auto" w:fill="CFF0FC"/>
          </w:tcPr>
          <w:p>
            <w:pPr>
              <w:jc w:val="right"/>
              <w:ind w:right="83"/>
              <w:spacing w:after="0" w:line="174" w:lineRule="exact"/>
              <w:rPr>
                <w:sz w:val="20"/>
                <w:szCs w:val="20"/>
                <w:color w:val="auto"/>
              </w:rPr>
            </w:pPr>
            <w:r>
              <w:rPr>
                <w:rFonts w:ascii="Calibri" w:cs="Calibri" w:eastAsia="Calibri" w:hAnsi="Calibri"/>
                <w:sz w:val="15"/>
                <w:szCs w:val="15"/>
                <w:color w:val="auto"/>
              </w:rPr>
              <w:t>$</w:t>
            </w:r>
          </w:p>
        </w:tc>
        <w:tc>
          <w:tcPr>
            <w:tcW w:w="940" w:type="dxa"/>
            <w:vAlign w:val="bottom"/>
            <w:tcBorders>
              <w:bottom w:val="single" w:sz="8" w:color="CFF0FC"/>
            </w:tcBorders>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927,102</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jc w:val="right"/>
              <w:ind w:right="103"/>
              <w:spacing w:after="0" w:line="174" w:lineRule="exact"/>
              <w:rPr>
                <w:sz w:val="20"/>
                <w:szCs w:val="20"/>
                <w:color w:val="auto"/>
              </w:rPr>
            </w:pPr>
            <w:r>
              <w:rPr>
                <w:rFonts w:ascii="Calibri" w:cs="Calibri" w:eastAsia="Calibri" w:hAnsi="Calibri"/>
                <w:sz w:val="15"/>
                <w:szCs w:val="15"/>
                <w:color w:val="auto"/>
                <w:w w:val="78"/>
              </w:rPr>
              <w:t>$</w:t>
            </w:r>
          </w:p>
        </w:tc>
        <w:tc>
          <w:tcPr>
            <w:tcW w:w="920" w:type="dxa"/>
            <w:vAlign w:val="bottom"/>
            <w:tcBorders>
              <w:bottom w:val="single" w:sz="8" w:color="CFF0FC"/>
            </w:tcBorders>
            <w:shd w:val="clear" w:color="auto" w:fill="CFF0FC"/>
          </w:tcPr>
          <w:p>
            <w:pPr>
              <w:jc w:val="right"/>
              <w:spacing w:after="0" w:line="174" w:lineRule="exact"/>
              <w:rPr>
                <w:sz w:val="20"/>
                <w:szCs w:val="20"/>
                <w:color w:val="auto"/>
              </w:rPr>
            </w:pPr>
            <w:r>
              <w:rPr>
                <w:rFonts w:ascii="Calibri" w:cs="Calibri" w:eastAsia="Calibri" w:hAnsi="Calibri"/>
                <w:sz w:val="15"/>
                <w:szCs w:val="15"/>
                <w:color w:val="auto"/>
              </w:rPr>
              <w:t>931,574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0" w:type="dxa"/>
            <w:vAlign w:val="bottom"/>
          </w:tcPr>
          <w:p>
            <w:pPr>
              <w:spacing w:after="0" w:line="20" w:lineRule="exact"/>
              <w:rPr>
                <w:sz w:val="1"/>
                <w:szCs w:val="1"/>
                <w:color w:val="auto"/>
              </w:rPr>
            </w:pPr>
          </w:p>
        </w:tc>
        <w:tc>
          <w:tcPr>
            <w:tcW w:w="59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4588510</wp:posOffset>
            </wp:positionH>
            <wp:positionV relativeFrom="paragraph">
              <wp:posOffset>-1409700</wp:posOffset>
            </wp:positionV>
            <wp:extent cx="66040" cy="762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4588510</wp:posOffset>
            </wp:positionH>
            <wp:positionV relativeFrom="paragraph">
              <wp:posOffset>-1395095</wp:posOffset>
            </wp:positionV>
            <wp:extent cx="66040" cy="762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5516245</wp:posOffset>
            </wp:positionH>
            <wp:positionV relativeFrom="paragraph">
              <wp:posOffset>-1409700</wp:posOffset>
            </wp:positionV>
            <wp:extent cx="58420" cy="762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58420" cy="7620"/>
                    </a:xfrm>
                    <a:prstGeom prst="rect">
                      <a:avLst/>
                    </a:prstGeom>
                    <a:noFill/>
                  </pic:spPr>
                </pic:pic>
              </a:graphicData>
            </a:graphic>
          </wp:anchor>
        </w:drawing>
        <w:drawing>
          <wp:anchor simplePos="0" relativeHeight="251657728" behindDoc="1" locked="0" layoutInCell="0" allowOverlap="1">
            <wp:simplePos x="0" y="0"/>
            <wp:positionH relativeFrom="column">
              <wp:posOffset>5516245</wp:posOffset>
            </wp:positionH>
            <wp:positionV relativeFrom="paragraph">
              <wp:posOffset>-1395095</wp:posOffset>
            </wp:positionV>
            <wp:extent cx="58420" cy="762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58420" cy="7620"/>
                    </a:xfrm>
                    <a:prstGeom prst="rect">
                      <a:avLst/>
                    </a:prstGeom>
                    <a:noFill/>
                  </pic:spPr>
                </pic:pic>
              </a:graphicData>
            </a:graphic>
          </wp:anchor>
        </w:drawing>
        <w:drawing>
          <wp:anchor simplePos="0" relativeHeight="251657728" behindDoc="1" locked="0" layoutInCell="0" allowOverlap="1">
            <wp:simplePos x="0" y="0"/>
            <wp:positionH relativeFrom="column">
              <wp:posOffset>6414770</wp:posOffset>
            </wp:positionH>
            <wp:positionV relativeFrom="paragraph">
              <wp:posOffset>-1409700</wp:posOffset>
            </wp:positionV>
            <wp:extent cx="58420" cy="762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58420" cy="7620"/>
                    </a:xfrm>
                    <a:prstGeom prst="rect">
                      <a:avLst/>
                    </a:prstGeom>
                    <a:noFill/>
                  </pic:spPr>
                </pic:pic>
              </a:graphicData>
            </a:graphic>
          </wp:anchor>
        </w:drawing>
        <w:drawing>
          <wp:anchor simplePos="0" relativeHeight="251657728" behindDoc="1" locked="0" layoutInCell="0" allowOverlap="1">
            <wp:simplePos x="0" y="0"/>
            <wp:positionH relativeFrom="column">
              <wp:posOffset>6414770</wp:posOffset>
            </wp:positionH>
            <wp:positionV relativeFrom="paragraph">
              <wp:posOffset>-1395095</wp:posOffset>
            </wp:positionV>
            <wp:extent cx="58420" cy="762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58420" cy="7620"/>
                    </a:xfrm>
                    <a:prstGeom prst="rect">
                      <a:avLst/>
                    </a:prstGeom>
                    <a:noFill/>
                  </pic:spPr>
                </pic:pic>
              </a:graphicData>
            </a:graphic>
          </wp:anchor>
        </w:drawing>
        <w:drawing>
          <wp:anchor simplePos="0" relativeHeight="251657728" behindDoc="1" locked="0" layoutInCell="0" allowOverlap="1">
            <wp:simplePos x="0" y="0"/>
            <wp:positionH relativeFrom="column">
              <wp:posOffset>4588510</wp:posOffset>
            </wp:positionH>
            <wp:positionV relativeFrom="paragraph">
              <wp:posOffset>-21590</wp:posOffset>
            </wp:positionV>
            <wp:extent cx="66040" cy="762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4588510</wp:posOffset>
            </wp:positionH>
            <wp:positionV relativeFrom="paragraph">
              <wp:posOffset>-6985</wp:posOffset>
            </wp:positionV>
            <wp:extent cx="66040" cy="762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-21590</wp:posOffset>
            </wp:positionV>
            <wp:extent cx="58420" cy="762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58420" cy="762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-6985</wp:posOffset>
            </wp:positionV>
            <wp:extent cx="58420" cy="762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58420" cy="7620"/>
                    </a:xfrm>
                    <a:prstGeom prst="rect">
                      <a:avLst/>
                    </a:prstGeom>
                    <a:noFill/>
                  </pic:spPr>
                </pic:pic>
              </a:graphicData>
            </a:graphic>
          </wp:anchor>
        </w:drawing>
        <w:drawing>
          <wp:anchor simplePos="0" relativeHeight="251657728" behindDoc="1" locked="0" layoutInCell="0" allowOverlap="1">
            <wp:simplePos x="0" y="0"/>
            <wp:positionH relativeFrom="column">
              <wp:posOffset>6414770</wp:posOffset>
            </wp:positionH>
            <wp:positionV relativeFrom="paragraph">
              <wp:posOffset>-21590</wp:posOffset>
            </wp:positionV>
            <wp:extent cx="58420" cy="762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58420" cy="7620"/>
                    </a:xfrm>
                    <a:prstGeom prst="rect">
                      <a:avLst/>
                    </a:prstGeom>
                    <a:noFill/>
                  </pic:spPr>
                </pic:pic>
              </a:graphicData>
            </a:graphic>
          </wp:anchor>
        </w:drawing>
        <w:drawing>
          <wp:anchor simplePos="0" relativeHeight="251657728" behindDoc="1" locked="0" layoutInCell="0" allowOverlap="1">
            <wp:simplePos x="0" y="0"/>
            <wp:positionH relativeFrom="column">
              <wp:posOffset>6414770</wp:posOffset>
            </wp:positionH>
            <wp:positionV relativeFrom="paragraph">
              <wp:posOffset>-6985</wp:posOffset>
            </wp:positionV>
            <wp:extent cx="58420" cy="762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58420" cy="7620"/>
                    </a:xfrm>
                    <a:prstGeom prst="rect">
                      <a:avLst/>
                    </a:prstGeom>
                    <a:noFill/>
                  </pic:spPr>
                </pic:pic>
              </a:graphicData>
            </a:graphic>
          </wp:anchor>
        </w:drawing>
      </w:r>
    </w:p>
    <w:p>
      <w:pPr>
        <w:spacing w:after="0" w:line="67" w:lineRule="exact"/>
        <w:rPr>
          <w:sz w:val="20"/>
          <w:szCs w:val="20"/>
          <w:color w:val="auto"/>
        </w:rPr>
      </w:pPr>
    </w:p>
    <w:p>
      <w:pPr>
        <w:jc w:val="both"/>
        <w:ind w:left="522" w:hanging="522"/>
        <w:spacing w:after="0" w:line="201" w:lineRule="auto"/>
        <w:tabs>
          <w:tab w:leader="none" w:pos="522" w:val="left"/>
        </w:tabs>
        <w:numPr>
          <w:ilvl w:val="0"/>
          <w:numId w:val="34"/>
        </w:numPr>
        <w:rPr>
          <w:rFonts w:ascii="Calibri" w:cs="Calibri" w:eastAsia="Calibri" w:hAnsi="Calibri"/>
          <w:sz w:val="21"/>
          <w:szCs w:val="21"/>
          <w:color w:val="auto"/>
          <w:vertAlign w:val="subscript"/>
        </w:rPr>
      </w:pPr>
      <w:r>
        <w:rPr>
          <w:rFonts w:ascii="Calibri" w:cs="Calibri" w:eastAsia="Calibri" w:hAnsi="Calibri"/>
          <w:sz w:val="10"/>
          <w:szCs w:val="10"/>
          <w:color w:val="auto"/>
        </w:rPr>
        <w:t>As of December 31, 2022, Digital Wholesale assets did not refect certain Dealer-to-Dealer and IMCO related capitalized website development assets from the U.S. Marketplace segment. During the three months ended March 31, 2023, the Company updated Digital Wholesale assets to refect certain Dealer-to-Dealer and IMCO related capitalized website development amortzaton assets from the U.S. Marketplace segment and accordingly updated Digital Wholesale assets as of December 31, 2022 and 2021 for comparatve purposes.</w:t>
      </w:r>
    </w:p>
    <w:p>
      <w:pPr>
        <w:spacing w:after="0" w:line="200" w:lineRule="exact"/>
        <w:rPr>
          <w:sz w:val="20"/>
          <w:szCs w:val="20"/>
          <w:color w:val="auto"/>
        </w:rPr>
      </w:pPr>
    </w:p>
    <w:p>
      <w:pPr>
        <w:jc w:val="center"/>
        <w:ind w:right="498"/>
        <w:spacing w:after="0"/>
        <w:rPr>
          <w:sz w:val="20"/>
          <w:szCs w:val="20"/>
          <w:color w:val="auto"/>
        </w:rPr>
      </w:pPr>
      <w:r>
        <w:rPr>
          <w:rFonts w:ascii="Calibri" w:cs="Calibri" w:eastAsia="Calibri" w:hAnsi="Calibri"/>
          <w:sz w:val="15"/>
          <w:szCs w:val="15"/>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401320</wp:posOffset>
            </wp:positionV>
            <wp:extent cx="7178040" cy="4000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0762"/>
          </w:cols>
          <w:pgMar w:left="818" w:top="1335" w:right="319" w:bottom="1440" w:gutter="0" w:footer="0" w:header="0"/>
        </w:sectPr>
      </w:pPr>
    </w:p>
    <w:bookmarkStart w:id="132" w:name="page133"/>
    <w:bookmarkEnd w:id="132"/>
    <w:p>
      <w:pPr>
        <w:ind w:left="500"/>
        <w:spacing w:after="0"/>
        <w:rPr>
          <w:sz w:val="20"/>
          <w:szCs w:val="20"/>
          <w:color w:val="auto"/>
        </w:rPr>
      </w:pPr>
      <w:r>
        <w:rPr>
          <w:rFonts w:ascii="Calibri" w:cs="Calibri" w:eastAsia="Calibri" w:hAnsi="Calibri"/>
          <w:sz w:val="15"/>
          <w:szCs w:val="15"/>
          <w:color w:val="auto"/>
        </w:rPr>
        <w:t>For the years ended December 31, 2023, 2022, and 2021, revenue by geographical region is as follows:</w:t>
      </w:r>
    </w:p>
    <w:p>
      <w:pPr>
        <w:spacing w:after="0" w:line="386" w:lineRule="exact"/>
        <w:rPr>
          <w:sz w:val="20"/>
          <w:szCs w:val="20"/>
          <w:color w:val="auto"/>
        </w:rPr>
      </w:pPr>
    </w:p>
    <w:tbl>
      <w:tblPr>
        <w:tblLayout w:type="fixed"/>
        <w:tblInd w:w="560" w:type="dxa"/>
        <w:tblCellMar>
          <w:top w:w="0" w:type="dxa"/>
          <w:left w:w="0" w:type="dxa"/>
          <w:bottom w:w="0" w:type="dxa"/>
          <w:right w:w="0" w:type="dxa"/>
        </w:tblCellMar>
      </w:tblPr>
      <w:tr>
        <w:trPr>
          <w:trHeight w:val="146"/>
        </w:trPr>
        <w:tc>
          <w:tcPr>
            <w:tcW w:w="5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700" w:type="dxa"/>
            <w:vAlign w:val="bottom"/>
            <w:gridSpan w:val="4"/>
          </w:tcPr>
          <w:p>
            <w:pPr>
              <w:ind w:left="200"/>
              <w:spacing w:after="0"/>
              <w:rPr>
                <w:sz w:val="20"/>
                <w:szCs w:val="20"/>
                <w:color w:val="auto"/>
              </w:rPr>
            </w:pPr>
            <w:r>
              <w:rPr>
                <w:rFonts w:ascii="Calibri" w:cs="Calibri" w:eastAsia="Calibri" w:hAnsi="Calibri"/>
                <w:sz w:val="12"/>
                <w:szCs w:val="12"/>
                <w:b w:val="1"/>
                <w:bCs w:val="1"/>
                <w:color w:val="auto"/>
              </w:rPr>
              <w:t>Year Ended December 31,</w:t>
            </w: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8"/>
        </w:trPr>
        <w:tc>
          <w:tcPr>
            <w:tcW w:w="59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37"/>
        </w:trPr>
        <w:tc>
          <w:tcPr>
            <w:tcW w:w="59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jc w:val="right"/>
              <w:ind w:right="407"/>
              <w:spacing w:after="0" w:line="138" w:lineRule="exact"/>
              <w:rPr>
                <w:sz w:val="20"/>
                <w:szCs w:val="20"/>
                <w:color w:val="auto"/>
              </w:rPr>
            </w:pPr>
            <w:r>
              <w:rPr>
                <w:rFonts w:ascii="Calibri" w:cs="Calibri" w:eastAsia="Calibri" w:hAnsi="Calibri"/>
                <w:sz w:val="12"/>
                <w:szCs w:val="12"/>
                <w:b w:val="1"/>
                <w:bCs w:val="1"/>
                <w:color w:val="auto"/>
              </w:rPr>
              <w:t>2023</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tcPr>
          <w:p>
            <w:pPr>
              <w:jc w:val="right"/>
              <w:ind w:right="387"/>
              <w:spacing w:after="0" w:line="138" w:lineRule="exact"/>
              <w:rPr>
                <w:sz w:val="20"/>
                <w:szCs w:val="20"/>
                <w:color w:val="auto"/>
              </w:rPr>
            </w:pPr>
            <w:r>
              <w:rPr>
                <w:rFonts w:ascii="Calibri" w:cs="Calibri" w:eastAsia="Calibri" w:hAnsi="Calibri"/>
                <w:sz w:val="12"/>
                <w:szCs w:val="12"/>
                <w:b w:val="1"/>
                <w:bCs w:val="1"/>
                <w:color w:val="auto"/>
              </w:rPr>
              <w:t>2022</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jc w:val="right"/>
              <w:ind w:right="387"/>
              <w:spacing w:after="0" w:line="138" w:lineRule="exact"/>
              <w:rPr>
                <w:sz w:val="20"/>
                <w:szCs w:val="20"/>
                <w:color w:val="auto"/>
              </w:rPr>
            </w:pPr>
            <w:r>
              <w:rPr>
                <w:rFonts w:ascii="Calibri" w:cs="Calibri" w:eastAsia="Calibri" w:hAnsi="Calibri"/>
                <w:sz w:val="12"/>
                <w:szCs w:val="12"/>
                <w:b w:val="1"/>
                <w:bCs w:val="1"/>
                <w:color w:val="auto"/>
              </w:rPr>
              <w:t>2021</w:t>
            </w:r>
          </w:p>
        </w:tc>
        <w:tc>
          <w:tcPr>
            <w:tcW w:w="100" w:type="dxa"/>
            <w:vAlign w:val="bottom"/>
          </w:tcPr>
          <w:p>
            <w:pPr>
              <w:spacing w:after="0"/>
              <w:rPr>
                <w:sz w:val="11"/>
                <w:szCs w:val="11"/>
                <w:color w:val="auto"/>
              </w:rPr>
            </w:pPr>
          </w:p>
        </w:tc>
      </w:tr>
      <w:tr>
        <w:trPr>
          <w:trHeight w:val="27"/>
        </w:trPr>
        <w:tc>
          <w:tcPr>
            <w:tcW w:w="59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79"/>
        </w:trPr>
        <w:tc>
          <w:tcPr>
            <w:tcW w:w="5960" w:type="dxa"/>
            <w:vAlign w:val="bottom"/>
            <w:tcBorders>
              <w:bottom w:val="single" w:sz="8" w:color="CFF0FC"/>
            </w:tcBorders>
            <w:shd w:val="clear" w:color="auto" w:fill="CFF0FC"/>
          </w:tcPr>
          <w:p>
            <w:pPr>
              <w:spacing w:after="0" w:line="174" w:lineRule="exact"/>
              <w:rPr>
                <w:sz w:val="20"/>
                <w:szCs w:val="20"/>
                <w:color w:val="auto"/>
              </w:rPr>
            </w:pPr>
            <w:r>
              <w:rPr>
                <w:rFonts w:ascii="Calibri" w:cs="Calibri" w:eastAsia="Calibri" w:hAnsi="Calibri"/>
                <w:sz w:val="15"/>
                <w:szCs w:val="15"/>
                <w:i w:val="1"/>
                <w:iCs w:val="1"/>
                <w:color w:val="auto"/>
              </w:rPr>
              <w:t>Revenue by Geographic Region:</w:t>
            </w:r>
          </w:p>
        </w:tc>
        <w:tc>
          <w:tcPr>
            <w:tcW w:w="28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r>
      <w:tr>
        <w:trPr>
          <w:trHeight w:val="183"/>
        </w:trPr>
        <w:tc>
          <w:tcPr>
            <w:tcW w:w="5960" w:type="dxa"/>
            <w:vAlign w:val="bottom"/>
          </w:tcPr>
          <w:p>
            <w:pPr>
              <w:ind w:left="160"/>
              <w:spacing w:after="0"/>
              <w:rPr>
                <w:sz w:val="20"/>
                <w:szCs w:val="20"/>
                <w:color w:val="auto"/>
              </w:rPr>
            </w:pPr>
            <w:r>
              <w:rPr>
                <w:rFonts w:ascii="Calibri" w:cs="Calibri" w:eastAsia="Calibri" w:hAnsi="Calibri"/>
                <w:sz w:val="15"/>
                <w:szCs w:val="15"/>
                <w:color w:val="auto"/>
              </w:rPr>
              <w:t>United States</w:t>
            </w:r>
          </w:p>
        </w:tc>
        <w:tc>
          <w:tcPr>
            <w:tcW w:w="280" w:type="dxa"/>
            <w:vAlign w:val="bottom"/>
          </w:tcPr>
          <w:p>
            <w:pPr>
              <w:jc w:val="right"/>
              <w:ind w:right="103"/>
              <w:spacing w:after="0"/>
              <w:rPr>
                <w:sz w:val="20"/>
                <w:szCs w:val="20"/>
                <w:color w:val="auto"/>
              </w:rPr>
            </w:pPr>
            <w:r>
              <w:rPr>
                <w:rFonts w:ascii="Calibri" w:cs="Calibri" w:eastAsia="Calibri" w:hAnsi="Calibri"/>
                <w:sz w:val="15"/>
                <w:szCs w:val="15"/>
                <w:color w:val="auto"/>
              </w:rPr>
              <w:t>$</w:t>
            </w:r>
          </w:p>
        </w:tc>
        <w:tc>
          <w:tcPr>
            <w:tcW w:w="920" w:type="dxa"/>
            <w:vAlign w:val="bottom"/>
          </w:tcPr>
          <w:p>
            <w:pPr>
              <w:jc w:val="right"/>
              <w:spacing w:after="0"/>
              <w:rPr>
                <w:sz w:val="20"/>
                <w:szCs w:val="20"/>
                <w:color w:val="auto"/>
              </w:rPr>
            </w:pPr>
            <w:r>
              <w:rPr>
                <w:rFonts w:ascii="Calibri" w:cs="Calibri" w:eastAsia="Calibri" w:hAnsi="Calibri"/>
                <w:sz w:val="15"/>
                <w:szCs w:val="15"/>
                <w:color w:val="auto"/>
              </w:rPr>
              <w:t>863,289</w:t>
            </w:r>
          </w:p>
        </w:tc>
        <w:tc>
          <w:tcPr>
            <w:tcW w:w="560" w:type="dxa"/>
            <w:vAlign w:val="bottom"/>
            <w:gridSpan w:val="2"/>
          </w:tcPr>
          <w:p>
            <w:pPr>
              <w:jc w:val="right"/>
              <w:ind w:right="123"/>
              <w:spacing w:after="0"/>
              <w:rPr>
                <w:sz w:val="20"/>
                <w:szCs w:val="20"/>
                <w:color w:val="auto"/>
              </w:rPr>
            </w:pPr>
            <w:r>
              <w:rPr>
                <w:rFonts w:ascii="Calibri" w:cs="Calibri" w:eastAsia="Calibri" w:hAnsi="Calibri"/>
                <w:sz w:val="15"/>
                <w:szCs w:val="15"/>
                <w:color w:val="auto"/>
              </w:rPr>
              <w:t>$</w:t>
            </w:r>
          </w:p>
        </w:tc>
        <w:tc>
          <w:tcPr>
            <w:tcW w:w="900" w:type="dxa"/>
            <w:vAlign w:val="bottom"/>
          </w:tcPr>
          <w:p>
            <w:pPr>
              <w:jc w:val="right"/>
              <w:spacing w:after="0"/>
              <w:rPr>
                <w:sz w:val="20"/>
                <w:szCs w:val="20"/>
                <w:color w:val="auto"/>
              </w:rPr>
            </w:pPr>
            <w:r>
              <w:rPr>
                <w:rFonts w:ascii="Calibri" w:cs="Calibri" w:eastAsia="Calibri" w:hAnsi="Calibri"/>
                <w:sz w:val="15"/>
                <w:szCs w:val="15"/>
                <w:color w:val="auto"/>
              </w:rPr>
              <w:t>1,610,400</w:t>
            </w:r>
          </w:p>
        </w:tc>
        <w:tc>
          <w:tcPr>
            <w:tcW w:w="240" w:type="dxa"/>
            <w:vAlign w:val="bottom"/>
          </w:tcPr>
          <w:p>
            <w:pPr>
              <w:spacing w:after="0"/>
              <w:rPr>
                <w:sz w:val="15"/>
                <w:szCs w:val="15"/>
                <w:color w:val="auto"/>
              </w:rPr>
            </w:pPr>
          </w:p>
        </w:tc>
        <w:tc>
          <w:tcPr>
            <w:tcW w:w="280" w:type="dxa"/>
            <w:vAlign w:val="bottom"/>
          </w:tcPr>
          <w:p>
            <w:pPr>
              <w:jc w:val="right"/>
              <w:ind w:right="103"/>
              <w:spacing w:after="0"/>
              <w:rPr>
                <w:sz w:val="20"/>
                <w:szCs w:val="20"/>
                <w:color w:val="auto"/>
              </w:rPr>
            </w:pPr>
            <w:r>
              <w:rPr>
                <w:rFonts w:ascii="Calibri" w:cs="Calibri" w:eastAsia="Calibri" w:hAnsi="Calibri"/>
                <w:sz w:val="15"/>
                <w:szCs w:val="15"/>
                <w:color w:val="auto"/>
              </w:rPr>
              <w:t>$</w:t>
            </w:r>
          </w:p>
        </w:tc>
        <w:tc>
          <w:tcPr>
            <w:tcW w:w="900" w:type="dxa"/>
            <w:vAlign w:val="bottom"/>
          </w:tcPr>
          <w:p>
            <w:pPr>
              <w:jc w:val="right"/>
              <w:spacing w:after="0"/>
              <w:rPr>
                <w:sz w:val="20"/>
                <w:szCs w:val="20"/>
                <w:color w:val="auto"/>
              </w:rPr>
            </w:pPr>
            <w:r>
              <w:rPr>
                <w:rFonts w:ascii="Calibri" w:cs="Calibri" w:eastAsia="Calibri" w:hAnsi="Calibri"/>
                <w:sz w:val="15"/>
                <w:szCs w:val="15"/>
                <w:color w:val="auto"/>
              </w:rPr>
              <w:t>909,033</w:t>
            </w:r>
          </w:p>
        </w:tc>
        <w:tc>
          <w:tcPr>
            <w:tcW w:w="100" w:type="dxa"/>
            <w:vAlign w:val="bottom"/>
          </w:tcPr>
          <w:p>
            <w:pPr>
              <w:spacing w:after="0"/>
              <w:rPr>
                <w:sz w:val="15"/>
                <w:szCs w:val="15"/>
                <w:color w:val="auto"/>
              </w:rPr>
            </w:pPr>
          </w:p>
        </w:tc>
      </w:tr>
      <w:tr>
        <w:trPr>
          <w:trHeight w:val="24"/>
        </w:trPr>
        <w:tc>
          <w:tcPr>
            <w:tcW w:w="5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2"/>
        </w:trPr>
        <w:tc>
          <w:tcPr>
            <w:tcW w:w="5960" w:type="dxa"/>
            <w:vAlign w:val="bottom"/>
            <w:tcBorders>
              <w:bottom w:val="single" w:sz="8" w:color="CFF0FC"/>
            </w:tcBorders>
            <w:shd w:val="clear" w:color="auto" w:fill="CFF0FC"/>
          </w:tcPr>
          <w:p>
            <w:pPr>
              <w:ind w:left="160"/>
              <w:spacing w:after="0"/>
              <w:rPr>
                <w:sz w:val="20"/>
                <w:szCs w:val="20"/>
                <w:color w:val="auto"/>
              </w:rPr>
            </w:pPr>
            <w:r>
              <w:rPr>
                <w:rFonts w:ascii="Calibri" w:cs="Calibri" w:eastAsia="Calibri" w:hAnsi="Calibri"/>
                <w:sz w:val="15"/>
                <w:szCs w:val="15"/>
                <w:color w:val="auto"/>
              </w:rPr>
              <w:t>Internatonal</w:t>
            </w:r>
          </w:p>
        </w:tc>
        <w:tc>
          <w:tcPr>
            <w:tcW w:w="28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50,953</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44,635</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5"/>
                <w:szCs w:val="15"/>
                <w:color w:val="auto"/>
              </w:rPr>
              <w:t>42,340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75"/>
        </w:trPr>
        <w:tc>
          <w:tcPr>
            <w:tcW w:w="5960" w:type="dxa"/>
            <w:vAlign w:val="bottom"/>
            <w:tcBorders>
              <w:top w:val="single" w:sz="8" w:color="CFF0FC"/>
            </w:tcBorders>
          </w:tcPr>
          <w:p>
            <w:pPr>
              <w:ind w:left="320"/>
              <w:spacing w:after="0" w:line="174" w:lineRule="exact"/>
              <w:rPr>
                <w:sz w:val="20"/>
                <w:szCs w:val="20"/>
                <w:color w:val="auto"/>
              </w:rPr>
            </w:pPr>
            <w:r>
              <w:rPr>
                <w:rFonts w:ascii="Calibri" w:cs="Calibri" w:eastAsia="Calibri" w:hAnsi="Calibri"/>
                <w:sz w:val="15"/>
                <w:szCs w:val="15"/>
                <w:color w:val="auto"/>
              </w:rPr>
              <w:t>Total</w:t>
            </w:r>
          </w:p>
        </w:tc>
        <w:tc>
          <w:tcPr>
            <w:tcW w:w="280" w:type="dxa"/>
            <w:vAlign w:val="bottom"/>
            <w:tcBorders>
              <w:top w:val="single" w:sz="8" w:color="auto"/>
            </w:tcBorders>
          </w:tcPr>
          <w:p>
            <w:pPr>
              <w:jc w:val="right"/>
              <w:ind w:right="103"/>
              <w:spacing w:after="0" w:line="174" w:lineRule="exact"/>
              <w:rPr>
                <w:sz w:val="20"/>
                <w:szCs w:val="20"/>
                <w:color w:val="auto"/>
              </w:rPr>
            </w:pPr>
            <w:r>
              <w:rPr>
                <w:rFonts w:ascii="Calibri" w:cs="Calibri" w:eastAsia="Calibri" w:hAnsi="Calibri"/>
                <w:sz w:val="15"/>
                <w:szCs w:val="15"/>
                <w:color w:val="auto"/>
              </w:rPr>
              <w:t>$</w:t>
            </w:r>
          </w:p>
        </w:tc>
        <w:tc>
          <w:tcPr>
            <w:tcW w:w="920" w:type="dxa"/>
            <w:vAlign w:val="bottom"/>
            <w:tcBorders>
              <w:top w:val="single" w:sz="8" w:color="auto"/>
            </w:tcBorders>
          </w:tcPr>
          <w:p>
            <w:pPr>
              <w:jc w:val="right"/>
              <w:spacing w:after="0" w:line="174" w:lineRule="exact"/>
              <w:rPr>
                <w:sz w:val="20"/>
                <w:szCs w:val="20"/>
                <w:color w:val="auto"/>
              </w:rPr>
            </w:pPr>
            <w:r>
              <w:rPr>
                <w:rFonts w:ascii="Calibri" w:cs="Calibri" w:eastAsia="Calibri" w:hAnsi="Calibri"/>
                <w:sz w:val="15"/>
                <w:szCs w:val="15"/>
                <w:color w:val="auto"/>
              </w:rPr>
              <w:t>914,242</w:t>
            </w:r>
          </w:p>
        </w:tc>
        <w:tc>
          <w:tcPr>
            <w:tcW w:w="260" w:type="dxa"/>
            <w:vAlign w:val="bottom"/>
            <w:tcBorders>
              <w:top w:val="single" w:sz="8" w:color="CFF0FC"/>
            </w:tcBorders>
          </w:tcPr>
          <w:p>
            <w:pPr>
              <w:spacing w:after="0"/>
              <w:rPr>
                <w:sz w:val="15"/>
                <w:szCs w:val="15"/>
                <w:color w:val="auto"/>
              </w:rPr>
            </w:pPr>
          </w:p>
        </w:tc>
        <w:tc>
          <w:tcPr>
            <w:tcW w:w="300" w:type="dxa"/>
            <w:vAlign w:val="bottom"/>
            <w:tcBorders>
              <w:top w:val="single" w:sz="8" w:color="auto"/>
            </w:tcBorders>
          </w:tcPr>
          <w:p>
            <w:pPr>
              <w:jc w:val="right"/>
              <w:ind w:right="123"/>
              <w:spacing w:after="0" w:line="174" w:lineRule="exact"/>
              <w:rPr>
                <w:sz w:val="20"/>
                <w:szCs w:val="20"/>
                <w:color w:val="auto"/>
              </w:rPr>
            </w:pPr>
            <w:r>
              <w:rPr>
                <w:rFonts w:ascii="Calibri" w:cs="Calibri" w:eastAsia="Calibri" w:hAnsi="Calibri"/>
                <w:sz w:val="15"/>
                <w:szCs w:val="15"/>
                <w:color w:val="auto"/>
              </w:rPr>
              <w:t>$</w:t>
            </w:r>
          </w:p>
        </w:tc>
        <w:tc>
          <w:tcPr>
            <w:tcW w:w="900" w:type="dxa"/>
            <w:vAlign w:val="bottom"/>
            <w:tcBorders>
              <w:top w:val="single" w:sz="8" w:color="auto"/>
            </w:tcBorders>
          </w:tcPr>
          <w:p>
            <w:pPr>
              <w:jc w:val="right"/>
              <w:spacing w:after="0" w:line="174" w:lineRule="exact"/>
              <w:rPr>
                <w:sz w:val="20"/>
                <w:szCs w:val="20"/>
                <w:color w:val="auto"/>
              </w:rPr>
            </w:pPr>
            <w:r>
              <w:rPr>
                <w:rFonts w:ascii="Calibri" w:cs="Calibri" w:eastAsia="Calibri" w:hAnsi="Calibri"/>
                <w:sz w:val="15"/>
                <w:szCs w:val="15"/>
                <w:color w:val="auto"/>
              </w:rPr>
              <w:t>1,655,035</w:t>
            </w:r>
          </w:p>
        </w:tc>
        <w:tc>
          <w:tcPr>
            <w:tcW w:w="240" w:type="dxa"/>
            <w:vAlign w:val="bottom"/>
            <w:tcBorders>
              <w:top w:val="single" w:sz="8" w:color="CFF0FC"/>
            </w:tcBorders>
          </w:tcPr>
          <w:p>
            <w:pPr>
              <w:spacing w:after="0"/>
              <w:rPr>
                <w:sz w:val="15"/>
                <w:szCs w:val="15"/>
                <w:color w:val="auto"/>
              </w:rPr>
            </w:pPr>
          </w:p>
        </w:tc>
        <w:tc>
          <w:tcPr>
            <w:tcW w:w="280" w:type="dxa"/>
            <w:vAlign w:val="bottom"/>
            <w:tcBorders>
              <w:top w:val="single" w:sz="8" w:color="auto"/>
            </w:tcBorders>
          </w:tcPr>
          <w:p>
            <w:pPr>
              <w:jc w:val="right"/>
              <w:ind w:right="103"/>
              <w:spacing w:after="0" w:line="174" w:lineRule="exact"/>
              <w:rPr>
                <w:sz w:val="20"/>
                <w:szCs w:val="20"/>
                <w:color w:val="auto"/>
              </w:rPr>
            </w:pPr>
            <w:r>
              <w:rPr>
                <w:rFonts w:ascii="Calibri" w:cs="Calibri" w:eastAsia="Calibri" w:hAnsi="Calibri"/>
                <w:sz w:val="15"/>
                <w:szCs w:val="15"/>
                <w:color w:val="auto"/>
              </w:rPr>
              <w:t>$</w:t>
            </w:r>
          </w:p>
        </w:tc>
        <w:tc>
          <w:tcPr>
            <w:tcW w:w="900" w:type="dxa"/>
            <w:vAlign w:val="bottom"/>
            <w:tcBorders>
              <w:top w:val="single" w:sz="8" w:color="auto"/>
            </w:tcBorders>
          </w:tcPr>
          <w:p>
            <w:pPr>
              <w:jc w:val="right"/>
              <w:spacing w:after="0" w:line="174" w:lineRule="exact"/>
              <w:rPr>
                <w:sz w:val="20"/>
                <w:szCs w:val="20"/>
                <w:color w:val="auto"/>
              </w:rPr>
            </w:pPr>
            <w:r>
              <w:rPr>
                <w:rFonts w:ascii="Calibri" w:cs="Calibri" w:eastAsia="Calibri" w:hAnsi="Calibri"/>
                <w:sz w:val="15"/>
                <w:szCs w:val="15"/>
                <w:color w:val="auto"/>
              </w:rPr>
              <w:t>951,373</w:t>
            </w:r>
          </w:p>
        </w:tc>
        <w:tc>
          <w:tcPr>
            <w:tcW w:w="100" w:type="dxa"/>
            <w:vAlign w:val="bottom"/>
            <w:tcBorders>
              <w:top w:val="single" w:sz="8" w:color="CFF0FC"/>
            </w:tcBorders>
          </w:tcPr>
          <w:p>
            <w:pPr>
              <w:spacing w:after="0"/>
              <w:rPr>
                <w:sz w:val="15"/>
                <w:szCs w:val="15"/>
                <w:color w:val="auto"/>
              </w:rPr>
            </w:pPr>
          </w:p>
        </w:tc>
      </w:tr>
      <w:tr>
        <w:trPr>
          <w:trHeight w:val="24"/>
        </w:trPr>
        <w:tc>
          <w:tcPr>
            <w:tcW w:w="59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
        </w:trPr>
        <w:tc>
          <w:tcPr>
            <w:tcW w:w="5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4904740</wp:posOffset>
            </wp:positionH>
            <wp:positionV relativeFrom="paragraph">
              <wp:posOffset>-160020</wp:posOffset>
            </wp:positionV>
            <wp:extent cx="66040" cy="762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6040" cy="7620"/>
                    </a:xfrm>
                    <a:prstGeom prst="rect">
                      <a:avLst/>
                    </a:prstGeom>
                    <a:noFill/>
                  </pic:spPr>
                </pic:pic>
              </a:graphicData>
            </a:graphic>
          </wp:anchor>
        </w:drawing>
        <w:drawing>
          <wp:anchor simplePos="0" relativeHeight="251657728" behindDoc="1" locked="0" layoutInCell="0" allowOverlap="1">
            <wp:simplePos x="0" y="0"/>
            <wp:positionH relativeFrom="column">
              <wp:posOffset>5832475</wp:posOffset>
            </wp:positionH>
            <wp:positionV relativeFrom="paragraph">
              <wp:posOffset>-160020</wp:posOffset>
            </wp:positionV>
            <wp:extent cx="58420" cy="762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58420" cy="7620"/>
                    </a:xfrm>
                    <a:prstGeom prst="rect">
                      <a:avLst/>
                    </a:prstGeom>
                    <a:noFill/>
                  </pic:spPr>
                </pic:pic>
              </a:graphicData>
            </a:graphic>
          </wp:anchor>
        </w:drawing>
        <w:drawing>
          <wp:anchor simplePos="0" relativeHeight="251657728" behindDoc="1" locked="0" layoutInCell="0" allowOverlap="1">
            <wp:simplePos x="0" y="0"/>
            <wp:positionH relativeFrom="column">
              <wp:posOffset>6731000</wp:posOffset>
            </wp:positionH>
            <wp:positionV relativeFrom="paragraph">
              <wp:posOffset>-160020</wp:posOffset>
            </wp:positionV>
            <wp:extent cx="58420" cy="762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58420" cy="7620"/>
                    </a:xfrm>
                    <a:prstGeom prst="rect">
                      <a:avLst/>
                    </a:prstGeom>
                    <a:noFill/>
                  </pic:spPr>
                </pic:pic>
              </a:graphicData>
            </a:graphic>
          </wp:anchor>
        </w:drawing>
      </w:r>
    </w:p>
    <w:p>
      <w:pPr>
        <w:spacing w:after="0" w:line="146" w:lineRule="exact"/>
        <w:rPr>
          <w:sz w:val="20"/>
          <w:szCs w:val="20"/>
          <w:color w:val="auto"/>
        </w:rPr>
      </w:pPr>
    </w:p>
    <w:p>
      <w:pPr>
        <w:ind w:left="500"/>
        <w:spacing w:after="0"/>
        <w:rPr>
          <w:sz w:val="20"/>
          <w:szCs w:val="20"/>
          <w:color w:val="auto"/>
        </w:rPr>
      </w:pPr>
      <w:r>
        <w:rPr>
          <w:rFonts w:ascii="Calibri" w:cs="Calibri" w:eastAsia="Calibri" w:hAnsi="Calibri"/>
          <w:sz w:val="15"/>
          <w:szCs w:val="15"/>
          <w:color w:val="212529"/>
        </w:rPr>
        <w:t>As of December 31, 2023, 2022, and 2021, long-lived assets outside of the U.S. were immaterial.</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b w:val="1"/>
          <w:bCs w:val="1"/>
          <w:color w:val="auto"/>
        </w:rPr>
        <w:t>15. Employee Beneft Plans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The Company maintains a defned contributon savings plan for all eligible U.S. employees under Secton 401(k) of the Internal Revenue Code. For the year ended December 31, 2023 and 2022, the Company updated its matching policy, under which the Company matches 50% of an employee’s annual contributons to the 401(k) plan, up to a maximum of 8% of the employee’s base salary, bonus, and commissions paid during the year. For the year ended December 31, 2021, the Company matched 50% of an employee’s annual contributons to the 401(k) plan, up to a maximum of the lesser of (i) 6% of the employee’s base salary, bonus, and commissions paid during the year or (ii) $5,000. Matching contributons are subject to vestng based on the employee’s start date and length of service. Employees can designate the investment of their 401(k) accounts into several mutual funds. The Company does not allow investment in its common stock through the 401(k) plan.</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The Company's subsidiary, CarOfer, maintains its own defned contributon savings plan for all eligible U.S. employees under Secton 401(k) of the Internal Revenue Code. For the year ended December 31, 2023 and 2022, CarOfer matched 50% of a CarOfer employee’s annual contributons to the 401(k) plan, up to a maximum of the lesser of (i) 6% of the CarOfer employee’s base salary, bonus, and commissions paid during the year or (ii) $5,000. Matching contributons are subject to vestng based on the CarOfer employee’s start date and length of service. CarOfer employees can designate the investment of their 401(k) accounts into several mutual funds. For the year ended December 31, 2021, CarOfer did not have a defned contributon savings plan.</w:t>
      </w:r>
    </w:p>
    <w:p>
      <w:pPr>
        <w:spacing w:after="0" w:line="185" w:lineRule="exact"/>
        <w:rPr>
          <w:sz w:val="20"/>
          <w:szCs w:val="20"/>
          <w:color w:val="auto"/>
        </w:rPr>
      </w:pPr>
    </w:p>
    <w:p>
      <w:pPr>
        <w:ind w:left="500"/>
        <w:spacing w:after="0"/>
        <w:rPr>
          <w:sz w:val="20"/>
          <w:szCs w:val="20"/>
          <w:color w:val="auto"/>
        </w:rPr>
      </w:pPr>
      <w:r>
        <w:rPr>
          <w:rFonts w:ascii="Calibri" w:cs="Calibri" w:eastAsia="Calibri" w:hAnsi="Calibri"/>
          <w:sz w:val="15"/>
          <w:szCs w:val="15"/>
          <w:color w:val="auto"/>
        </w:rPr>
        <w:t>For the years ended December 31, 2023, 2022, and 2021, total employer contributons to the 401(k) plan were $6,575, $5,498, and $2,960, respectvely.</w:t>
      </w:r>
    </w:p>
    <w:p>
      <w:pPr>
        <w:spacing w:after="0" w:line="185" w:lineRule="exact"/>
        <w:rPr>
          <w:sz w:val="20"/>
          <w:szCs w:val="20"/>
          <w:color w:val="auto"/>
        </w:rPr>
      </w:pPr>
    </w:p>
    <w:p>
      <w:pPr>
        <w:jc w:val="center"/>
        <w:spacing w:after="0"/>
        <w:rPr>
          <w:sz w:val="20"/>
          <w:szCs w:val="20"/>
          <w:color w:val="auto"/>
        </w:rPr>
      </w:pPr>
      <w:r>
        <w:rPr>
          <w:rFonts w:ascii="Calibri" w:cs="Calibri" w:eastAsia="Calibri" w:hAnsi="Calibri"/>
          <w:sz w:val="15"/>
          <w:szCs w:val="15"/>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408940</wp:posOffset>
            </wp:positionV>
            <wp:extent cx="7178040" cy="4000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3" w:right="319" w:bottom="1440" w:gutter="0" w:footer="0" w:header="0"/>
        </w:sectPr>
      </w:pPr>
    </w:p>
    <w:bookmarkStart w:id="133" w:name="page134"/>
    <w:bookmarkEnd w:id="133"/>
    <w:p>
      <w:pPr>
        <w:spacing w:after="0"/>
        <w:rPr>
          <w:sz w:val="20"/>
          <w:szCs w:val="20"/>
          <w:color w:val="auto"/>
        </w:rPr>
      </w:pPr>
      <w:r>
        <w:rPr>
          <w:rFonts w:ascii="Calibri" w:cs="Calibri" w:eastAsia="Calibri" w:hAnsi="Calibri"/>
          <w:sz w:val="15"/>
          <w:szCs w:val="15"/>
          <w:b w:val="1"/>
          <w:bCs w:val="1"/>
          <w:color w:val="auto"/>
        </w:rPr>
        <w:t>Item 9. Changes in and Disagreements with Accountants on Accountng and Financial Disclosure.</w:t>
      </w:r>
    </w:p>
    <w:p>
      <w:pPr>
        <w:spacing w:after="0" w:line="185" w:lineRule="exact"/>
        <w:rPr>
          <w:sz w:val="20"/>
          <w:szCs w:val="20"/>
          <w:color w:val="auto"/>
        </w:rPr>
      </w:pPr>
    </w:p>
    <w:p>
      <w:pPr>
        <w:ind w:left="500"/>
        <w:spacing w:after="0"/>
        <w:rPr>
          <w:sz w:val="20"/>
          <w:szCs w:val="20"/>
          <w:color w:val="auto"/>
        </w:rPr>
      </w:pPr>
      <w:r>
        <w:rPr>
          <w:rFonts w:ascii="Calibri" w:cs="Calibri" w:eastAsia="Calibri" w:hAnsi="Calibri"/>
          <w:sz w:val="15"/>
          <w:szCs w:val="15"/>
          <w:color w:val="auto"/>
        </w:rPr>
        <w:t>None.</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b w:val="1"/>
          <w:bCs w:val="1"/>
          <w:color w:val="auto"/>
        </w:rPr>
        <w:t>Item 9A. Controls and Procedures.</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b w:val="1"/>
          <w:bCs w:val="1"/>
          <w:color w:val="auto"/>
        </w:rPr>
        <w:t>Evaluaton of Disclosure Controls and Procedures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Our management, with the partcipaton of our Principal Executve Ofcer and Principal Financial Ofcer, has evaluated the efectveness of our disclosure controls and procedures (as defned in Rules 13a-15(e) and 15d-15(e) under the Exchange Act), as of the end of the period covered by this Annual Report.</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The term “disclosure controls and procedures,” as defned in Rules 13a-15(e) and 15d-15(e) under the Exchange Act, means controls and other procedures of a company that are designed to ensure that informaton required to be disclosed by a company in the reports that it fles or submits under the Exchange Act is recorded, processed, summarized, and reported, within the tme periods specifed in the SEC’s rules and forms. Disclosure controls and procedures include, without limitaton, controls and procedures designed to ensure that informaton required to be disclosed by a company in the reports that it fles or submits under the Exchange Act is accumulated and communicated to the company’s management, including its principal executve and principal fnancial ofcers, or persons performing similar functons, as appropriate to allow tmely decisions regarding required disclosure.</w:t>
      </w:r>
    </w:p>
    <w:p>
      <w:pPr>
        <w:spacing w:after="0" w:line="185" w:lineRule="exact"/>
        <w:rPr>
          <w:sz w:val="20"/>
          <w:szCs w:val="20"/>
          <w:color w:val="auto"/>
        </w:rPr>
      </w:pPr>
    </w:p>
    <w:p>
      <w:pPr>
        <w:jc w:val="both"/>
        <w:ind w:right="20" w:firstLine="511"/>
        <w:spacing w:after="0" w:line="241" w:lineRule="auto"/>
        <w:rPr>
          <w:sz w:val="20"/>
          <w:szCs w:val="20"/>
          <w:color w:val="auto"/>
        </w:rPr>
      </w:pPr>
      <w:r>
        <w:rPr>
          <w:rFonts w:ascii="Calibri" w:cs="Calibri" w:eastAsia="Calibri" w:hAnsi="Calibri"/>
          <w:sz w:val="15"/>
          <w:szCs w:val="15"/>
          <w:color w:val="auto"/>
        </w:rPr>
        <w:t>Management recognizes that any controls and procedures, no mater how well designed and operated, can provide only reasonable assurance of achieving their objectves and our management necessarily applies its judgment in evaluatng the cost-beneft relatonship of possible controls and procedures.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As described below, based on the evaluaton of our disclosure controls and procedures as of the end of the period covered by this Annual Report, management identfed a material weakness in our internal control over fnancial reportng. As a result of the material weakness, our Principal Executve Ofcer and Principal Financial Ofcer have concluded that, as of such date, our disclosure controls and procedures were not efectve to provide reasonable assurance that informaton required to be disclosed in the reports we fle and submit under the Exchange Act is recorded, processed, summarized, and reported as and when required.</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Notwithstanding this material weakness noted above, our management, including our Principal Executve Ofcer and Principal Financial Ofcer, has concluded that our fnancial statements included in this Annual Report present fairly, in all material respects, our fnancial positon, results of operatons, and cash fows for the periods presented in accordance with GAAP.</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b w:val="1"/>
          <w:bCs w:val="1"/>
          <w:color w:val="auto"/>
        </w:rPr>
        <w:t>Management’s Annual Report on Internal Control Over Financial Reportng</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Our management is responsible for establishing and maintaining adequate internal control over fnancial reportng as defned in Rule 13a-15(f) or 15d-15(f) of the Exchange Act. Internal control over fnancial reportng is a process designed to provide reasonable assurance regarding the reliability of fnancial reportng and the preparaton of fnancial statements for external purposes in accordance with GAAP, and includes those policies and procedures that:</w:t>
      </w:r>
    </w:p>
    <w:p>
      <w:pPr>
        <w:spacing w:after="0" w:line="196" w:lineRule="exact"/>
        <w:rPr>
          <w:sz w:val="20"/>
          <w:szCs w:val="20"/>
          <w:color w:val="auto"/>
        </w:rPr>
      </w:pPr>
    </w:p>
    <w:p>
      <w:pPr>
        <w:ind w:left="880" w:hanging="377"/>
        <w:spacing w:after="0"/>
        <w:tabs>
          <w:tab w:leader="none" w:pos="880" w:val="left"/>
        </w:tabs>
        <w:numPr>
          <w:ilvl w:val="0"/>
          <w:numId w:val="35"/>
        </w:numPr>
        <w:rPr>
          <w:rFonts w:ascii="Times New Roman" w:cs="Times New Roman" w:eastAsia="Times New Roman" w:hAnsi="Times New Roman"/>
          <w:sz w:val="15"/>
          <w:szCs w:val="15"/>
          <w:color w:val="auto"/>
        </w:rPr>
      </w:pPr>
      <w:r>
        <w:rPr>
          <w:rFonts w:ascii="Calibri" w:cs="Calibri" w:eastAsia="Calibri" w:hAnsi="Calibri"/>
          <w:sz w:val="15"/>
          <w:szCs w:val="15"/>
          <w:color w:val="auto"/>
        </w:rPr>
        <w:t>pertain to the maintenance of records that, in reasonable detail, accurately and fairly refect the transactons and dispositons of our assets;</w:t>
      </w:r>
    </w:p>
    <w:p>
      <w:pPr>
        <w:spacing w:after="0" w:line="196" w:lineRule="exact"/>
        <w:rPr>
          <w:rFonts w:ascii="Times New Roman" w:cs="Times New Roman" w:eastAsia="Times New Roman" w:hAnsi="Times New Roman"/>
          <w:sz w:val="15"/>
          <w:szCs w:val="15"/>
          <w:color w:val="auto"/>
        </w:rPr>
      </w:pPr>
    </w:p>
    <w:p>
      <w:pPr>
        <w:ind w:left="880" w:hanging="377"/>
        <w:spacing w:after="0" w:line="241" w:lineRule="auto"/>
        <w:tabs>
          <w:tab w:leader="none" w:pos="880" w:val="left"/>
        </w:tabs>
        <w:numPr>
          <w:ilvl w:val="0"/>
          <w:numId w:val="35"/>
        </w:numPr>
        <w:rPr>
          <w:rFonts w:ascii="Times New Roman" w:cs="Times New Roman" w:eastAsia="Times New Roman" w:hAnsi="Times New Roman"/>
          <w:sz w:val="15"/>
          <w:szCs w:val="15"/>
          <w:color w:val="auto"/>
        </w:rPr>
      </w:pPr>
      <w:r>
        <w:rPr>
          <w:rFonts w:ascii="Calibri" w:cs="Calibri" w:eastAsia="Calibri" w:hAnsi="Calibri"/>
          <w:sz w:val="15"/>
          <w:szCs w:val="15"/>
          <w:color w:val="auto"/>
        </w:rPr>
        <w:t>provide reasonable assurance that transactons are recorded as necessary to permit preparaton of fnancial statements in accordance with GAAP, and that our receipts and expenditures are being made only in accordance with authorizatons of our management and directors; and</w:t>
      </w:r>
    </w:p>
    <w:p>
      <w:pPr>
        <w:spacing w:after="0" w:line="196" w:lineRule="exact"/>
        <w:rPr>
          <w:rFonts w:ascii="Times New Roman" w:cs="Times New Roman" w:eastAsia="Times New Roman" w:hAnsi="Times New Roman"/>
          <w:sz w:val="15"/>
          <w:szCs w:val="15"/>
          <w:color w:val="auto"/>
        </w:rPr>
      </w:pPr>
    </w:p>
    <w:p>
      <w:pPr>
        <w:ind w:left="880" w:hanging="377"/>
        <w:spacing w:after="0" w:line="241" w:lineRule="auto"/>
        <w:tabs>
          <w:tab w:leader="none" w:pos="880" w:val="left"/>
        </w:tabs>
        <w:numPr>
          <w:ilvl w:val="0"/>
          <w:numId w:val="35"/>
        </w:numPr>
        <w:rPr>
          <w:rFonts w:ascii="Times New Roman" w:cs="Times New Roman" w:eastAsia="Times New Roman" w:hAnsi="Times New Roman"/>
          <w:sz w:val="15"/>
          <w:szCs w:val="15"/>
          <w:color w:val="auto"/>
        </w:rPr>
      </w:pPr>
      <w:r>
        <w:rPr>
          <w:rFonts w:ascii="Calibri" w:cs="Calibri" w:eastAsia="Calibri" w:hAnsi="Calibri"/>
          <w:sz w:val="15"/>
          <w:szCs w:val="15"/>
          <w:color w:val="auto"/>
        </w:rPr>
        <w:t>provide reasonable assurance regarding preventon or tmely detecton of unauthorized acquisiton, use, or dispositon of our assets that could have a material efect on our fnancial statements.</w:t>
      </w:r>
    </w:p>
    <w:p>
      <w:pPr>
        <w:spacing w:after="0" w:line="184" w:lineRule="exact"/>
        <w:rPr>
          <w:sz w:val="20"/>
          <w:szCs w:val="20"/>
          <w:color w:val="auto"/>
        </w:rPr>
      </w:pPr>
    </w:p>
    <w:p>
      <w:pPr>
        <w:jc w:val="center"/>
        <w:spacing w:after="0"/>
        <w:rPr>
          <w:sz w:val="20"/>
          <w:szCs w:val="20"/>
          <w:color w:val="auto"/>
        </w:rPr>
      </w:pPr>
      <w:r>
        <w:rPr>
          <w:rFonts w:ascii="Calibri" w:cs="Calibri" w:eastAsia="Calibri" w:hAnsi="Calibri"/>
          <w:sz w:val="15"/>
          <w:szCs w:val="15"/>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408940</wp:posOffset>
            </wp:positionV>
            <wp:extent cx="7178040" cy="4000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3" w:right="319" w:bottom="1440" w:gutter="0" w:footer="0" w:header="0"/>
        </w:sectPr>
      </w:pPr>
    </w:p>
    <w:bookmarkStart w:id="134" w:name="page135"/>
    <w:bookmarkEnd w:id="134"/>
    <w:p>
      <w:pPr>
        <w:jc w:val="both"/>
        <w:ind w:firstLine="511"/>
        <w:spacing w:after="0" w:line="241" w:lineRule="auto"/>
        <w:rPr>
          <w:sz w:val="20"/>
          <w:szCs w:val="20"/>
          <w:color w:val="auto"/>
        </w:rPr>
      </w:pPr>
      <w:r>
        <w:rPr>
          <w:rFonts w:ascii="Calibri" w:cs="Calibri" w:eastAsia="Calibri" w:hAnsi="Calibri"/>
          <w:sz w:val="15"/>
          <w:szCs w:val="15"/>
          <w:color w:val="auto"/>
        </w:rPr>
        <w:t>Because of its inherent limitatons, internal control over fnancial reportng may not prevent or detect misstatements. Also, projectons of any evaluaton of efectveness to future periods are subject to the risk that controls may become inadequate because of changes in conditons, or that the degree of compliance with the policies or procedures may deteriorate.</w:t>
      </w:r>
    </w:p>
    <w:p>
      <w:pPr>
        <w:spacing w:after="0" w:line="369"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Our management assessed the efectveness of our internal control over fnancial reportng as of December 31, 2023, using the criteria set forth by the Commitee of Sponsoring Organizatons of the Treadway Commission (COSO) in its Internal Control-Integrated Framework (2013).</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Based on this assessment and those criteria, management concluded that our internal control over fnancial reportng was not efectve as of December 31, 2023, due to the material weakness described below.</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A material weakness is a defciency, or a combinaton of defciencies, in internal control over fnancial reportng, such that there is a reasonable possibility that a material misstatement of a company’s annual or interim fnancial statements will not be prevented or detected on a tmely basis.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As of December 31, 2023, we have remediated the prior year design defciencies in the controls identfed at CarOfer associated with (i) management review and performance of control procedures, (ii) proper authorizaton of certain transactons, and (iii) logical access and change management of informaton technology, or IT, general controls, or IT General Controls; however, the operatonal defciencies from the prior year related to the operaton of IT General Controls around program change and logical access in certain IT systems remain unremediated. Therefore, we were not able to have consistent, efectve operaton of manual controls that rely on data produced by and maintained within these afected IT systems. As a result, we did not have efectve operaton of internal controls over fnancial reportng to address the risks of material misstatement of various fnancial statement accounts at December 31, 2023. Management has determined that the impact of the 2022 defciencies that remained unremediated in 2023 contnued to aggregate into a material weakness at December 31, 2023.</w:t>
      </w:r>
    </w:p>
    <w:p>
      <w:pPr>
        <w:spacing w:after="0" w:line="186"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This material weakness did not result in any material misstatements to the consolidated fnancial statements and there were no changes to previously released fnancial statements. Notwithstanding our material weakness, we have concluded that the fnancial statements and other fnancial informaton included in this Annual Report fairly present in all material respects our fnancial conditon, results of operatons, and cash fows for the periods presented in conformity with GAAP.</w:t>
      </w:r>
    </w:p>
    <w:p>
      <w:pPr>
        <w:spacing w:after="0" w:line="185" w:lineRule="exact"/>
        <w:rPr>
          <w:sz w:val="20"/>
          <w:szCs w:val="20"/>
          <w:color w:val="auto"/>
        </w:rPr>
      </w:pPr>
    </w:p>
    <w:p>
      <w:pPr>
        <w:ind w:left="500"/>
        <w:spacing w:after="0"/>
        <w:rPr>
          <w:sz w:val="20"/>
          <w:szCs w:val="20"/>
          <w:color w:val="auto"/>
        </w:rPr>
      </w:pPr>
      <w:r>
        <w:rPr>
          <w:rFonts w:ascii="Calibri" w:cs="Calibri" w:eastAsia="Calibri" w:hAnsi="Calibri"/>
          <w:sz w:val="15"/>
          <w:szCs w:val="15"/>
          <w:i w:val="1"/>
          <w:iCs w:val="1"/>
          <w:color w:val="auto"/>
        </w:rPr>
        <w:t>Remediaton Plan</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Following the identfcaton of the material weaknesses in our internal control over fnancial reportng as of December 31, 2022, and with the oversight of the Audit Commitee of our Board of Directors, we commenced remediaton eforts to address the material weaknesses and enhance our control environment, including our internal control over fnancial reportng. We have hired additonal personnel and third-party consultants with appropriate knowledge, experience, and/or training commensurate with our technical accountng and fnancial reportng requirements; however, the material weakness described above contnues to exist at December 31, 2023. As a result, we expect to contnue remediaton eforts during 2024. In additon, untl remediaton steps have been completed and are operated for a sufcient period of tme, and subsequent evaluaton of their efectveness is completed, the material weakness described above will contnue to exist. Our ongoing remediaton eforts are focused on contnued employee training related to internal control over fnancial reportng and confrming sustained operaton of efectvely designed control actvites, including IT General controls.</w:t>
      </w:r>
    </w:p>
    <w:p>
      <w:pPr>
        <w:spacing w:after="0" w:line="186"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Management is commited to successfully implementng the remediaton plan as promptly as possible. The elements of our remediaton plan can only be accomplished over tme, and we can ofer no assurance that these initatves will ultmately have the intended efects. See “Risk Factors—Risks Related to Our Business and Industry— We have identfed a material weakness in our internal control over fnancial reportng. If we are unable to remediate this material weakness, we may not be able to accurately or tmely report our fnancial conditon or results of operatons, which may adversely afect our business and the market price of our common stock.”</w:t>
      </w:r>
    </w:p>
    <w:p>
      <w:pPr>
        <w:spacing w:after="0" w:line="185" w:lineRule="exact"/>
        <w:rPr>
          <w:sz w:val="20"/>
          <w:szCs w:val="20"/>
          <w:color w:val="auto"/>
        </w:rPr>
      </w:pPr>
    </w:p>
    <w:p>
      <w:pPr>
        <w:jc w:val="center"/>
        <w:spacing w:after="0"/>
        <w:rPr>
          <w:sz w:val="20"/>
          <w:szCs w:val="20"/>
          <w:color w:val="auto"/>
        </w:rPr>
      </w:pPr>
      <w:r>
        <w:rPr>
          <w:rFonts w:ascii="Calibri" w:cs="Calibri" w:eastAsia="Calibri" w:hAnsi="Calibri"/>
          <w:sz w:val="15"/>
          <w:szCs w:val="15"/>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408940</wp:posOffset>
            </wp:positionV>
            <wp:extent cx="7178040" cy="4000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3" w:right="319" w:bottom="1440" w:gutter="0" w:footer="0" w:header="0"/>
        </w:sectPr>
      </w:pPr>
    </w:p>
    <w:bookmarkStart w:id="135" w:name="page136"/>
    <w:bookmarkEnd w:id="135"/>
    <w:p>
      <w:pPr>
        <w:jc w:val="both"/>
        <w:ind w:firstLine="511"/>
        <w:spacing w:after="0" w:line="241" w:lineRule="auto"/>
        <w:rPr>
          <w:sz w:val="20"/>
          <w:szCs w:val="20"/>
          <w:color w:val="auto"/>
        </w:rPr>
      </w:pPr>
      <w:r>
        <w:rPr>
          <w:rFonts w:ascii="Calibri" w:cs="Calibri" w:eastAsia="Calibri" w:hAnsi="Calibri"/>
          <w:sz w:val="15"/>
          <w:szCs w:val="15"/>
          <w:color w:val="auto"/>
        </w:rPr>
        <w:t>The efectveness of our internal control over fnancial reportng as of December 31, 2023, has been audited by Ernst &amp; Young LLP, an independent registered public accountng frm, as stated in their report which is included herein.</w:t>
      </w:r>
    </w:p>
    <w:p>
      <w:pPr>
        <w:spacing w:after="0" w:line="184" w:lineRule="exact"/>
        <w:rPr>
          <w:sz w:val="20"/>
          <w:szCs w:val="20"/>
          <w:color w:val="auto"/>
        </w:rPr>
      </w:pPr>
    </w:p>
    <w:p>
      <w:pPr>
        <w:spacing w:after="0"/>
        <w:rPr>
          <w:sz w:val="20"/>
          <w:szCs w:val="20"/>
          <w:color w:val="auto"/>
        </w:rPr>
      </w:pPr>
      <w:r>
        <w:rPr>
          <w:rFonts w:ascii="Calibri" w:cs="Calibri" w:eastAsia="Calibri" w:hAnsi="Calibri"/>
          <w:sz w:val="15"/>
          <w:szCs w:val="15"/>
          <w:b w:val="1"/>
          <w:bCs w:val="1"/>
          <w:color w:val="auto"/>
        </w:rPr>
        <w:t>Changes in Internal Control over Financial Reportng</w:t>
      </w:r>
    </w:p>
    <w:p>
      <w:pPr>
        <w:spacing w:after="0" w:line="93"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Except as otherwise noted above under “Remediaton Plan,” including the on-going remediaton eforts described, there were no changes in our internal control over fnancial reportng (as such term is defned in Exchange Act Rule 13a–15(f) and 15d-15(f)) during the fourth quarter ended December 31, 2023, that have materially afected, or are reasonably likely to materially afect, our internal control over fnancial reportng. Our plans for remediatng the material weakness, described above, will consttute changes in our internal control over fnancial reportng, prospectvely, when such remediaton plans are efectvely implemented.</w:t>
      </w:r>
    </w:p>
    <w:p>
      <w:pPr>
        <w:spacing w:after="0" w:line="369" w:lineRule="exact"/>
        <w:rPr>
          <w:sz w:val="20"/>
          <w:szCs w:val="20"/>
          <w:color w:val="auto"/>
        </w:rPr>
      </w:pPr>
    </w:p>
    <w:p>
      <w:pPr>
        <w:jc w:val="center"/>
        <w:spacing w:after="0"/>
        <w:rPr>
          <w:sz w:val="20"/>
          <w:szCs w:val="20"/>
          <w:color w:val="auto"/>
        </w:rPr>
      </w:pPr>
      <w:r>
        <w:rPr>
          <w:rFonts w:ascii="Calibri" w:cs="Calibri" w:eastAsia="Calibri" w:hAnsi="Calibri"/>
          <w:sz w:val="15"/>
          <w:szCs w:val="15"/>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408940</wp:posOffset>
            </wp:positionV>
            <wp:extent cx="7178040" cy="4000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4" w:right="319" w:bottom="1440" w:gutter="0" w:footer="0" w:header="0"/>
        </w:sectPr>
      </w:pPr>
    </w:p>
    <w:bookmarkStart w:id="136" w:name="page137"/>
    <w:bookmarkEnd w:id="136"/>
    <w:p>
      <w:pPr>
        <w:jc w:val="center"/>
        <w:spacing w:after="0"/>
        <w:rPr>
          <w:sz w:val="20"/>
          <w:szCs w:val="20"/>
          <w:color w:val="auto"/>
        </w:rPr>
      </w:pPr>
      <w:r>
        <w:rPr>
          <w:rFonts w:ascii="Calibri" w:cs="Calibri" w:eastAsia="Calibri" w:hAnsi="Calibri"/>
          <w:sz w:val="15"/>
          <w:szCs w:val="15"/>
          <w:b w:val="1"/>
          <w:bCs w:val="1"/>
          <w:color w:val="auto"/>
        </w:rPr>
        <w:t>Report of Independent Registered Public Accountng Firm</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color w:val="auto"/>
        </w:rPr>
        <w:t>To the Stockholders and the Board of Directors of CarGurus, Inc.</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b w:val="1"/>
          <w:bCs w:val="1"/>
          <w:color w:val="auto"/>
        </w:rPr>
        <w:t>Opinion on Internal Control Over Financial Reportng</w:t>
      </w:r>
    </w:p>
    <w:p>
      <w:pPr>
        <w:spacing w:after="0" w:line="185" w:lineRule="exact"/>
        <w:rPr>
          <w:sz w:val="20"/>
          <w:szCs w:val="20"/>
          <w:color w:val="auto"/>
        </w:rPr>
      </w:pPr>
    </w:p>
    <w:p>
      <w:pPr>
        <w:jc w:val="both"/>
        <w:spacing w:after="0" w:line="241" w:lineRule="auto"/>
        <w:rPr>
          <w:sz w:val="20"/>
          <w:szCs w:val="20"/>
          <w:color w:val="auto"/>
        </w:rPr>
      </w:pPr>
      <w:r>
        <w:rPr>
          <w:rFonts w:ascii="Calibri" w:cs="Calibri" w:eastAsia="Calibri" w:hAnsi="Calibri"/>
          <w:sz w:val="15"/>
          <w:szCs w:val="15"/>
          <w:color w:val="auto"/>
        </w:rPr>
        <w:t>We have audited CarGurus, Inc.’s internal control over fnancial reportng as of December 31, 2023, based on criteria established in Internal Control—Integrated Framework issued by the Commitee of Sponsoring Organizatons of the Treadway Commission (2013 framework) (the COSO criteria). In our opinion, because of the efect of the material weakness described below on the achievement of the objectves of the control criteria, CarGurus, Inc. (the Company) has not maintained efectve internal control over fnancial reportng as of December 31, 2023, based on the COSO criteria.</w:t>
      </w:r>
    </w:p>
    <w:p>
      <w:pPr>
        <w:spacing w:after="0" w:line="185" w:lineRule="exact"/>
        <w:rPr>
          <w:sz w:val="20"/>
          <w:szCs w:val="20"/>
          <w:color w:val="auto"/>
        </w:rPr>
      </w:pPr>
    </w:p>
    <w:p>
      <w:pPr>
        <w:jc w:val="both"/>
        <w:spacing w:after="0" w:line="241" w:lineRule="auto"/>
        <w:rPr>
          <w:sz w:val="20"/>
          <w:szCs w:val="20"/>
          <w:color w:val="auto"/>
        </w:rPr>
      </w:pPr>
      <w:r>
        <w:rPr>
          <w:rFonts w:ascii="Calibri" w:cs="Calibri" w:eastAsia="Calibri" w:hAnsi="Calibri"/>
          <w:sz w:val="15"/>
          <w:szCs w:val="15"/>
          <w:color w:val="auto"/>
        </w:rPr>
        <w:t>A material weakness is a defciency, or combinaton of defciencies, in internal control over fnancial reportng, such that there is a reasonable possibility that a material misstatement of the company’s annual or interim fnancial statements will not be prevented or detected on a tmely basis. The following material weakness has been identfed and included in management’s assessment. Defciencies over IT general controls over certain informaton technology systems at the CarOfer subsidiary resulted in the inability to have consistent, efectve operaton of manual business controls that rely on data produced by and maintained within these afected informaton technology systems, which in the aggregate consttute a material weakness.</w:t>
      </w:r>
    </w:p>
    <w:p>
      <w:pPr>
        <w:spacing w:after="0" w:line="185" w:lineRule="exact"/>
        <w:rPr>
          <w:sz w:val="20"/>
          <w:szCs w:val="20"/>
          <w:color w:val="auto"/>
        </w:rPr>
      </w:pPr>
    </w:p>
    <w:p>
      <w:pPr>
        <w:jc w:val="both"/>
        <w:spacing w:after="0" w:line="241" w:lineRule="auto"/>
        <w:rPr>
          <w:sz w:val="20"/>
          <w:szCs w:val="20"/>
          <w:color w:val="auto"/>
        </w:rPr>
      </w:pPr>
      <w:r>
        <w:rPr>
          <w:rFonts w:ascii="Calibri" w:cs="Calibri" w:eastAsia="Calibri" w:hAnsi="Calibri"/>
          <w:sz w:val="15"/>
          <w:szCs w:val="15"/>
          <w:color w:val="auto"/>
        </w:rPr>
        <w:t>We also have audited, in accordance with the standards of the Public Company Accountng Oversight Board (United States) (PCAOB), the 2023 consolidated fnancial statements of the Company. This material weakness was considered in determining the nature, tming and extent of audit tests applied in our audit of the 2023 consolidated fnancial statements, and this report does not afect our report dated February 26, 2024, which expressed an unqualifed opinion thereon.</w:t>
      </w:r>
    </w:p>
    <w:p>
      <w:pPr>
        <w:spacing w:after="0" w:line="185" w:lineRule="exact"/>
        <w:rPr>
          <w:sz w:val="20"/>
          <w:szCs w:val="20"/>
          <w:color w:val="auto"/>
        </w:rPr>
      </w:pPr>
    </w:p>
    <w:p>
      <w:pPr>
        <w:ind w:left="20"/>
        <w:spacing w:after="0"/>
        <w:rPr>
          <w:sz w:val="20"/>
          <w:szCs w:val="20"/>
          <w:color w:val="auto"/>
        </w:rPr>
      </w:pPr>
      <w:r>
        <w:rPr>
          <w:rFonts w:ascii="Calibri" w:cs="Calibri" w:eastAsia="Calibri" w:hAnsi="Calibri"/>
          <w:sz w:val="15"/>
          <w:szCs w:val="15"/>
          <w:b w:val="1"/>
          <w:bCs w:val="1"/>
          <w:color w:val="auto"/>
        </w:rPr>
        <w:t>Basis for Opinion</w:t>
      </w:r>
    </w:p>
    <w:p>
      <w:pPr>
        <w:spacing w:after="0" w:line="185" w:lineRule="exact"/>
        <w:rPr>
          <w:sz w:val="20"/>
          <w:szCs w:val="20"/>
          <w:color w:val="auto"/>
        </w:rPr>
      </w:pPr>
    </w:p>
    <w:p>
      <w:pPr>
        <w:jc w:val="both"/>
        <w:spacing w:after="0" w:line="241" w:lineRule="auto"/>
        <w:rPr>
          <w:sz w:val="20"/>
          <w:szCs w:val="20"/>
          <w:color w:val="auto"/>
        </w:rPr>
      </w:pPr>
      <w:r>
        <w:rPr>
          <w:rFonts w:ascii="Calibri" w:cs="Calibri" w:eastAsia="Calibri" w:hAnsi="Calibri"/>
          <w:sz w:val="15"/>
          <w:szCs w:val="15"/>
          <w:color w:val="auto"/>
        </w:rPr>
        <w:t>The Company’s management is responsible for maintaining efectve internal control over fnancial reportng and for its assessment of the efectveness of internal control over fnancial reportng included in the accompanying Management’s Annual Report on Internal Control Over Financial Reportng. Our responsibility is to express an opinion on the Company’s internal control over fnancial reportng based on our audit. We are a public accountng frm registered with the PCAOB and are required to be independent with respect to the Company in accordance with the U.S. federal securites laws and the applicable rules and regulatons of the Securites and Exchange Commission and the PCAOB.</w:t>
      </w:r>
    </w:p>
    <w:p>
      <w:pPr>
        <w:spacing w:after="0" w:line="185" w:lineRule="exact"/>
        <w:rPr>
          <w:sz w:val="20"/>
          <w:szCs w:val="20"/>
          <w:color w:val="auto"/>
        </w:rPr>
      </w:pPr>
    </w:p>
    <w:p>
      <w:pPr>
        <w:jc w:val="both"/>
        <w:ind w:right="20"/>
        <w:spacing w:after="0" w:line="241" w:lineRule="auto"/>
        <w:rPr>
          <w:sz w:val="20"/>
          <w:szCs w:val="20"/>
          <w:color w:val="auto"/>
        </w:rPr>
      </w:pPr>
      <w:r>
        <w:rPr>
          <w:rFonts w:ascii="Calibri" w:cs="Calibri" w:eastAsia="Calibri" w:hAnsi="Calibri"/>
          <w:sz w:val="15"/>
          <w:szCs w:val="15"/>
          <w:color w:val="auto"/>
        </w:rPr>
        <w:t>We conducted our audit in accordance with the standards of the PCAOB. Those standards require that we plan and perform the audit to obtain reasonable assurance about whether efectve internal control over fnancial reportng was maintained in all material respects.</w:t>
      </w:r>
    </w:p>
    <w:p>
      <w:pPr>
        <w:spacing w:after="0" w:line="185" w:lineRule="exact"/>
        <w:rPr>
          <w:sz w:val="20"/>
          <w:szCs w:val="20"/>
          <w:color w:val="auto"/>
        </w:rPr>
      </w:pPr>
    </w:p>
    <w:p>
      <w:pPr>
        <w:jc w:val="both"/>
        <w:spacing w:after="0" w:line="241" w:lineRule="auto"/>
        <w:rPr>
          <w:sz w:val="20"/>
          <w:szCs w:val="20"/>
          <w:color w:val="auto"/>
        </w:rPr>
      </w:pPr>
      <w:r>
        <w:rPr>
          <w:rFonts w:ascii="Calibri" w:cs="Calibri" w:eastAsia="Calibri" w:hAnsi="Calibri"/>
          <w:sz w:val="15"/>
          <w:szCs w:val="15"/>
          <w:color w:val="auto"/>
        </w:rPr>
        <w:t>Our audit included obtaining an understanding of internal control over fnancial reportng, assessing the risk that a material weakness exists, testng and evaluatng the design and operatng efectveness of internal control based on the assessed risk, and performing such other procedures as we considered necessary in the circumstances. We believe that our audit provides a reasonable basis for our opinion.</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b w:val="1"/>
          <w:bCs w:val="1"/>
          <w:color w:val="auto"/>
        </w:rPr>
        <w:t>Defniton and Limitatons of Internal Control Over Financial Reportng</w:t>
      </w:r>
    </w:p>
    <w:p>
      <w:pPr>
        <w:spacing w:after="0" w:line="185" w:lineRule="exact"/>
        <w:rPr>
          <w:sz w:val="20"/>
          <w:szCs w:val="20"/>
          <w:color w:val="auto"/>
        </w:rPr>
      </w:pPr>
    </w:p>
    <w:p>
      <w:pPr>
        <w:jc w:val="both"/>
        <w:spacing w:after="0" w:line="241" w:lineRule="auto"/>
        <w:rPr>
          <w:sz w:val="20"/>
          <w:szCs w:val="20"/>
          <w:color w:val="auto"/>
        </w:rPr>
      </w:pPr>
      <w:r>
        <w:rPr>
          <w:rFonts w:ascii="Calibri" w:cs="Calibri" w:eastAsia="Calibri" w:hAnsi="Calibri"/>
          <w:sz w:val="15"/>
          <w:szCs w:val="15"/>
          <w:color w:val="auto"/>
        </w:rPr>
        <w:t>A company’s internal control over fnancial reportng is a process designed to provide reasonable assurance regarding the reliability of fnancial reportng and the preparaton of fnancial statements for external purposes in accordance with generally accepted accountng principles. A company’s internal control over fnancial reportng includes those policies and procedures that (1) pertain to the maintenance of records that, in reasonable detail, accurately and fairly refect the transactons and dispositons of the assets of the company; (2) provide reasonable assurance that transactons are recorded as necessary to permit preparaton of fnancial statements in accordance with generally accepted accountng principles, and that receipts and expenditures of the company are being made only in accordance with authorizatons of management and directors of the company; and (3) provide reasonable assurance regarding preventon or tmely detecton of unauthorized acquisiton, use, or dispositon of the company’s assets that could have a material efect on the fnancial statements.</w:t>
      </w:r>
    </w:p>
    <w:p>
      <w:pPr>
        <w:spacing w:after="0" w:line="185" w:lineRule="exact"/>
        <w:rPr>
          <w:sz w:val="20"/>
          <w:szCs w:val="20"/>
          <w:color w:val="auto"/>
        </w:rPr>
      </w:pPr>
    </w:p>
    <w:p>
      <w:pPr>
        <w:jc w:val="center"/>
        <w:spacing w:after="0"/>
        <w:rPr>
          <w:sz w:val="20"/>
          <w:szCs w:val="20"/>
          <w:color w:val="auto"/>
        </w:rPr>
      </w:pPr>
      <w:r>
        <w:rPr>
          <w:rFonts w:ascii="Calibri" w:cs="Calibri" w:eastAsia="Calibri" w:hAnsi="Calibri"/>
          <w:sz w:val="15"/>
          <w:szCs w:val="15"/>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408940</wp:posOffset>
            </wp:positionV>
            <wp:extent cx="7178040" cy="4000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3" w:right="319" w:bottom="1440" w:gutter="0" w:footer="0" w:header="0"/>
        </w:sectPr>
      </w:pPr>
    </w:p>
    <w:bookmarkStart w:id="137" w:name="page138"/>
    <w:bookmarkEnd w:id="137"/>
    <w:p>
      <w:pPr>
        <w:spacing w:after="0" w:line="241" w:lineRule="auto"/>
        <w:rPr>
          <w:sz w:val="20"/>
          <w:szCs w:val="20"/>
          <w:color w:val="auto"/>
        </w:rPr>
      </w:pPr>
      <w:r>
        <w:rPr>
          <w:rFonts w:ascii="Calibri" w:cs="Calibri" w:eastAsia="Calibri" w:hAnsi="Calibri"/>
          <w:sz w:val="15"/>
          <w:szCs w:val="15"/>
          <w:color w:val="auto"/>
        </w:rPr>
        <w:t>Because of its inherent limitatons, internal control over fnancial reportng may not prevent or detect misstatements. Also, projectons of any evaluaton of efectveness to future periods are subject to the risk that controls may become inadequate because of changes in conditons, or that the degree of compliance with the policies or procedures may deteriorate.</w:t>
      </w:r>
    </w:p>
    <w:p>
      <w:pPr>
        <w:spacing w:after="0" w:line="184" w:lineRule="exact"/>
        <w:rPr>
          <w:sz w:val="20"/>
          <w:szCs w:val="20"/>
          <w:color w:val="auto"/>
        </w:rPr>
      </w:pPr>
    </w:p>
    <w:p>
      <w:pPr>
        <w:spacing w:after="0"/>
        <w:rPr>
          <w:sz w:val="20"/>
          <w:szCs w:val="20"/>
          <w:color w:val="auto"/>
        </w:rPr>
      </w:pPr>
      <w:r>
        <w:rPr>
          <w:rFonts w:ascii="Calibri" w:cs="Calibri" w:eastAsia="Calibri" w:hAnsi="Calibri"/>
          <w:sz w:val="15"/>
          <w:szCs w:val="15"/>
          <w:color w:val="auto"/>
        </w:rPr>
        <w:t>/s/ Ernst &amp; Young LLP</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color w:val="auto"/>
        </w:rPr>
        <w:t>Boston, Massachusets</w:t>
      </w:r>
    </w:p>
    <w:p>
      <w:pPr>
        <w:spacing w:after="0" w:line="1" w:lineRule="exact"/>
        <w:rPr>
          <w:sz w:val="20"/>
          <w:szCs w:val="20"/>
          <w:color w:val="auto"/>
        </w:rPr>
      </w:pPr>
    </w:p>
    <w:p>
      <w:pPr>
        <w:spacing w:after="0"/>
        <w:rPr>
          <w:sz w:val="20"/>
          <w:szCs w:val="20"/>
          <w:color w:val="auto"/>
        </w:rPr>
      </w:pPr>
      <w:r>
        <w:rPr>
          <w:rFonts w:ascii="Calibri" w:cs="Calibri" w:eastAsia="Calibri" w:hAnsi="Calibri"/>
          <w:sz w:val="15"/>
          <w:szCs w:val="15"/>
          <w:color w:val="auto"/>
        </w:rPr>
        <w:t>February 26, 2024</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Calibri" w:cs="Calibri" w:eastAsia="Calibri" w:hAnsi="Calibri"/>
          <w:sz w:val="15"/>
          <w:szCs w:val="15"/>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408940</wp:posOffset>
            </wp:positionV>
            <wp:extent cx="7178040" cy="4000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3" w:right="319" w:bottom="1440" w:gutter="0" w:footer="0" w:header="0"/>
        </w:sectPr>
      </w:pPr>
    </w:p>
    <w:bookmarkStart w:id="138" w:name="page139"/>
    <w:bookmarkEnd w:id="138"/>
    <w:p>
      <w:pPr>
        <w:ind w:left="8"/>
        <w:spacing w:after="0"/>
        <w:rPr>
          <w:sz w:val="20"/>
          <w:szCs w:val="20"/>
          <w:color w:val="auto"/>
        </w:rPr>
      </w:pPr>
      <w:r>
        <w:rPr>
          <w:rFonts w:ascii="Calibri" w:cs="Calibri" w:eastAsia="Calibri" w:hAnsi="Calibri"/>
          <w:sz w:val="15"/>
          <w:szCs w:val="15"/>
          <w:b w:val="1"/>
          <w:bCs w:val="1"/>
          <w:color w:val="auto"/>
        </w:rPr>
        <w:t>Item 9B. Other Informaton.</w:t>
      </w:r>
    </w:p>
    <w:p>
      <w:pPr>
        <w:spacing w:after="0" w:line="185" w:lineRule="exact"/>
        <w:rPr>
          <w:sz w:val="20"/>
          <w:szCs w:val="20"/>
          <w:color w:val="auto"/>
        </w:rPr>
      </w:pPr>
    </w:p>
    <w:p>
      <w:pPr>
        <w:ind w:left="8"/>
        <w:spacing w:after="0"/>
        <w:rPr>
          <w:sz w:val="20"/>
          <w:szCs w:val="20"/>
          <w:color w:val="auto"/>
        </w:rPr>
      </w:pPr>
      <w:r>
        <w:rPr>
          <w:rFonts w:ascii="Calibri" w:cs="Calibri" w:eastAsia="Calibri" w:hAnsi="Calibri"/>
          <w:sz w:val="15"/>
          <w:szCs w:val="15"/>
          <w:b w:val="1"/>
          <w:bCs w:val="1"/>
          <w:i w:val="1"/>
          <w:iCs w:val="1"/>
          <w:color w:val="auto"/>
        </w:rPr>
        <w:t>Rule 10b5-1 Plan Trading Arrangements</w:t>
      </w:r>
    </w:p>
    <w:p>
      <w:pPr>
        <w:spacing w:after="0" w:line="185" w:lineRule="exact"/>
        <w:rPr>
          <w:sz w:val="20"/>
          <w:szCs w:val="20"/>
          <w:color w:val="auto"/>
        </w:rPr>
      </w:pPr>
    </w:p>
    <w:p>
      <w:pPr>
        <w:ind w:left="8" w:right="20" w:firstLine="511"/>
        <w:spacing w:after="0" w:line="241" w:lineRule="auto"/>
        <w:rPr>
          <w:sz w:val="20"/>
          <w:szCs w:val="20"/>
          <w:color w:val="auto"/>
        </w:rPr>
      </w:pPr>
      <w:r>
        <w:rPr>
          <w:rFonts w:ascii="Calibri" w:cs="Calibri" w:eastAsia="Calibri" w:hAnsi="Calibri"/>
          <w:sz w:val="15"/>
          <w:szCs w:val="15"/>
          <w:color w:val="auto"/>
        </w:rPr>
        <w:t>During the three months ended December 31, 2023, each of the following ofcers adopted a “Rule 10b5-1 trading arrangement” (as defned in Item 408 of Regulaton S-K) that is intended to satsfy the afrmatve defense of Rule 10b5-1(c) under the Exchange Act and our policies on insider trading:</w:t>
      </w:r>
    </w:p>
    <w:p>
      <w:pPr>
        <w:spacing w:after="0" w:line="196" w:lineRule="exact"/>
        <w:rPr>
          <w:sz w:val="20"/>
          <w:szCs w:val="20"/>
          <w:color w:val="auto"/>
        </w:rPr>
      </w:pPr>
    </w:p>
    <w:tbl>
      <w:tblPr>
        <w:tblLayout w:type="fixed"/>
        <w:tblInd w:w="8" w:type="dxa"/>
        <w:tblCellMar>
          <w:top w:w="0" w:type="dxa"/>
          <w:left w:w="0" w:type="dxa"/>
          <w:bottom w:w="0" w:type="dxa"/>
          <w:right w:w="0" w:type="dxa"/>
        </w:tblCellMar>
      </w:tblPr>
      <w:tr>
        <w:trPr>
          <w:trHeight w:val="183"/>
        </w:trPr>
        <w:tc>
          <w:tcPr>
            <w:tcW w:w="2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20" w:type="dxa"/>
            <w:vAlign w:val="bottom"/>
          </w:tcPr>
          <w:p>
            <w:pPr>
              <w:jc w:val="center"/>
              <w:spacing w:after="0"/>
              <w:rPr>
                <w:sz w:val="20"/>
                <w:szCs w:val="20"/>
                <w:color w:val="auto"/>
              </w:rPr>
            </w:pPr>
            <w:r>
              <w:rPr>
                <w:rFonts w:ascii="Calibri" w:cs="Calibri" w:eastAsia="Calibri" w:hAnsi="Calibri"/>
                <w:sz w:val="15"/>
                <w:szCs w:val="15"/>
                <w:b w:val="1"/>
                <w:bCs w:val="1"/>
                <w:color w:val="auto"/>
                <w:w w:val="99"/>
              </w:rPr>
              <w:t>Aggregate Number/Dollar Value of Shares</w:t>
            </w:r>
          </w:p>
        </w:tc>
        <w:tc>
          <w:tcPr>
            <w:tcW w:w="30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184"/>
        </w:trPr>
        <w:tc>
          <w:tcPr>
            <w:tcW w:w="2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20" w:type="dxa"/>
            <w:vAlign w:val="bottom"/>
          </w:tcPr>
          <w:p>
            <w:pPr>
              <w:jc w:val="center"/>
              <w:spacing w:after="0"/>
              <w:rPr>
                <w:sz w:val="20"/>
                <w:szCs w:val="20"/>
                <w:color w:val="auto"/>
              </w:rPr>
            </w:pPr>
            <w:r>
              <w:rPr>
                <w:rFonts w:ascii="Calibri" w:cs="Calibri" w:eastAsia="Calibri" w:hAnsi="Calibri"/>
                <w:sz w:val="15"/>
                <w:szCs w:val="15"/>
                <w:b w:val="1"/>
                <w:bCs w:val="1"/>
                <w:color w:val="auto"/>
                <w:w w:val="99"/>
              </w:rPr>
              <w:t>of Class A Common Stock to be Purchased</w:t>
            </w:r>
          </w:p>
        </w:tc>
        <w:tc>
          <w:tcPr>
            <w:tcW w:w="300" w:type="dxa"/>
            <w:vAlign w:val="bottom"/>
          </w:tcPr>
          <w:p>
            <w:pPr>
              <w:spacing w:after="0"/>
              <w:rPr>
                <w:sz w:val="16"/>
                <w:szCs w:val="16"/>
                <w:color w:val="auto"/>
              </w:rPr>
            </w:pPr>
          </w:p>
        </w:tc>
        <w:tc>
          <w:tcPr>
            <w:tcW w:w="2180" w:type="dxa"/>
            <w:vAlign w:val="bottom"/>
          </w:tcPr>
          <w:p>
            <w:pPr>
              <w:spacing w:after="0"/>
              <w:rPr>
                <w:sz w:val="16"/>
                <w:szCs w:val="16"/>
                <w:color w:val="auto"/>
              </w:rPr>
            </w:pPr>
          </w:p>
        </w:tc>
      </w:tr>
      <w:tr>
        <w:trPr>
          <w:trHeight w:val="184"/>
        </w:trPr>
        <w:tc>
          <w:tcPr>
            <w:tcW w:w="2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20" w:type="dxa"/>
            <w:vAlign w:val="bottom"/>
          </w:tcPr>
          <w:p>
            <w:pPr>
              <w:jc w:val="center"/>
              <w:spacing w:after="0"/>
              <w:rPr>
                <w:sz w:val="20"/>
                <w:szCs w:val="20"/>
                <w:color w:val="auto"/>
              </w:rPr>
            </w:pPr>
            <w:r>
              <w:rPr>
                <w:rFonts w:ascii="Calibri" w:cs="Calibri" w:eastAsia="Calibri" w:hAnsi="Calibri"/>
                <w:sz w:val="15"/>
                <w:szCs w:val="15"/>
                <w:b w:val="1"/>
                <w:bCs w:val="1"/>
                <w:color w:val="auto"/>
                <w:w w:val="98"/>
              </w:rPr>
              <w:t>or Sold Pursuant to Trading Arrangement</w:t>
            </w:r>
          </w:p>
        </w:tc>
        <w:tc>
          <w:tcPr>
            <w:tcW w:w="300" w:type="dxa"/>
            <w:vAlign w:val="bottom"/>
          </w:tcPr>
          <w:p>
            <w:pPr>
              <w:spacing w:after="0"/>
              <w:rPr>
                <w:sz w:val="16"/>
                <w:szCs w:val="16"/>
                <w:color w:val="auto"/>
              </w:rPr>
            </w:pPr>
          </w:p>
        </w:tc>
        <w:tc>
          <w:tcPr>
            <w:tcW w:w="2180" w:type="dxa"/>
            <w:vAlign w:val="bottom"/>
          </w:tcPr>
          <w:p>
            <w:pPr>
              <w:spacing w:after="0"/>
              <w:rPr>
                <w:sz w:val="16"/>
                <w:szCs w:val="16"/>
                <w:color w:val="auto"/>
              </w:rPr>
            </w:pPr>
          </w:p>
        </w:tc>
      </w:tr>
      <w:tr>
        <w:trPr>
          <w:trHeight w:val="368"/>
        </w:trPr>
        <w:tc>
          <w:tcPr>
            <w:tcW w:w="2480" w:type="dxa"/>
            <w:vAlign w:val="bottom"/>
          </w:tcPr>
          <w:p>
            <w:pPr>
              <w:ind w:left="840"/>
              <w:spacing w:after="0"/>
              <w:rPr>
                <w:sz w:val="20"/>
                <w:szCs w:val="20"/>
                <w:color w:val="auto"/>
              </w:rPr>
            </w:pPr>
            <w:r>
              <w:rPr>
                <w:rFonts w:ascii="Calibri" w:cs="Calibri" w:eastAsia="Calibri" w:hAnsi="Calibri"/>
                <w:sz w:val="15"/>
                <w:szCs w:val="15"/>
                <w:b w:val="1"/>
                <w:bCs w:val="1"/>
                <w:color w:val="auto"/>
              </w:rPr>
              <w:t>Name &amp; Title</w:t>
            </w:r>
          </w:p>
        </w:tc>
        <w:tc>
          <w:tcPr>
            <w:tcW w:w="28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Calibri" w:cs="Calibri" w:eastAsia="Calibri" w:hAnsi="Calibri"/>
                <w:sz w:val="15"/>
                <w:szCs w:val="15"/>
                <w:b w:val="1"/>
                <w:bCs w:val="1"/>
                <w:color w:val="auto"/>
                <w:w w:val="98"/>
              </w:rPr>
              <w:t>Date Adopted</w:t>
            </w:r>
          </w:p>
        </w:tc>
        <w:tc>
          <w:tcPr>
            <w:tcW w:w="1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80" w:type="dxa"/>
            <w:vAlign w:val="bottom"/>
          </w:tcPr>
          <w:p>
            <w:pPr>
              <w:jc w:val="center"/>
              <w:spacing w:after="0"/>
              <w:rPr>
                <w:sz w:val="20"/>
                <w:szCs w:val="20"/>
                <w:color w:val="auto"/>
              </w:rPr>
            </w:pPr>
            <w:r>
              <w:rPr>
                <w:rFonts w:ascii="Calibri" w:cs="Calibri" w:eastAsia="Calibri" w:hAnsi="Calibri"/>
                <w:sz w:val="15"/>
                <w:szCs w:val="15"/>
                <w:b w:val="1"/>
                <w:bCs w:val="1"/>
                <w:color w:val="auto"/>
              </w:rPr>
              <w:t>Expiraton Date(1)</w:t>
            </w:r>
          </w:p>
        </w:tc>
      </w:tr>
      <w:tr>
        <w:trPr>
          <w:trHeight w:val="31"/>
        </w:trPr>
        <w:tc>
          <w:tcPr>
            <w:tcW w:w="24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169"/>
        </w:trPr>
        <w:tc>
          <w:tcPr>
            <w:tcW w:w="2480" w:type="dxa"/>
            <w:vAlign w:val="bottom"/>
          </w:tcPr>
          <w:p>
            <w:pPr>
              <w:ind w:left="80"/>
              <w:spacing w:after="0" w:line="169" w:lineRule="exact"/>
              <w:rPr>
                <w:sz w:val="20"/>
                <w:szCs w:val="20"/>
                <w:color w:val="auto"/>
              </w:rPr>
            </w:pPr>
            <w:r>
              <w:rPr>
                <w:rFonts w:ascii="Calibri" w:cs="Calibri" w:eastAsia="Calibri" w:hAnsi="Calibri"/>
                <w:sz w:val="15"/>
                <w:szCs w:val="15"/>
                <w:color w:val="auto"/>
              </w:rPr>
              <w:t>Andrea Eldridge,</w:t>
            </w:r>
          </w:p>
        </w:tc>
        <w:tc>
          <w:tcPr>
            <w:tcW w:w="280" w:type="dxa"/>
            <w:vAlign w:val="bottom"/>
          </w:tcPr>
          <w:p>
            <w:pPr>
              <w:spacing w:after="0"/>
              <w:rPr>
                <w:sz w:val="14"/>
                <w:szCs w:val="14"/>
                <w:color w:val="auto"/>
              </w:rPr>
            </w:pPr>
          </w:p>
        </w:tc>
        <w:tc>
          <w:tcPr>
            <w:tcW w:w="2140" w:type="dxa"/>
            <w:vAlign w:val="bottom"/>
          </w:tcPr>
          <w:p>
            <w:pPr>
              <w:jc w:val="center"/>
              <w:spacing w:after="0" w:line="169" w:lineRule="exact"/>
              <w:rPr>
                <w:sz w:val="20"/>
                <w:szCs w:val="20"/>
                <w:color w:val="auto"/>
              </w:rPr>
            </w:pPr>
            <w:r>
              <w:rPr>
                <w:rFonts w:ascii="Calibri" w:cs="Calibri" w:eastAsia="Calibri" w:hAnsi="Calibri"/>
                <w:sz w:val="15"/>
                <w:szCs w:val="15"/>
                <w:color w:val="auto"/>
                <w:w w:val="99"/>
              </w:rPr>
              <w:t>November 15, 2023</w:t>
            </w:r>
          </w:p>
        </w:tc>
        <w:tc>
          <w:tcPr>
            <w:tcW w:w="140" w:type="dxa"/>
            <w:vAlign w:val="bottom"/>
          </w:tcPr>
          <w:p>
            <w:pPr>
              <w:spacing w:after="0"/>
              <w:rPr>
                <w:sz w:val="14"/>
                <w:szCs w:val="14"/>
                <w:color w:val="auto"/>
              </w:rPr>
            </w:pPr>
          </w:p>
        </w:tc>
        <w:tc>
          <w:tcPr>
            <w:tcW w:w="2820" w:type="dxa"/>
            <w:vAlign w:val="bottom"/>
          </w:tcPr>
          <w:p>
            <w:pPr>
              <w:jc w:val="center"/>
              <w:spacing w:after="0" w:line="169" w:lineRule="exact"/>
              <w:rPr>
                <w:sz w:val="20"/>
                <w:szCs w:val="20"/>
                <w:color w:val="auto"/>
              </w:rPr>
            </w:pPr>
            <w:r>
              <w:rPr>
                <w:rFonts w:ascii="Calibri" w:cs="Calibri" w:eastAsia="Calibri" w:hAnsi="Calibri"/>
                <w:sz w:val="15"/>
                <w:szCs w:val="15"/>
                <w:color w:val="auto"/>
                <w:w w:val="99"/>
              </w:rPr>
              <w:t>37,716 shares to be sold</w:t>
            </w:r>
          </w:p>
        </w:tc>
        <w:tc>
          <w:tcPr>
            <w:tcW w:w="300" w:type="dxa"/>
            <w:vAlign w:val="bottom"/>
          </w:tcPr>
          <w:p>
            <w:pPr>
              <w:spacing w:after="0"/>
              <w:rPr>
                <w:sz w:val="14"/>
                <w:szCs w:val="14"/>
                <w:color w:val="auto"/>
              </w:rPr>
            </w:pPr>
          </w:p>
        </w:tc>
        <w:tc>
          <w:tcPr>
            <w:tcW w:w="2180" w:type="dxa"/>
            <w:vAlign w:val="bottom"/>
          </w:tcPr>
          <w:p>
            <w:pPr>
              <w:jc w:val="center"/>
              <w:spacing w:after="0" w:line="169" w:lineRule="exact"/>
              <w:rPr>
                <w:sz w:val="20"/>
                <w:szCs w:val="20"/>
                <w:color w:val="auto"/>
              </w:rPr>
            </w:pPr>
            <w:r>
              <w:rPr>
                <w:rFonts w:ascii="Calibri" w:cs="Calibri" w:eastAsia="Calibri" w:hAnsi="Calibri"/>
                <w:sz w:val="15"/>
                <w:szCs w:val="15"/>
                <w:color w:val="auto"/>
                <w:w w:val="99"/>
              </w:rPr>
              <w:t>November 29, 2024</w:t>
            </w:r>
          </w:p>
        </w:tc>
      </w:tr>
      <w:tr>
        <w:trPr>
          <w:trHeight w:val="183"/>
        </w:trPr>
        <w:tc>
          <w:tcPr>
            <w:tcW w:w="2480" w:type="dxa"/>
            <w:vAlign w:val="bottom"/>
          </w:tcPr>
          <w:p>
            <w:pPr>
              <w:ind w:left="80"/>
              <w:spacing w:after="0"/>
              <w:rPr>
                <w:sz w:val="20"/>
                <w:szCs w:val="20"/>
                <w:color w:val="auto"/>
              </w:rPr>
            </w:pPr>
            <w:r>
              <w:rPr>
                <w:rFonts w:ascii="Calibri" w:cs="Calibri" w:eastAsia="Calibri" w:hAnsi="Calibri"/>
                <w:sz w:val="15"/>
                <w:szCs w:val="15"/>
                <w:color w:val="auto"/>
              </w:rPr>
              <w:t>Chief People Ofcer</w:t>
            </w:r>
          </w:p>
        </w:tc>
        <w:tc>
          <w:tcPr>
            <w:tcW w:w="2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276"/>
        </w:trPr>
        <w:tc>
          <w:tcPr>
            <w:tcW w:w="2480" w:type="dxa"/>
            <w:vAlign w:val="bottom"/>
          </w:tcPr>
          <w:p>
            <w:pPr>
              <w:ind w:left="80"/>
              <w:spacing w:after="0"/>
              <w:rPr>
                <w:sz w:val="20"/>
                <w:szCs w:val="20"/>
                <w:color w:val="auto"/>
              </w:rPr>
            </w:pPr>
            <w:r>
              <w:rPr>
                <w:rFonts w:ascii="Calibri" w:cs="Calibri" w:eastAsia="Calibri" w:hAnsi="Calibri"/>
                <w:sz w:val="15"/>
                <w:szCs w:val="15"/>
                <w:color w:val="auto"/>
              </w:rPr>
              <w:t>Mathew Quinn,</w:t>
            </w:r>
          </w:p>
        </w:tc>
        <w:tc>
          <w:tcPr>
            <w:tcW w:w="28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Calibri" w:cs="Calibri" w:eastAsia="Calibri" w:hAnsi="Calibri"/>
                <w:sz w:val="15"/>
                <w:szCs w:val="15"/>
                <w:color w:val="auto"/>
              </w:rPr>
              <w:t>December 5, 2023</w:t>
            </w:r>
          </w:p>
        </w:tc>
        <w:tc>
          <w:tcPr>
            <w:tcW w:w="140" w:type="dxa"/>
            <w:vAlign w:val="bottom"/>
          </w:tcPr>
          <w:p>
            <w:pPr>
              <w:spacing w:after="0"/>
              <w:rPr>
                <w:sz w:val="24"/>
                <w:szCs w:val="24"/>
                <w:color w:val="auto"/>
              </w:rPr>
            </w:pPr>
          </w:p>
        </w:tc>
        <w:tc>
          <w:tcPr>
            <w:tcW w:w="2820" w:type="dxa"/>
            <w:vAlign w:val="bottom"/>
          </w:tcPr>
          <w:p>
            <w:pPr>
              <w:jc w:val="center"/>
              <w:spacing w:after="0"/>
              <w:rPr>
                <w:sz w:val="20"/>
                <w:szCs w:val="20"/>
                <w:color w:val="auto"/>
              </w:rPr>
            </w:pPr>
            <w:r>
              <w:rPr>
                <w:rFonts w:ascii="Calibri" w:cs="Calibri" w:eastAsia="Calibri" w:hAnsi="Calibri"/>
                <w:sz w:val="15"/>
                <w:szCs w:val="15"/>
                <w:color w:val="auto"/>
                <w:w w:val="99"/>
              </w:rPr>
              <w:t>$45,000 in shares to be sold</w:t>
            </w:r>
          </w:p>
        </w:tc>
        <w:tc>
          <w:tcPr>
            <w:tcW w:w="300" w:type="dxa"/>
            <w:vAlign w:val="bottom"/>
          </w:tcPr>
          <w:p>
            <w:pPr>
              <w:spacing w:after="0"/>
              <w:rPr>
                <w:sz w:val="24"/>
                <w:szCs w:val="24"/>
                <w:color w:val="auto"/>
              </w:rPr>
            </w:pPr>
          </w:p>
        </w:tc>
        <w:tc>
          <w:tcPr>
            <w:tcW w:w="2180" w:type="dxa"/>
            <w:vAlign w:val="bottom"/>
          </w:tcPr>
          <w:p>
            <w:pPr>
              <w:jc w:val="center"/>
              <w:spacing w:after="0"/>
              <w:rPr>
                <w:sz w:val="20"/>
                <w:szCs w:val="20"/>
                <w:color w:val="auto"/>
              </w:rPr>
            </w:pPr>
            <w:r>
              <w:rPr>
                <w:rFonts w:ascii="Calibri" w:cs="Calibri" w:eastAsia="Calibri" w:hAnsi="Calibri"/>
                <w:sz w:val="15"/>
                <w:szCs w:val="15"/>
                <w:color w:val="auto"/>
              </w:rPr>
              <w:t>December 31, 2024</w:t>
            </w:r>
          </w:p>
        </w:tc>
      </w:tr>
      <w:tr>
        <w:trPr>
          <w:trHeight w:val="184"/>
        </w:trPr>
        <w:tc>
          <w:tcPr>
            <w:tcW w:w="2480" w:type="dxa"/>
            <w:vAlign w:val="bottom"/>
          </w:tcPr>
          <w:p>
            <w:pPr>
              <w:ind w:left="80"/>
              <w:spacing w:after="0"/>
              <w:rPr>
                <w:sz w:val="20"/>
                <w:szCs w:val="20"/>
                <w:color w:val="auto"/>
              </w:rPr>
            </w:pPr>
            <w:r>
              <w:rPr>
                <w:rFonts w:ascii="Calibri" w:cs="Calibri" w:eastAsia="Calibri" w:hAnsi="Calibri"/>
                <w:sz w:val="15"/>
                <w:szCs w:val="15"/>
                <w:color w:val="auto"/>
              </w:rPr>
              <w:t>Chief Technology Ofcer</w:t>
            </w:r>
          </w:p>
        </w:tc>
        <w:tc>
          <w:tcPr>
            <w:tcW w:w="2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80" w:type="dxa"/>
            <w:vAlign w:val="bottom"/>
          </w:tcPr>
          <w:p>
            <w:pPr>
              <w:spacing w:after="0"/>
              <w:rPr>
                <w:sz w:val="16"/>
                <w:szCs w:val="16"/>
                <w:color w:val="auto"/>
              </w:rPr>
            </w:pPr>
          </w:p>
        </w:tc>
      </w:tr>
      <w:tr>
        <w:trPr>
          <w:trHeight w:val="277"/>
        </w:trPr>
        <w:tc>
          <w:tcPr>
            <w:tcW w:w="2480" w:type="dxa"/>
            <w:vAlign w:val="bottom"/>
          </w:tcPr>
          <w:p>
            <w:pPr>
              <w:ind w:left="80"/>
              <w:spacing w:after="0"/>
              <w:rPr>
                <w:sz w:val="20"/>
                <w:szCs w:val="20"/>
                <w:color w:val="auto"/>
              </w:rPr>
            </w:pPr>
            <w:r>
              <w:rPr>
                <w:rFonts w:ascii="Calibri" w:cs="Calibri" w:eastAsia="Calibri" w:hAnsi="Calibri"/>
                <w:sz w:val="15"/>
                <w:szCs w:val="15"/>
                <w:color w:val="auto"/>
              </w:rPr>
              <w:t>Dafna Sarnof,</w:t>
            </w:r>
          </w:p>
        </w:tc>
        <w:tc>
          <w:tcPr>
            <w:tcW w:w="28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Calibri" w:cs="Calibri" w:eastAsia="Calibri" w:hAnsi="Calibri"/>
                <w:sz w:val="15"/>
                <w:szCs w:val="15"/>
                <w:color w:val="auto"/>
              </w:rPr>
              <w:t>December 15, 2023</w:t>
            </w:r>
          </w:p>
        </w:tc>
        <w:tc>
          <w:tcPr>
            <w:tcW w:w="140" w:type="dxa"/>
            <w:vAlign w:val="bottom"/>
          </w:tcPr>
          <w:p>
            <w:pPr>
              <w:spacing w:after="0"/>
              <w:rPr>
                <w:sz w:val="24"/>
                <w:szCs w:val="24"/>
                <w:color w:val="auto"/>
              </w:rPr>
            </w:pPr>
          </w:p>
        </w:tc>
        <w:tc>
          <w:tcPr>
            <w:tcW w:w="2820" w:type="dxa"/>
            <w:vAlign w:val="bottom"/>
          </w:tcPr>
          <w:p>
            <w:pPr>
              <w:jc w:val="center"/>
              <w:spacing w:after="0"/>
              <w:rPr>
                <w:sz w:val="20"/>
                <w:szCs w:val="20"/>
                <w:color w:val="auto"/>
              </w:rPr>
            </w:pPr>
            <w:r>
              <w:rPr>
                <w:rFonts w:ascii="Calibri" w:cs="Calibri" w:eastAsia="Calibri" w:hAnsi="Calibri"/>
                <w:sz w:val="15"/>
                <w:szCs w:val="15"/>
                <w:color w:val="auto"/>
                <w:w w:val="96"/>
              </w:rPr>
              <w:t>73,817 shares to be sold</w:t>
            </w:r>
            <w:r>
              <w:rPr>
                <w:rFonts w:ascii="Calibri" w:cs="Calibri" w:eastAsia="Calibri" w:hAnsi="Calibri"/>
                <w:sz w:val="20"/>
                <w:szCs w:val="20"/>
                <w:color w:val="auto"/>
                <w:w w:val="96"/>
                <w:vertAlign w:val="superscript"/>
              </w:rPr>
              <w:t>(2)</w:t>
            </w:r>
          </w:p>
        </w:tc>
        <w:tc>
          <w:tcPr>
            <w:tcW w:w="300" w:type="dxa"/>
            <w:vAlign w:val="bottom"/>
          </w:tcPr>
          <w:p>
            <w:pPr>
              <w:spacing w:after="0"/>
              <w:rPr>
                <w:sz w:val="24"/>
                <w:szCs w:val="24"/>
                <w:color w:val="auto"/>
              </w:rPr>
            </w:pPr>
          </w:p>
        </w:tc>
        <w:tc>
          <w:tcPr>
            <w:tcW w:w="2180" w:type="dxa"/>
            <w:vAlign w:val="bottom"/>
          </w:tcPr>
          <w:p>
            <w:pPr>
              <w:jc w:val="center"/>
              <w:spacing w:after="0"/>
              <w:rPr>
                <w:sz w:val="20"/>
                <w:szCs w:val="20"/>
                <w:color w:val="auto"/>
              </w:rPr>
            </w:pPr>
            <w:r>
              <w:rPr>
                <w:rFonts w:ascii="Calibri" w:cs="Calibri" w:eastAsia="Calibri" w:hAnsi="Calibri"/>
                <w:sz w:val="15"/>
                <w:szCs w:val="15"/>
                <w:color w:val="auto"/>
              </w:rPr>
              <w:t>March 31, 2025</w:t>
            </w:r>
          </w:p>
        </w:tc>
      </w:tr>
      <w:tr>
        <w:trPr>
          <w:trHeight w:val="183"/>
        </w:trPr>
        <w:tc>
          <w:tcPr>
            <w:tcW w:w="2480" w:type="dxa"/>
            <w:vAlign w:val="bottom"/>
          </w:tcPr>
          <w:p>
            <w:pPr>
              <w:ind w:left="80"/>
              <w:spacing w:after="0"/>
              <w:rPr>
                <w:sz w:val="20"/>
                <w:szCs w:val="20"/>
                <w:color w:val="auto"/>
              </w:rPr>
            </w:pPr>
            <w:r>
              <w:rPr>
                <w:rFonts w:ascii="Calibri" w:cs="Calibri" w:eastAsia="Calibri" w:hAnsi="Calibri"/>
                <w:sz w:val="15"/>
                <w:szCs w:val="15"/>
                <w:color w:val="auto"/>
              </w:rPr>
              <w:t>Chief Marketng Ofcer</w:t>
            </w:r>
          </w:p>
        </w:tc>
        <w:tc>
          <w:tcPr>
            <w:tcW w:w="2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277"/>
        </w:trPr>
        <w:tc>
          <w:tcPr>
            <w:tcW w:w="2480" w:type="dxa"/>
            <w:vAlign w:val="bottom"/>
          </w:tcPr>
          <w:p>
            <w:pPr>
              <w:ind w:left="80"/>
              <w:spacing w:after="0"/>
              <w:rPr>
                <w:sz w:val="20"/>
                <w:szCs w:val="20"/>
                <w:color w:val="auto"/>
              </w:rPr>
            </w:pPr>
            <w:r>
              <w:rPr>
                <w:rFonts w:ascii="Calibri" w:cs="Calibri" w:eastAsia="Calibri" w:hAnsi="Calibri"/>
                <w:sz w:val="15"/>
                <w:szCs w:val="15"/>
                <w:color w:val="auto"/>
              </w:rPr>
              <w:t>Samuel Zales,</w:t>
            </w:r>
          </w:p>
        </w:tc>
        <w:tc>
          <w:tcPr>
            <w:tcW w:w="28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Calibri" w:cs="Calibri" w:eastAsia="Calibri" w:hAnsi="Calibri"/>
                <w:sz w:val="15"/>
                <w:szCs w:val="15"/>
                <w:color w:val="auto"/>
                <w:w w:val="99"/>
              </w:rPr>
              <w:t>November 22, 2023</w:t>
            </w:r>
          </w:p>
        </w:tc>
        <w:tc>
          <w:tcPr>
            <w:tcW w:w="140" w:type="dxa"/>
            <w:vAlign w:val="bottom"/>
          </w:tcPr>
          <w:p>
            <w:pPr>
              <w:spacing w:after="0"/>
              <w:rPr>
                <w:sz w:val="24"/>
                <w:szCs w:val="24"/>
                <w:color w:val="auto"/>
              </w:rPr>
            </w:pPr>
          </w:p>
        </w:tc>
        <w:tc>
          <w:tcPr>
            <w:tcW w:w="2820" w:type="dxa"/>
            <w:vAlign w:val="bottom"/>
          </w:tcPr>
          <w:p>
            <w:pPr>
              <w:jc w:val="center"/>
              <w:spacing w:after="0"/>
              <w:rPr>
                <w:sz w:val="20"/>
                <w:szCs w:val="20"/>
                <w:color w:val="auto"/>
              </w:rPr>
            </w:pPr>
            <w:r>
              <w:rPr>
                <w:rFonts w:ascii="Calibri" w:cs="Calibri" w:eastAsia="Calibri" w:hAnsi="Calibri"/>
                <w:sz w:val="15"/>
                <w:szCs w:val="15"/>
                <w:color w:val="auto"/>
                <w:w w:val="95"/>
              </w:rPr>
              <w:t>421,220 shares to be sold</w:t>
            </w:r>
            <w:r>
              <w:rPr>
                <w:rFonts w:ascii="Calibri" w:cs="Calibri" w:eastAsia="Calibri" w:hAnsi="Calibri"/>
                <w:sz w:val="20"/>
                <w:szCs w:val="20"/>
                <w:color w:val="auto"/>
                <w:w w:val="95"/>
                <w:vertAlign w:val="superscript"/>
              </w:rPr>
              <w:t>(2)(3)</w:t>
            </w:r>
          </w:p>
        </w:tc>
        <w:tc>
          <w:tcPr>
            <w:tcW w:w="300" w:type="dxa"/>
            <w:vAlign w:val="bottom"/>
          </w:tcPr>
          <w:p>
            <w:pPr>
              <w:spacing w:after="0"/>
              <w:rPr>
                <w:sz w:val="24"/>
                <w:szCs w:val="24"/>
                <w:color w:val="auto"/>
              </w:rPr>
            </w:pPr>
          </w:p>
        </w:tc>
        <w:tc>
          <w:tcPr>
            <w:tcW w:w="2180" w:type="dxa"/>
            <w:vAlign w:val="bottom"/>
          </w:tcPr>
          <w:p>
            <w:pPr>
              <w:jc w:val="center"/>
              <w:spacing w:after="0"/>
              <w:rPr>
                <w:sz w:val="20"/>
                <w:szCs w:val="20"/>
                <w:color w:val="auto"/>
              </w:rPr>
            </w:pPr>
            <w:r>
              <w:rPr>
                <w:rFonts w:ascii="Calibri" w:cs="Calibri" w:eastAsia="Calibri" w:hAnsi="Calibri"/>
                <w:sz w:val="15"/>
                <w:szCs w:val="15"/>
                <w:color w:val="auto"/>
              </w:rPr>
              <w:t>January 31, 2025</w:t>
            </w:r>
          </w:p>
        </w:tc>
      </w:tr>
      <w:tr>
        <w:trPr>
          <w:trHeight w:val="183"/>
        </w:trPr>
        <w:tc>
          <w:tcPr>
            <w:tcW w:w="2480" w:type="dxa"/>
            <w:vAlign w:val="bottom"/>
          </w:tcPr>
          <w:p>
            <w:pPr>
              <w:ind w:left="80"/>
              <w:spacing w:after="0"/>
              <w:rPr>
                <w:sz w:val="20"/>
                <w:szCs w:val="20"/>
                <w:color w:val="auto"/>
              </w:rPr>
            </w:pPr>
            <w:r>
              <w:rPr>
                <w:rFonts w:ascii="Calibri" w:cs="Calibri" w:eastAsia="Calibri" w:hAnsi="Calibri"/>
                <w:sz w:val="15"/>
                <w:szCs w:val="15"/>
                <w:color w:val="auto"/>
              </w:rPr>
              <w:t>President and Chief Operatng Ofcer</w:t>
            </w:r>
          </w:p>
        </w:tc>
        <w:tc>
          <w:tcPr>
            <w:tcW w:w="2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277"/>
        </w:trPr>
        <w:tc>
          <w:tcPr>
            <w:tcW w:w="2480" w:type="dxa"/>
            <w:vAlign w:val="bottom"/>
          </w:tcPr>
          <w:p>
            <w:pPr>
              <w:ind w:left="80"/>
              <w:spacing w:after="0"/>
              <w:rPr>
                <w:sz w:val="20"/>
                <w:szCs w:val="20"/>
                <w:color w:val="auto"/>
              </w:rPr>
            </w:pPr>
            <w:r>
              <w:rPr>
                <w:rFonts w:ascii="Calibri" w:cs="Calibri" w:eastAsia="Calibri" w:hAnsi="Calibri"/>
                <w:sz w:val="15"/>
                <w:szCs w:val="15"/>
                <w:color w:val="auto"/>
              </w:rPr>
              <w:t>Javier Zamora,</w:t>
            </w:r>
          </w:p>
        </w:tc>
        <w:tc>
          <w:tcPr>
            <w:tcW w:w="28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Calibri" w:cs="Calibri" w:eastAsia="Calibri" w:hAnsi="Calibri"/>
                <w:sz w:val="15"/>
                <w:szCs w:val="15"/>
                <w:color w:val="auto"/>
                <w:w w:val="99"/>
              </w:rPr>
              <w:t>November 10, 2023</w:t>
            </w:r>
          </w:p>
        </w:tc>
        <w:tc>
          <w:tcPr>
            <w:tcW w:w="140" w:type="dxa"/>
            <w:vAlign w:val="bottom"/>
          </w:tcPr>
          <w:p>
            <w:pPr>
              <w:spacing w:after="0"/>
              <w:rPr>
                <w:sz w:val="24"/>
                <w:szCs w:val="24"/>
                <w:color w:val="auto"/>
              </w:rPr>
            </w:pPr>
          </w:p>
        </w:tc>
        <w:tc>
          <w:tcPr>
            <w:tcW w:w="2820" w:type="dxa"/>
            <w:vAlign w:val="bottom"/>
          </w:tcPr>
          <w:p>
            <w:pPr>
              <w:jc w:val="center"/>
              <w:spacing w:after="0"/>
              <w:rPr>
                <w:sz w:val="20"/>
                <w:szCs w:val="20"/>
                <w:color w:val="auto"/>
              </w:rPr>
            </w:pPr>
            <w:r>
              <w:rPr>
                <w:rFonts w:ascii="Calibri" w:cs="Calibri" w:eastAsia="Calibri" w:hAnsi="Calibri"/>
                <w:sz w:val="15"/>
                <w:szCs w:val="15"/>
                <w:color w:val="auto"/>
                <w:w w:val="96"/>
              </w:rPr>
              <w:t>25,778 shares to be sold</w:t>
            </w:r>
            <w:r>
              <w:rPr>
                <w:rFonts w:ascii="Calibri" w:cs="Calibri" w:eastAsia="Calibri" w:hAnsi="Calibri"/>
                <w:sz w:val="20"/>
                <w:szCs w:val="20"/>
                <w:color w:val="auto"/>
                <w:w w:val="96"/>
                <w:vertAlign w:val="superscript"/>
              </w:rPr>
              <w:t>(2)</w:t>
            </w:r>
          </w:p>
        </w:tc>
        <w:tc>
          <w:tcPr>
            <w:tcW w:w="300" w:type="dxa"/>
            <w:vAlign w:val="bottom"/>
          </w:tcPr>
          <w:p>
            <w:pPr>
              <w:spacing w:after="0"/>
              <w:rPr>
                <w:sz w:val="24"/>
                <w:szCs w:val="24"/>
                <w:color w:val="auto"/>
              </w:rPr>
            </w:pPr>
          </w:p>
        </w:tc>
        <w:tc>
          <w:tcPr>
            <w:tcW w:w="2180" w:type="dxa"/>
            <w:vAlign w:val="bottom"/>
          </w:tcPr>
          <w:p>
            <w:pPr>
              <w:jc w:val="center"/>
              <w:spacing w:after="0"/>
              <w:rPr>
                <w:sz w:val="20"/>
                <w:szCs w:val="20"/>
                <w:color w:val="auto"/>
              </w:rPr>
            </w:pPr>
            <w:r>
              <w:rPr>
                <w:rFonts w:ascii="Calibri" w:cs="Calibri" w:eastAsia="Calibri" w:hAnsi="Calibri"/>
                <w:sz w:val="15"/>
                <w:szCs w:val="15"/>
                <w:color w:val="auto"/>
                <w:w w:val="99"/>
              </w:rPr>
              <w:t>March 1, 2024</w:t>
            </w:r>
          </w:p>
        </w:tc>
      </w:tr>
      <w:tr>
        <w:trPr>
          <w:trHeight w:val="183"/>
        </w:trPr>
        <w:tc>
          <w:tcPr>
            <w:tcW w:w="2480" w:type="dxa"/>
            <w:vAlign w:val="bottom"/>
          </w:tcPr>
          <w:p>
            <w:pPr>
              <w:ind w:left="80"/>
              <w:spacing w:after="0"/>
              <w:rPr>
                <w:sz w:val="20"/>
                <w:szCs w:val="20"/>
                <w:color w:val="auto"/>
              </w:rPr>
            </w:pPr>
            <w:r>
              <w:rPr>
                <w:rFonts w:ascii="Calibri" w:cs="Calibri" w:eastAsia="Calibri" w:hAnsi="Calibri"/>
                <w:sz w:val="15"/>
                <w:szCs w:val="15"/>
                <w:color w:val="auto"/>
              </w:rPr>
              <w:t>General Counsel and Corporate</w:t>
            </w:r>
          </w:p>
        </w:tc>
        <w:tc>
          <w:tcPr>
            <w:tcW w:w="2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180" w:type="dxa"/>
            <w:vAlign w:val="bottom"/>
          </w:tcPr>
          <w:p>
            <w:pPr>
              <w:spacing w:after="0"/>
              <w:rPr>
                <w:sz w:val="15"/>
                <w:szCs w:val="15"/>
                <w:color w:val="auto"/>
              </w:rPr>
            </w:pPr>
          </w:p>
        </w:tc>
      </w:tr>
      <w:tr>
        <w:trPr>
          <w:trHeight w:val="184"/>
        </w:trPr>
        <w:tc>
          <w:tcPr>
            <w:tcW w:w="2480" w:type="dxa"/>
            <w:vAlign w:val="bottom"/>
          </w:tcPr>
          <w:p>
            <w:pPr>
              <w:ind w:left="80"/>
              <w:spacing w:after="0"/>
              <w:rPr>
                <w:sz w:val="20"/>
                <w:szCs w:val="20"/>
                <w:color w:val="auto"/>
              </w:rPr>
            </w:pPr>
            <w:r>
              <w:rPr>
                <w:rFonts w:ascii="Calibri" w:cs="Calibri" w:eastAsia="Calibri" w:hAnsi="Calibri"/>
                <w:sz w:val="15"/>
                <w:szCs w:val="15"/>
                <w:color w:val="auto"/>
              </w:rPr>
              <w:t>Secretary</w:t>
            </w:r>
          </w:p>
        </w:tc>
        <w:tc>
          <w:tcPr>
            <w:tcW w:w="2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80" w:type="dxa"/>
            <w:vAlign w:val="bottom"/>
          </w:tcPr>
          <w:p>
            <w:pPr>
              <w:spacing w:after="0"/>
              <w:rPr>
                <w:sz w:val="16"/>
                <w:szCs w:val="16"/>
                <w:color w:val="auto"/>
              </w:rPr>
            </w:pPr>
          </w:p>
        </w:tc>
      </w:tr>
      <w:tr>
        <w:trPr>
          <w:trHeight w:val="196"/>
        </w:trPr>
        <w:tc>
          <w:tcPr>
            <w:tcW w:w="2480" w:type="dxa"/>
            <w:vAlign w:val="bottom"/>
          </w:tcPr>
          <w:p>
            <w:pPr>
              <w:spacing w:after="0"/>
              <w:rPr>
                <w:sz w:val="20"/>
                <w:szCs w:val="20"/>
                <w:color w:val="auto"/>
              </w:rPr>
            </w:pPr>
            <w:r>
              <w:rPr>
                <w:rFonts w:ascii="Calibri" w:cs="Calibri" w:eastAsia="Calibri" w:hAnsi="Calibri"/>
                <w:sz w:val="15"/>
                <w:szCs w:val="15"/>
                <w:color w:val="auto"/>
              </w:rPr>
              <w:t>______________________</w:t>
            </w:r>
          </w:p>
        </w:tc>
        <w:tc>
          <w:tcPr>
            <w:tcW w:w="2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80" w:type="dxa"/>
            <w:vAlign w:val="bottom"/>
          </w:tcPr>
          <w:p>
            <w:pPr>
              <w:spacing w:after="0"/>
              <w:rPr>
                <w:sz w:val="17"/>
                <w:szCs w:val="17"/>
                <w:color w:val="auto"/>
              </w:rPr>
            </w:pPr>
          </w:p>
        </w:tc>
      </w:tr>
    </w:tbl>
    <w:p>
      <w:pPr>
        <w:spacing w:after="0" w:line="208" w:lineRule="exact"/>
        <w:rPr>
          <w:sz w:val="20"/>
          <w:szCs w:val="20"/>
          <w:color w:val="auto"/>
        </w:rPr>
      </w:pPr>
    </w:p>
    <w:p>
      <w:pPr>
        <w:ind w:left="8" w:hanging="8"/>
        <w:spacing w:after="0" w:line="200" w:lineRule="auto"/>
        <w:tabs>
          <w:tab w:leader="none" w:pos="333" w:val="left"/>
        </w:tabs>
        <w:numPr>
          <w:ilvl w:val="0"/>
          <w:numId w:val="36"/>
        </w:numPr>
        <w:rPr>
          <w:rFonts w:ascii="Calibri" w:cs="Calibri" w:eastAsia="Calibri" w:hAnsi="Calibri"/>
          <w:sz w:val="21"/>
          <w:szCs w:val="21"/>
          <w:color w:val="auto"/>
          <w:vertAlign w:val="superscript"/>
        </w:rPr>
      </w:pPr>
      <w:r>
        <w:rPr>
          <w:rFonts w:ascii="Calibri" w:cs="Calibri" w:eastAsia="Calibri" w:hAnsi="Calibri"/>
          <w:sz w:val="15"/>
          <w:szCs w:val="15"/>
          <w:color w:val="auto"/>
        </w:rPr>
        <w:t>The Rule 10b5-1 trading arrangement permits transactons through and including the earlier to occur of (a) the completon of all sales or (b) the date listed in the table. The arrangement also provides for automatc expiraton in the event of liquidaton, dissoluton, bankruptcy, insolvency, or death of the adoptng person.</w:t>
      </w:r>
    </w:p>
    <w:p>
      <w:pPr>
        <w:spacing w:after="0" w:line="209" w:lineRule="exact"/>
        <w:rPr>
          <w:rFonts w:ascii="Calibri" w:cs="Calibri" w:eastAsia="Calibri" w:hAnsi="Calibri"/>
          <w:sz w:val="21"/>
          <w:szCs w:val="21"/>
          <w:color w:val="auto"/>
          <w:vertAlign w:val="superscript"/>
        </w:rPr>
      </w:pPr>
    </w:p>
    <w:p>
      <w:pPr>
        <w:jc w:val="both"/>
        <w:ind w:left="8" w:hanging="8"/>
        <w:spacing w:after="0" w:line="219" w:lineRule="auto"/>
        <w:tabs>
          <w:tab w:leader="none" w:pos="271" w:val="left"/>
        </w:tabs>
        <w:numPr>
          <w:ilvl w:val="0"/>
          <w:numId w:val="36"/>
        </w:numPr>
        <w:rPr>
          <w:rFonts w:ascii="Calibri" w:cs="Calibri" w:eastAsia="Calibri" w:hAnsi="Calibri"/>
          <w:sz w:val="21"/>
          <w:szCs w:val="21"/>
          <w:color w:val="auto"/>
          <w:vertAlign w:val="superscript"/>
        </w:rPr>
      </w:pPr>
      <w:r>
        <w:rPr>
          <w:rFonts w:ascii="Calibri" w:cs="Calibri" w:eastAsia="Calibri" w:hAnsi="Calibri"/>
          <w:sz w:val="15"/>
          <w:szCs w:val="15"/>
          <w:color w:val="auto"/>
        </w:rPr>
        <w:t>The Rule 10b5-1 trading arrangement includes the sale of shares to be received upon future vestng of certain outstanding equity awards, net of any shares withheld by us to satsfy applicable taxes. The number of shares to be withheld, and thus the exact number of shares to be sold pursuant to such ofcer’s Rule 10b5-1 trading arrangement, can only be determined upon the occurrence of the future vestng events. For purposes of this disclosure, we have reported the gross number of shares to be received upon the future vestng of such equity awards, before subtractng any shares to be withheld by us to satsfy applicable taxes in connecton with such future vestng events.</w:t>
      </w:r>
    </w:p>
    <w:p>
      <w:pPr>
        <w:spacing w:after="0" w:line="134" w:lineRule="exact"/>
        <w:rPr>
          <w:rFonts w:ascii="Calibri" w:cs="Calibri" w:eastAsia="Calibri" w:hAnsi="Calibri"/>
          <w:sz w:val="21"/>
          <w:szCs w:val="21"/>
          <w:color w:val="auto"/>
          <w:vertAlign w:val="superscript"/>
        </w:rPr>
      </w:pPr>
    </w:p>
    <w:p>
      <w:pPr>
        <w:ind w:left="248" w:hanging="248"/>
        <w:spacing w:after="0"/>
        <w:tabs>
          <w:tab w:leader="none" w:pos="248" w:val="left"/>
        </w:tabs>
        <w:numPr>
          <w:ilvl w:val="0"/>
          <w:numId w:val="36"/>
        </w:numPr>
        <w:rPr>
          <w:rFonts w:ascii="Calibri" w:cs="Calibri" w:eastAsia="Calibri" w:hAnsi="Calibri"/>
          <w:sz w:val="21"/>
          <w:szCs w:val="21"/>
          <w:color w:val="auto"/>
          <w:vertAlign w:val="superscript"/>
        </w:rPr>
      </w:pPr>
      <w:r>
        <w:rPr>
          <w:rFonts w:ascii="Calibri" w:cs="Calibri" w:eastAsia="Calibri" w:hAnsi="Calibri"/>
          <w:sz w:val="15"/>
          <w:szCs w:val="15"/>
          <w:color w:val="auto"/>
        </w:rPr>
        <w:t>The Rule 10b5-1 trading arrangement is intended to permit Mr. Zales to exercise and sell expiring stock optons, subject to certain price limits.</w:t>
      </w:r>
    </w:p>
    <w:p>
      <w:pPr>
        <w:spacing w:after="0" w:line="185" w:lineRule="exact"/>
        <w:rPr>
          <w:sz w:val="20"/>
          <w:szCs w:val="20"/>
          <w:color w:val="auto"/>
        </w:rPr>
      </w:pPr>
    </w:p>
    <w:p>
      <w:pPr>
        <w:ind w:left="8" w:right="20" w:firstLine="511"/>
        <w:spacing w:after="0" w:line="241" w:lineRule="auto"/>
        <w:rPr>
          <w:sz w:val="20"/>
          <w:szCs w:val="20"/>
          <w:color w:val="auto"/>
        </w:rPr>
      </w:pPr>
      <w:r>
        <w:rPr>
          <w:rFonts w:ascii="Calibri" w:cs="Calibri" w:eastAsia="Calibri" w:hAnsi="Calibri"/>
          <w:sz w:val="15"/>
          <w:szCs w:val="15"/>
          <w:color w:val="auto"/>
        </w:rPr>
        <w:t>Other than those disclosed above, none of our directors or ofcers adopted, modifed, or terminated a “Rule 10b5-1 trading arrangement” or “non-Rule 10b5-1 trading arrangement,” in each case as defned in Item 408 of Regulaton S-K.</w:t>
      </w:r>
    </w:p>
    <w:p>
      <w:pPr>
        <w:spacing w:after="0" w:line="184" w:lineRule="exact"/>
        <w:rPr>
          <w:sz w:val="20"/>
          <w:szCs w:val="20"/>
          <w:color w:val="auto"/>
        </w:rPr>
      </w:pPr>
    </w:p>
    <w:p>
      <w:pPr>
        <w:ind w:left="8"/>
        <w:spacing w:after="0"/>
        <w:rPr>
          <w:sz w:val="20"/>
          <w:szCs w:val="20"/>
          <w:color w:val="auto"/>
        </w:rPr>
      </w:pPr>
      <w:r>
        <w:rPr>
          <w:rFonts w:ascii="Calibri" w:cs="Calibri" w:eastAsia="Calibri" w:hAnsi="Calibri"/>
          <w:sz w:val="15"/>
          <w:szCs w:val="15"/>
          <w:b w:val="1"/>
          <w:bCs w:val="1"/>
          <w:color w:val="auto"/>
        </w:rPr>
        <w:t>Item 9C. Disclosure Regarding Foreign Jurisdictons That Prevent Inspectons.</w:t>
      </w:r>
    </w:p>
    <w:p>
      <w:pPr>
        <w:spacing w:after="0" w:line="185" w:lineRule="exact"/>
        <w:rPr>
          <w:sz w:val="20"/>
          <w:szCs w:val="20"/>
          <w:color w:val="auto"/>
        </w:rPr>
      </w:pPr>
    </w:p>
    <w:p>
      <w:pPr>
        <w:ind w:left="508"/>
        <w:spacing w:after="0"/>
        <w:rPr>
          <w:sz w:val="20"/>
          <w:szCs w:val="20"/>
          <w:color w:val="auto"/>
        </w:rPr>
      </w:pPr>
      <w:r>
        <w:rPr>
          <w:rFonts w:ascii="Calibri" w:cs="Calibri" w:eastAsia="Calibri" w:hAnsi="Calibri"/>
          <w:sz w:val="15"/>
          <w:szCs w:val="15"/>
          <w:color w:val="auto"/>
        </w:rPr>
        <w:t>Not Applicable.</w:t>
      </w:r>
    </w:p>
    <w:p>
      <w:pPr>
        <w:spacing w:after="0" w:line="185" w:lineRule="exact"/>
        <w:rPr>
          <w:sz w:val="20"/>
          <w:szCs w:val="20"/>
          <w:color w:val="auto"/>
        </w:rPr>
      </w:pPr>
    </w:p>
    <w:p>
      <w:pPr>
        <w:jc w:val="center"/>
        <w:ind w:right="-7"/>
        <w:spacing w:after="0"/>
        <w:rPr>
          <w:sz w:val="20"/>
          <w:szCs w:val="20"/>
          <w:color w:val="auto"/>
        </w:rPr>
      </w:pPr>
      <w:r>
        <w:rPr>
          <w:rFonts w:ascii="Calibri" w:cs="Calibri" w:eastAsia="Calibri" w:hAnsi="Calibri"/>
          <w:sz w:val="15"/>
          <w:szCs w:val="15"/>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408940</wp:posOffset>
            </wp:positionV>
            <wp:extent cx="7178040" cy="4000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8"/>
          </w:cols>
          <w:pgMar w:left="312" w:top="1133" w:right="319" w:bottom="1440" w:gutter="0" w:footer="0" w:header="0"/>
        </w:sectPr>
      </w:pPr>
    </w:p>
    <w:bookmarkStart w:id="139" w:name="page140"/>
    <w:bookmarkEnd w:id="139"/>
    <w:p>
      <w:pPr>
        <w:jc w:val="center"/>
        <w:spacing w:after="0"/>
        <w:rPr>
          <w:sz w:val="20"/>
          <w:szCs w:val="20"/>
          <w:color w:val="auto"/>
        </w:rPr>
      </w:pPr>
      <w:r>
        <w:rPr>
          <w:rFonts w:ascii="Calibri" w:cs="Calibri" w:eastAsia="Calibri" w:hAnsi="Calibri"/>
          <w:sz w:val="15"/>
          <w:szCs w:val="15"/>
          <w:b w:val="1"/>
          <w:bCs w:val="1"/>
          <w:color w:val="auto"/>
        </w:rPr>
        <w:t>PART III</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b w:val="1"/>
          <w:bCs w:val="1"/>
          <w:color w:val="auto"/>
        </w:rPr>
        <w:t>Item 10. Directors, Executve Oficers and Corporate Governance.</w:t>
      </w:r>
    </w:p>
    <w:p>
      <w:pPr>
        <w:spacing w:after="0" w:line="185" w:lineRule="exact"/>
        <w:rPr>
          <w:sz w:val="20"/>
          <w:szCs w:val="20"/>
          <w:color w:val="auto"/>
        </w:rPr>
      </w:pPr>
    </w:p>
    <w:p>
      <w:pPr>
        <w:ind w:firstLine="511"/>
        <w:spacing w:after="0" w:line="241" w:lineRule="auto"/>
        <w:rPr>
          <w:sz w:val="20"/>
          <w:szCs w:val="20"/>
          <w:color w:val="auto"/>
        </w:rPr>
      </w:pPr>
      <w:r>
        <w:rPr>
          <w:rFonts w:ascii="Calibri" w:cs="Calibri" w:eastAsia="Calibri" w:hAnsi="Calibri"/>
          <w:sz w:val="15"/>
          <w:szCs w:val="15"/>
          <w:color w:val="auto"/>
        </w:rPr>
        <w:t>The informaton concerning our executve ofcers is set forth under the heading “Informaton about our Executve Ofcers” in Item 1 of this Annual Report. The remainder of the informaton required by this Item is incorporated herein by reference from the informaton in our Proxy Statement for our 2024 Annual Meetng of Stockholders.</w:t>
      </w:r>
    </w:p>
    <w:p>
      <w:pPr>
        <w:spacing w:after="0" w:line="184" w:lineRule="exact"/>
        <w:rPr>
          <w:sz w:val="20"/>
          <w:szCs w:val="20"/>
          <w:color w:val="auto"/>
        </w:rPr>
      </w:pPr>
    </w:p>
    <w:p>
      <w:pPr>
        <w:spacing w:after="0"/>
        <w:rPr>
          <w:sz w:val="20"/>
          <w:szCs w:val="20"/>
          <w:color w:val="auto"/>
        </w:rPr>
      </w:pPr>
      <w:r>
        <w:rPr>
          <w:rFonts w:ascii="Calibri" w:cs="Calibri" w:eastAsia="Calibri" w:hAnsi="Calibri"/>
          <w:sz w:val="15"/>
          <w:szCs w:val="15"/>
          <w:b w:val="1"/>
          <w:bCs w:val="1"/>
          <w:color w:val="auto"/>
        </w:rPr>
        <w:t>Item 11. Executve Compensaton.</w:t>
      </w:r>
    </w:p>
    <w:p>
      <w:pPr>
        <w:spacing w:after="0" w:line="185" w:lineRule="exact"/>
        <w:rPr>
          <w:sz w:val="20"/>
          <w:szCs w:val="20"/>
          <w:color w:val="auto"/>
        </w:rPr>
      </w:pPr>
    </w:p>
    <w:p>
      <w:pPr>
        <w:ind w:left="500"/>
        <w:spacing w:after="0"/>
        <w:rPr>
          <w:sz w:val="20"/>
          <w:szCs w:val="20"/>
          <w:color w:val="auto"/>
        </w:rPr>
      </w:pPr>
      <w:r>
        <w:rPr>
          <w:rFonts w:ascii="Calibri" w:cs="Calibri" w:eastAsia="Calibri" w:hAnsi="Calibri"/>
          <w:sz w:val="15"/>
          <w:szCs w:val="15"/>
          <w:color w:val="auto"/>
        </w:rPr>
        <w:t>The informaton required by this Item is incorporated herein by reference from the informaton in our Proxy Statement for our 2024 Annual Meetng of Stockholders.</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b w:val="1"/>
          <w:bCs w:val="1"/>
          <w:color w:val="auto"/>
        </w:rPr>
        <w:t>Item 12. Security Ownership of Certain Benefcial Owners and Management and Related Stockholder Maters.</w:t>
      </w:r>
    </w:p>
    <w:p>
      <w:pPr>
        <w:spacing w:after="0" w:line="185" w:lineRule="exact"/>
        <w:rPr>
          <w:sz w:val="20"/>
          <w:szCs w:val="20"/>
          <w:color w:val="auto"/>
        </w:rPr>
      </w:pPr>
    </w:p>
    <w:p>
      <w:pPr>
        <w:ind w:left="500"/>
        <w:spacing w:after="0"/>
        <w:rPr>
          <w:sz w:val="20"/>
          <w:szCs w:val="20"/>
          <w:color w:val="auto"/>
        </w:rPr>
      </w:pPr>
      <w:r>
        <w:rPr>
          <w:rFonts w:ascii="Calibri" w:cs="Calibri" w:eastAsia="Calibri" w:hAnsi="Calibri"/>
          <w:sz w:val="15"/>
          <w:szCs w:val="15"/>
          <w:color w:val="auto"/>
        </w:rPr>
        <w:t>The informaton required by this Item is incorporated herein by reference from the informaton in our Proxy Statement for our 2024 Annual Meetng of Stockholders.</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b w:val="1"/>
          <w:bCs w:val="1"/>
          <w:color w:val="auto"/>
        </w:rPr>
        <w:t>Item 13. Certain Relatonships and Related Transactons, and Director Independence.</w:t>
      </w:r>
    </w:p>
    <w:p>
      <w:pPr>
        <w:spacing w:after="0" w:line="185" w:lineRule="exact"/>
        <w:rPr>
          <w:sz w:val="20"/>
          <w:szCs w:val="20"/>
          <w:color w:val="auto"/>
        </w:rPr>
      </w:pPr>
    </w:p>
    <w:p>
      <w:pPr>
        <w:ind w:left="500"/>
        <w:spacing w:after="0"/>
        <w:rPr>
          <w:sz w:val="20"/>
          <w:szCs w:val="20"/>
          <w:color w:val="auto"/>
        </w:rPr>
      </w:pPr>
      <w:r>
        <w:rPr>
          <w:rFonts w:ascii="Calibri" w:cs="Calibri" w:eastAsia="Calibri" w:hAnsi="Calibri"/>
          <w:sz w:val="15"/>
          <w:szCs w:val="15"/>
          <w:color w:val="auto"/>
        </w:rPr>
        <w:t>The informaton required by this Item is incorporated herein by reference from the informaton in our Proxy Statement for our 2024 Annual Meetng of Stockholders.</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b w:val="1"/>
          <w:bCs w:val="1"/>
          <w:color w:val="auto"/>
        </w:rPr>
        <w:t>Item 14. Principal Accountant Fees and Services.</w:t>
      </w:r>
    </w:p>
    <w:p>
      <w:pPr>
        <w:spacing w:after="0" w:line="185" w:lineRule="exact"/>
        <w:rPr>
          <w:sz w:val="20"/>
          <w:szCs w:val="20"/>
          <w:color w:val="auto"/>
        </w:rPr>
      </w:pPr>
    </w:p>
    <w:p>
      <w:pPr>
        <w:ind w:left="500"/>
        <w:spacing w:after="0"/>
        <w:rPr>
          <w:sz w:val="20"/>
          <w:szCs w:val="20"/>
          <w:color w:val="auto"/>
        </w:rPr>
      </w:pPr>
      <w:r>
        <w:rPr>
          <w:rFonts w:ascii="Calibri" w:cs="Calibri" w:eastAsia="Calibri" w:hAnsi="Calibri"/>
          <w:sz w:val="15"/>
          <w:szCs w:val="15"/>
          <w:color w:val="auto"/>
        </w:rPr>
        <w:t>The informaton required by this Item is incorporated herein by reference from the informaton in our Proxy Statement for our 2024 Annual Meetng of Stockholders.</w:t>
      </w:r>
    </w:p>
    <w:p>
      <w:pPr>
        <w:spacing w:after="0" w:line="185" w:lineRule="exact"/>
        <w:rPr>
          <w:sz w:val="20"/>
          <w:szCs w:val="20"/>
          <w:color w:val="auto"/>
        </w:rPr>
      </w:pPr>
    </w:p>
    <w:p>
      <w:pPr>
        <w:jc w:val="center"/>
        <w:spacing w:after="0"/>
        <w:rPr>
          <w:sz w:val="20"/>
          <w:szCs w:val="20"/>
          <w:color w:val="auto"/>
        </w:rPr>
      </w:pPr>
      <w:r>
        <w:rPr>
          <w:rFonts w:ascii="Calibri" w:cs="Calibri" w:eastAsia="Calibri" w:hAnsi="Calibri"/>
          <w:sz w:val="15"/>
          <w:szCs w:val="15"/>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408940</wp:posOffset>
            </wp:positionV>
            <wp:extent cx="7178040" cy="4000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33" w:right="319" w:bottom="1440" w:gutter="0" w:footer="0" w:header="0"/>
        </w:sectPr>
      </w:pPr>
    </w:p>
    <w:bookmarkStart w:id="140" w:name="page141"/>
    <w:bookmarkEnd w:id="140"/>
    <w:p>
      <w:pPr>
        <w:jc w:val="center"/>
        <w:ind w:right="12"/>
        <w:spacing w:after="0"/>
        <w:rPr>
          <w:sz w:val="20"/>
          <w:szCs w:val="20"/>
          <w:color w:val="auto"/>
        </w:rPr>
      </w:pPr>
      <w:r>
        <w:rPr>
          <w:rFonts w:ascii="Calibri" w:cs="Calibri" w:eastAsia="Calibri" w:hAnsi="Calibri"/>
          <w:sz w:val="15"/>
          <w:szCs w:val="15"/>
          <w:b w:val="1"/>
          <w:bCs w:val="1"/>
          <w:color w:val="auto"/>
        </w:rPr>
        <w:t>PART IV</w:t>
      </w:r>
    </w:p>
    <w:p>
      <w:pPr>
        <w:spacing w:after="0" w:line="185" w:lineRule="exact"/>
        <w:rPr>
          <w:sz w:val="20"/>
          <w:szCs w:val="20"/>
          <w:color w:val="auto"/>
        </w:rPr>
      </w:pPr>
    </w:p>
    <w:p>
      <w:pPr>
        <w:ind w:left="8"/>
        <w:spacing w:after="0"/>
        <w:rPr>
          <w:sz w:val="20"/>
          <w:szCs w:val="20"/>
          <w:color w:val="auto"/>
        </w:rPr>
      </w:pPr>
      <w:r>
        <w:rPr>
          <w:rFonts w:ascii="Calibri" w:cs="Calibri" w:eastAsia="Calibri" w:hAnsi="Calibri"/>
          <w:sz w:val="15"/>
          <w:szCs w:val="15"/>
          <w:b w:val="1"/>
          <w:bCs w:val="1"/>
          <w:color w:val="auto"/>
        </w:rPr>
        <w:t>Item 15. Exhibits, Financial Statement Schedules.</w:t>
      </w:r>
    </w:p>
    <w:p>
      <w:pPr>
        <w:spacing w:after="0" w:line="185" w:lineRule="exact"/>
        <w:rPr>
          <w:sz w:val="20"/>
          <w:szCs w:val="20"/>
          <w:color w:val="auto"/>
        </w:rPr>
      </w:pPr>
    </w:p>
    <w:p>
      <w:pPr>
        <w:ind w:left="208" w:hanging="208"/>
        <w:spacing w:after="0"/>
        <w:tabs>
          <w:tab w:leader="none" w:pos="208" w:val="left"/>
        </w:tabs>
        <w:numPr>
          <w:ilvl w:val="0"/>
          <w:numId w:val="37"/>
        </w:numPr>
        <w:rPr>
          <w:rFonts w:ascii="Calibri" w:cs="Calibri" w:eastAsia="Calibri" w:hAnsi="Calibri"/>
          <w:sz w:val="15"/>
          <w:szCs w:val="15"/>
          <w:b w:val="1"/>
          <w:bCs w:val="1"/>
          <w:color w:val="auto"/>
        </w:rPr>
      </w:pPr>
      <w:r>
        <w:rPr>
          <w:rFonts w:ascii="Calibri" w:cs="Calibri" w:eastAsia="Calibri" w:hAnsi="Calibri"/>
          <w:sz w:val="15"/>
          <w:szCs w:val="15"/>
          <w:b w:val="1"/>
          <w:bCs w:val="1"/>
          <w:color w:val="auto"/>
        </w:rPr>
        <w:t>Documents fled as a part of this Report:</w:t>
      </w:r>
    </w:p>
    <w:p>
      <w:pPr>
        <w:spacing w:after="0" w:line="185" w:lineRule="exact"/>
        <w:rPr>
          <w:rFonts w:ascii="Calibri" w:cs="Calibri" w:eastAsia="Calibri" w:hAnsi="Calibri"/>
          <w:sz w:val="15"/>
          <w:szCs w:val="15"/>
          <w:b w:val="1"/>
          <w:bCs w:val="1"/>
          <w:color w:val="auto"/>
        </w:rPr>
      </w:pPr>
    </w:p>
    <w:p>
      <w:pPr>
        <w:ind w:left="708" w:hanging="197"/>
        <w:spacing w:after="0"/>
        <w:tabs>
          <w:tab w:leader="none" w:pos="708" w:val="left"/>
        </w:tabs>
        <w:numPr>
          <w:ilvl w:val="1"/>
          <w:numId w:val="37"/>
        </w:numPr>
        <w:rPr>
          <w:rFonts w:ascii="Calibri" w:cs="Calibri" w:eastAsia="Calibri" w:hAnsi="Calibri"/>
          <w:sz w:val="15"/>
          <w:szCs w:val="15"/>
          <w:b w:val="1"/>
          <w:bCs w:val="1"/>
          <w:color w:val="auto"/>
        </w:rPr>
      </w:pPr>
      <w:r>
        <w:rPr>
          <w:rFonts w:ascii="Calibri" w:cs="Calibri" w:eastAsia="Calibri" w:hAnsi="Calibri"/>
          <w:sz w:val="15"/>
          <w:szCs w:val="15"/>
          <w:b w:val="1"/>
          <w:bCs w:val="1"/>
          <w:color w:val="auto"/>
        </w:rPr>
        <w:t>Financial Statements</w:t>
      </w:r>
    </w:p>
    <w:p>
      <w:pPr>
        <w:spacing w:after="0" w:line="185" w:lineRule="exact"/>
        <w:rPr>
          <w:sz w:val="20"/>
          <w:szCs w:val="20"/>
          <w:color w:val="auto"/>
        </w:rPr>
      </w:pPr>
    </w:p>
    <w:p>
      <w:pPr>
        <w:ind w:left="508"/>
        <w:spacing w:after="0"/>
        <w:rPr>
          <w:sz w:val="20"/>
          <w:szCs w:val="20"/>
          <w:color w:val="auto"/>
        </w:rPr>
      </w:pPr>
      <w:r>
        <w:rPr>
          <w:rFonts w:ascii="Calibri" w:cs="Calibri" w:eastAsia="Calibri" w:hAnsi="Calibri"/>
          <w:sz w:val="15"/>
          <w:szCs w:val="15"/>
          <w:color w:val="auto"/>
        </w:rPr>
        <w:t>The fnancial statements of CarGurus, Inc. are included in Item 8 of this Annual Report.</w:t>
      </w:r>
    </w:p>
    <w:p>
      <w:pPr>
        <w:spacing w:after="0" w:line="185" w:lineRule="exact"/>
        <w:rPr>
          <w:sz w:val="20"/>
          <w:szCs w:val="20"/>
          <w:color w:val="auto"/>
        </w:rPr>
      </w:pPr>
    </w:p>
    <w:p>
      <w:pPr>
        <w:ind w:left="508"/>
        <w:spacing w:after="0"/>
        <w:rPr>
          <w:sz w:val="20"/>
          <w:szCs w:val="20"/>
          <w:color w:val="auto"/>
        </w:rPr>
      </w:pPr>
      <w:r>
        <w:rPr>
          <w:rFonts w:ascii="Calibri" w:cs="Calibri" w:eastAsia="Calibri" w:hAnsi="Calibri"/>
          <w:sz w:val="15"/>
          <w:szCs w:val="15"/>
          <w:b w:val="1"/>
          <w:bCs w:val="1"/>
          <w:color w:val="auto"/>
        </w:rPr>
        <w:t>(2) Financial Statement Schedules</w:t>
      </w:r>
    </w:p>
    <w:p>
      <w:pPr>
        <w:spacing w:after="0" w:line="185" w:lineRule="exact"/>
        <w:rPr>
          <w:sz w:val="20"/>
          <w:szCs w:val="20"/>
          <w:color w:val="auto"/>
        </w:rPr>
      </w:pPr>
    </w:p>
    <w:p>
      <w:pPr>
        <w:ind w:left="508"/>
        <w:spacing w:after="0"/>
        <w:rPr>
          <w:sz w:val="20"/>
          <w:szCs w:val="20"/>
          <w:color w:val="auto"/>
        </w:rPr>
      </w:pPr>
      <w:r>
        <w:rPr>
          <w:rFonts w:ascii="Calibri" w:cs="Calibri" w:eastAsia="Calibri" w:hAnsi="Calibri"/>
          <w:sz w:val="15"/>
          <w:szCs w:val="15"/>
          <w:color w:val="auto"/>
        </w:rPr>
        <w:t>All fnancial statements schedules are omited as they are either not required or the informaton is otherwise included in the consolidated fnancial statements and related notes.</w:t>
      </w:r>
    </w:p>
    <w:p>
      <w:pPr>
        <w:spacing w:after="0" w:line="185" w:lineRule="exact"/>
        <w:rPr>
          <w:sz w:val="20"/>
          <w:szCs w:val="20"/>
          <w:color w:val="auto"/>
        </w:rPr>
      </w:pPr>
    </w:p>
    <w:p>
      <w:pPr>
        <w:ind w:left="508"/>
        <w:spacing w:after="0"/>
        <w:rPr>
          <w:sz w:val="20"/>
          <w:szCs w:val="20"/>
          <w:color w:val="auto"/>
        </w:rPr>
      </w:pPr>
      <w:r>
        <w:rPr>
          <w:rFonts w:ascii="Calibri" w:cs="Calibri" w:eastAsia="Calibri" w:hAnsi="Calibri"/>
          <w:sz w:val="15"/>
          <w:szCs w:val="15"/>
          <w:b w:val="1"/>
          <w:bCs w:val="1"/>
          <w:color w:val="auto"/>
        </w:rPr>
        <w:t>(3) Index to Exhibits</w:t>
      </w:r>
    </w:p>
    <w:p>
      <w:pPr>
        <w:spacing w:after="0" w:line="185" w:lineRule="exact"/>
        <w:rPr>
          <w:sz w:val="20"/>
          <w:szCs w:val="20"/>
          <w:color w:val="auto"/>
        </w:rPr>
      </w:pPr>
    </w:p>
    <w:p>
      <w:pPr>
        <w:ind w:left="8" w:firstLine="511"/>
        <w:spacing w:after="0" w:line="241" w:lineRule="auto"/>
        <w:rPr>
          <w:sz w:val="20"/>
          <w:szCs w:val="20"/>
          <w:color w:val="auto"/>
        </w:rPr>
      </w:pPr>
      <w:r>
        <w:rPr>
          <w:rFonts w:ascii="Calibri" w:cs="Calibri" w:eastAsia="Calibri" w:hAnsi="Calibri"/>
          <w:sz w:val="15"/>
          <w:szCs w:val="15"/>
          <w:color w:val="auto"/>
        </w:rPr>
        <w:t>The documents listed in the Exhibit Index immediately preceding the signature page of this Annual Report are incorporated by reference or are fled or furnished with this Annual Report, in each case as indicated therein (numbered in accordance with Item 601 of Regulaton S-K).</w:t>
      </w:r>
    </w:p>
    <w:p>
      <w:pPr>
        <w:spacing w:after="0" w:line="184" w:lineRule="exact"/>
        <w:rPr>
          <w:sz w:val="20"/>
          <w:szCs w:val="20"/>
          <w:color w:val="auto"/>
        </w:rPr>
      </w:pPr>
    </w:p>
    <w:p>
      <w:pPr>
        <w:ind w:left="8"/>
        <w:spacing w:after="0"/>
        <w:rPr>
          <w:sz w:val="20"/>
          <w:szCs w:val="20"/>
          <w:color w:val="auto"/>
        </w:rPr>
      </w:pPr>
      <w:r>
        <w:rPr>
          <w:rFonts w:ascii="Calibri" w:cs="Calibri" w:eastAsia="Calibri" w:hAnsi="Calibri"/>
          <w:sz w:val="15"/>
          <w:szCs w:val="15"/>
          <w:b w:val="1"/>
          <w:bCs w:val="1"/>
          <w:color w:val="auto"/>
        </w:rPr>
        <w:t>Item 16. Form 10-K Summary.</w:t>
      </w:r>
    </w:p>
    <w:p>
      <w:pPr>
        <w:spacing w:after="0" w:line="185" w:lineRule="exact"/>
        <w:rPr>
          <w:sz w:val="20"/>
          <w:szCs w:val="20"/>
          <w:color w:val="auto"/>
        </w:rPr>
      </w:pPr>
    </w:p>
    <w:p>
      <w:pPr>
        <w:ind w:left="508"/>
        <w:spacing w:after="0"/>
        <w:rPr>
          <w:sz w:val="20"/>
          <w:szCs w:val="20"/>
          <w:color w:val="auto"/>
        </w:rPr>
      </w:pPr>
      <w:r>
        <w:rPr>
          <w:rFonts w:ascii="Calibri" w:cs="Calibri" w:eastAsia="Calibri" w:hAnsi="Calibri"/>
          <w:sz w:val="15"/>
          <w:szCs w:val="15"/>
          <w:color w:val="auto"/>
        </w:rPr>
        <w:t>Not applicable.</w:t>
      </w:r>
    </w:p>
    <w:p>
      <w:pPr>
        <w:spacing w:after="0" w:line="185" w:lineRule="exact"/>
        <w:rPr>
          <w:sz w:val="20"/>
          <w:szCs w:val="20"/>
          <w:color w:val="auto"/>
        </w:rPr>
      </w:pPr>
    </w:p>
    <w:p>
      <w:pPr>
        <w:jc w:val="center"/>
        <w:ind w:right="-7"/>
        <w:spacing w:after="0"/>
        <w:rPr>
          <w:sz w:val="20"/>
          <w:szCs w:val="20"/>
          <w:color w:val="auto"/>
        </w:rPr>
      </w:pPr>
      <w:r>
        <w:rPr>
          <w:rFonts w:ascii="Calibri" w:cs="Calibri" w:eastAsia="Calibri" w:hAnsi="Calibri"/>
          <w:sz w:val="15"/>
          <w:szCs w:val="15"/>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408940</wp:posOffset>
            </wp:positionV>
            <wp:extent cx="7178040" cy="4000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48"/>
          </w:cols>
          <w:pgMar w:left="312" w:top="1133" w:right="339" w:bottom="1440" w:gutter="0" w:footer="0" w:header="0"/>
        </w:sectPr>
      </w:pPr>
    </w:p>
    <w:bookmarkStart w:id="141" w:name="page142"/>
    <w:bookmarkEnd w:id="141"/>
    <w:p>
      <w:pPr>
        <w:jc w:val="center"/>
        <w:ind w:right="20"/>
        <w:spacing w:after="0"/>
        <w:rPr>
          <w:sz w:val="20"/>
          <w:szCs w:val="20"/>
          <w:color w:val="auto"/>
        </w:rPr>
      </w:pPr>
      <w:r>
        <w:rPr>
          <w:rFonts w:ascii="Calibri" w:cs="Calibri" w:eastAsia="Calibri" w:hAnsi="Calibri"/>
          <w:sz w:val="15"/>
          <w:szCs w:val="15"/>
          <w:b w:val="1"/>
          <w:bCs w:val="1"/>
          <w:color w:val="auto"/>
        </w:rPr>
        <w:t>EXHIBIT INDEX</w:t>
      </w:r>
    </w:p>
    <w:p>
      <w:pPr>
        <w:sectPr>
          <w:pgSz w:w="11900" w:h="16838" w:orient="portrait"/>
          <w:cols w:equalWidth="0" w:num="1">
            <w:col w:w="11260"/>
          </w:cols>
          <w:pgMar w:left="320" w:top="949" w:right="31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alibri" w:cs="Calibri" w:eastAsia="Calibri" w:hAnsi="Calibri"/>
          <w:sz w:val="12"/>
          <w:szCs w:val="12"/>
          <w:b w:val="1"/>
          <w:bCs w:val="1"/>
          <w:color w:val="auto"/>
        </w:rPr>
        <w:t>Exhibit</w:t>
      </w:r>
    </w:p>
    <w:p>
      <w:pPr>
        <w:spacing w:after="0" w:line="3" w:lineRule="exact"/>
        <w:rPr>
          <w:sz w:val="20"/>
          <w:szCs w:val="20"/>
          <w:color w:val="auto"/>
        </w:rPr>
      </w:pPr>
    </w:p>
    <w:p>
      <w:pPr>
        <w:spacing w:after="0"/>
        <w:rPr>
          <w:sz w:val="20"/>
          <w:szCs w:val="20"/>
          <w:color w:val="auto"/>
        </w:rPr>
      </w:pPr>
      <w:r>
        <w:rPr>
          <w:rFonts w:ascii="Calibri" w:cs="Calibri" w:eastAsia="Calibri" w:hAnsi="Calibri"/>
          <w:sz w:val="12"/>
          <w:szCs w:val="12"/>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32385</wp:posOffset>
            </wp:positionV>
            <wp:extent cx="504190" cy="762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504190" cy="7620"/>
                    </a:xfrm>
                    <a:prstGeom prst="rect">
                      <a:avLst/>
                    </a:prstGeom>
                    <a:noFill/>
                  </pic:spPr>
                </pic:pic>
              </a:graphicData>
            </a:graphic>
          </wp:anchor>
        </w:drawing>
      </w:r>
    </w:p>
    <w:p>
      <w:pPr>
        <w:spacing w:after="0" w:line="35" w:lineRule="exact"/>
        <w:rPr>
          <w:sz w:val="20"/>
          <w:szCs w:val="20"/>
          <w:color w:val="auto"/>
        </w:rPr>
      </w:pPr>
    </w:p>
    <w:p>
      <w:pPr>
        <w:jc w:val="right"/>
        <w:spacing w:after="0"/>
        <w:rPr>
          <w:sz w:val="20"/>
          <w:szCs w:val="20"/>
          <w:color w:val="auto"/>
        </w:rPr>
      </w:pPr>
      <w:r>
        <w:rPr>
          <w:rFonts w:ascii="Calibri" w:cs="Calibri" w:eastAsia="Calibri" w:hAnsi="Calibri"/>
          <w:sz w:val="15"/>
          <w:szCs w:val="15"/>
          <w:color w:val="auto"/>
        </w:rPr>
        <w:t>2.1</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46"/>
        </w:trPr>
        <w:tc>
          <w:tcPr>
            <w:tcW w:w="12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80" w:type="dxa"/>
            <w:vAlign w:val="bottom"/>
            <w:gridSpan w:val="3"/>
          </w:tcPr>
          <w:p>
            <w:pPr>
              <w:ind w:left="900"/>
              <w:spacing w:after="0"/>
              <w:rPr>
                <w:sz w:val="20"/>
                <w:szCs w:val="20"/>
                <w:color w:val="auto"/>
              </w:rPr>
            </w:pPr>
            <w:r>
              <w:rPr>
                <w:rFonts w:ascii="Calibri" w:cs="Calibri" w:eastAsia="Calibri" w:hAnsi="Calibri"/>
                <w:sz w:val="12"/>
                <w:szCs w:val="12"/>
                <w:b w:val="1"/>
                <w:bCs w:val="1"/>
                <w:color w:val="auto"/>
              </w:rPr>
              <w:t>Incorporated by Reference</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12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vMerge w:val="restart"/>
          </w:tcPr>
          <w:p>
            <w:pPr>
              <w:jc w:val="center"/>
              <w:spacing w:after="0"/>
              <w:rPr>
                <w:sz w:val="20"/>
                <w:szCs w:val="20"/>
                <w:color w:val="auto"/>
              </w:rPr>
            </w:pPr>
            <w:r>
              <w:rPr>
                <w:rFonts w:ascii="Calibri" w:cs="Calibri" w:eastAsia="Calibri" w:hAnsi="Calibri"/>
                <w:sz w:val="12"/>
                <w:szCs w:val="12"/>
                <w:b w:val="1"/>
                <w:bCs w:val="1"/>
                <w:color w:val="auto"/>
              </w:rPr>
              <w:t>Filed or</w:t>
            </w:r>
          </w:p>
        </w:tc>
        <w:tc>
          <w:tcPr>
            <w:tcW w:w="0" w:type="dxa"/>
            <w:vAlign w:val="bottom"/>
          </w:tcPr>
          <w:p>
            <w:pPr>
              <w:spacing w:after="0"/>
              <w:rPr>
                <w:sz w:val="1"/>
                <w:szCs w:val="1"/>
                <w:color w:val="auto"/>
              </w:rPr>
            </w:pPr>
          </w:p>
        </w:tc>
      </w:tr>
      <w:tr>
        <w:trPr>
          <w:trHeight w:val="137"/>
        </w:trPr>
        <w:tc>
          <w:tcPr>
            <w:tcW w:w="12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122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Calibri" w:cs="Calibri" w:eastAsia="Calibri" w:hAnsi="Calibri"/>
                <w:sz w:val="12"/>
                <w:szCs w:val="12"/>
                <w:b w:val="1"/>
                <w:bCs w:val="1"/>
                <w:color w:val="auto"/>
              </w:rPr>
              <w:t>File</w:t>
            </w:r>
          </w:p>
        </w:tc>
        <w:tc>
          <w:tcPr>
            <w:tcW w:w="1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center"/>
              <w:ind w:left="34"/>
              <w:spacing w:after="0"/>
              <w:rPr>
                <w:sz w:val="20"/>
                <w:szCs w:val="20"/>
                <w:color w:val="auto"/>
              </w:rPr>
            </w:pPr>
            <w:r>
              <w:rPr>
                <w:rFonts w:ascii="Calibri" w:cs="Calibri" w:eastAsia="Calibri" w:hAnsi="Calibri"/>
                <w:sz w:val="12"/>
                <w:szCs w:val="12"/>
                <w:b w:val="1"/>
                <w:bCs w:val="1"/>
                <w:color w:val="auto"/>
              </w:rPr>
              <w:t>Exhibit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Calibri" w:cs="Calibri" w:eastAsia="Calibri" w:hAnsi="Calibri"/>
                <w:sz w:val="12"/>
                <w:szCs w:val="12"/>
                <w:b w:val="1"/>
                <w:bCs w:val="1"/>
                <w:color w:val="auto"/>
              </w:rPr>
              <w:t>Furnished</w:t>
            </w:r>
          </w:p>
        </w:tc>
        <w:tc>
          <w:tcPr>
            <w:tcW w:w="0" w:type="dxa"/>
            <w:vAlign w:val="bottom"/>
          </w:tcPr>
          <w:p>
            <w:pPr>
              <w:spacing w:after="0"/>
              <w:rPr>
                <w:sz w:val="1"/>
                <w:szCs w:val="1"/>
                <w:color w:val="auto"/>
              </w:rPr>
            </w:pPr>
          </w:p>
        </w:tc>
      </w:tr>
      <w:tr>
        <w:trPr>
          <w:trHeight w:val="150"/>
        </w:trPr>
        <w:tc>
          <w:tcPr>
            <w:tcW w:w="1220" w:type="dxa"/>
            <w:vAlign w:val="bottom"/>
          </w:tcPr>
          <w:p>
            <w:pPr>
              <w:spacing w:after="0"/>
              <w:rPr>
                <w:sz w:val="13"/>
                <w:szCs w:val="13"/>
                <w:color w:val="auto"/>
              </w:rPr>
            </w:pPr>
          </w:p>
        </w:tc>
        <w:tc>
          <w:tcPr>
            <w:tcW w:w="3180" w:type="dxa"/>
            <w:vAlign w:val="bottom"/>
            <w:gridSpan w:val="5"/>
          </w:tcPr>
          <w:p>
            <w:pPr>
              <w:ind w:left="440"/>
              <w:spacing w:after="0"/>
              <w:rPr>
                <w:sz w:val="20"/>
                <w:szCs w:val="20"/>
                <w:color w:val="auto"/>
              </w:rPr>
            </w:pPr>
            <w:r>
              <w:rPr>
                <w:rFonts w:ascii="Calibri" w:cs="Calibri" w:eastAsia="Calibri" w:hAnsi="Calibri"/>
                <w:sz w:val="12"/>
                <w:szCs w:val="12"/>
                <w:b w:val="1"/>
                <w:bCs w:val="1"/>
                <w:color w:val="auto"/>
              </w:rPr>
              <w:t>Exhibit Descripton</w:t>
            </w:r>
          </w:p>
        </w:tc>
        <w:tc>
          <w:tcPr>
            <w:tcW w:w="780" w:type="dxa"/>
            <w:vAlign w:val="bottom"/>
          </w:tcPr>
          <w:p>
            <w:pPr>
              <w:ind w:left="260"/>
              <w:spacing w:after="0"/>
              <w:rPr>
                <w:sz w:val="20"/>
                <w:szCs w:val="20"/>
                <w:color w:val="auto"/>
              </w:rPr>
            </w:pPr>
            <w:r>
              <w:rPr>
                <w:rFonts w:ascii="Calibri" w:cs="Calibri" w:eastAsia="Calibri" w:hAnsi="Calibri"/>
                <w:sz w:val="12"/>
                <w:szCs w:val="12"/>
                <w:b w:val="1"/>
                <w:bCs w:val="1"/>
                <w:color w:val="auto"/>
              </w:rPr>
              <w:t>Form</w:t>
            </w:r>
          </w:p>
        </w:tc>
        <w:tc>
          <w:tcPr>
            <w:tcW w:w="12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Calibri" w:cs="Calibri" w:eastAsia="Calibri" w:hAnsi="Calibri"/>
                <w:sz w:val="12"/>
                <w:szCs w:val="12"/>
                <w:b w:val="1"/>
                <w:bCs w:val="1"/>
                <w:color w:val="auto"/>
              </w:rPr>
              <w:t>Number</w:t>
            </w:r>
          </w:p>
        </w:tc>
        <w:tc>
          <w:tcPr>
            <w:tcW w:w="120" w:type="dxa"/>
            <w:vAlign w:val="bottom"/>
          </w:tcPr>
          <w:p>
            <w:pPr>
              <w:spacing w:after="0"/>
              <w:rPr>
                <w:sz w:val="13"/>
                <w:szCs w:val="13"/>
                <w:color w:val="auto"/>
              </w:rPr>
            </w:pPr>
          </w:p>
        </w:tc>
        <w:tc>
          <w:tcPr>
            <w:tcW w:w="1920" w:type="dxa"/>
            <w:vAlign w:val="bottom"/>
          </w:tcPr>
          <w:p>
            <w:pPr>
              <w:jc w:val="center"/>
              <w:spacing w:after="0"/>
              <w:rPr>
                <w:sz w:val="20"/>
                <w:szCs w:val="20"/>
                <w:color w:val="auto"/>
              </w:rPr>
            </w:pPr>
            <w:r>
              <w:rPr>
                <w:rFonts w:ascii="Calibri" w:cs="Calibri" w:eastAsia="Calibri" w:hAnsi="Calibri"/>
                <w:sz w:val="12"/>
                <w:szCs w:val="12"/>
                <w:b w:val="1"/>
                <w:bCs w:val="1"/>
                <w:color w:val="auto"/>
              </w:rPr>
              <w:t>Filing Date</w:t>
            </w:r>
          </w:p>
        </w:tc>
        <w:tc>
          <w:tcPr>
            <w:tcW w:w="120" w:type="dxa"/>
            <w:vAlign w:val="bottom"/>
          </w:tcPr>
          <w:p>
            <w:pPr>
              <w:spacing w:after="0"/>
              <w:rPr>
                <w:sz w:val="13"/>
                <w:szCs w:val="13"/>
                <w:color w:val="auto"/>
              </w:rPr>
            </w:pPr>
          </w:p>
        </w:tc>
        <w:tc>
          <w:tcPr>
            <w:tcW w:w="660" w:type="dxa"/>
            <w:vAlign w:val="bottom"/>
          </w:tcPr>
          <w:p>
            <w:pPr>
              <w:jc w:val="center"/>
              <w:ind w:left="54"/>
              <w:spacing w:after="0"/>
              <w:rPr>
                <w:sz w:val="20"/>
                <w:szCs w:val="20"/>
                <w:color w:val="auto"/>
              </w:rPr>
            </w:pPr>
            <w:r>
              <w:rPr>
                <w:rFonts w:ascii="Calibri" w:cs="Calibri" w:eastAsia="Calibri" w:hAnsi="Calibri"/>
                <w:sz w:val="12"/>
                <w:szCs w:val="12"/>
                <w:b w:val="1"/>
                <w:bCs w:val="1"/>
                <w:color w:val="auto"/>
              </w:rPr>
              <w:t>Number</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Calibri" w:cs="Calibri" w:eastAsia="Calibri" w:hAnsi="Calibri"/>
                <w:sz w:val="12"/>
                <w:szCs w:val="12"/>
                <w:b w:val="1"/>
                <w:bCs w:val="1"/>
                <w:color w:val="auto"/>
              </w:rPr>
              <w:t>Herewith</w:t>
            </w:r>
          </w:p>
        </w:tc>
        <w:tc>
          <w:tcPr>
            <w:tcW w:w="0" w:type="dxa"/>
            <w:vAlign w:val="bottom"/>
          </w:tcPr>
          <w:p>
            <w:pPr>
              <w:spacing w:after="0"/>
              <w:rPr>
                <w:sz w:val="1"/>
                <w:szCs w:val="1"/>
                <w:color w:val="auto"/>
              </w:rPr>
            </w:pPr>
          </w:p>
        </w:tc>
      </w:tr>
      <w:tr>
        <w:trPr>
          <w:trHeight w:val="28"/>
        </w:trPr>
        <w:tc>
          <w:tcPr>
            <w:tcW w:w="12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4140" w:type="dxa"/>
            <w:vAlign w:val="bottom"/>
            <w:tcBorders>
              <w:top w:val="single" w:sz="8" w:color="auto"/>
              <w:bottom w:val="single" w:sz="8" w:color="0000FF"/>
            </w:tcBorders>
            <w:gridSpan w:val="3"/>
          </w:tcPr>
          <w:p>
            <w:pPr>
              <w:ind w:left="20"/>
              <w:spacing w:after="0" w:line="141" w:lineRule="exact"/>
              <w:rPr>
                <w:rFonts w:ascii="Calibri" w:cs="Calibri" w:eastAsia="Calibri" w:hAnsi="Calibri"/>
                <w:sz w:val="15"/>
                <w:szCs w:val="15"/>
                <w:color w:val="0000FF"/>
                <w:w w:val="99"/>
              </w:rPr>
            </w:pPr>
            <w:hyperlink r:id="rId477">
              <w:r>
                <w:rPr>
                  <w:rFonts w:ascii="Calibri" w:cs="Calibri" w:eastAsia="Calibri" w:hAnsi="Calibri"/>
                  <w:sz w:val="15"/>
                  <w:szCs w:val="15"/>
                  <w:color w:val="0000FF"/>
                  <w:w w:val="99"/>
                </w:rPr>
                <w:t>Membership Interest Purchase Agreement dated as of December 9,</w:t>
              </w:r>
            </w:hyperlink>
          </w:p>
        </w:tc>
        <w:tc>
          <w:tcPr>
            <w:tcW w:w="140" w:type="dxa"/>
            <w:vAlign w:val="bottom"/>
            <w:tcBorders>
              <w:top w:val="single" w:sz="8" w:color="auto"/>
            </w:tcBorders>
            <w:gridSpan w:val="2"/>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top w:val="single" w:sz="8" w:color="auto"/>
            </w:tcBorders>
          </w:tcPr>
          <w:p>
            <w:pPr>
              <w:ind w:left="260"/>
              <w:spacing w:after="0" w:line="141" w:lineRule="exact"/>
              <w:rPr>
                <w:sz w:val="20"/>
                <w:szCs w:val="20"/>
                <w:color w:val="auto"/>
              </w:rPr>
            </w:pPr>
            <w:r>
              <w:rPr>
                <w:rFonts w:ascii="Calibri" w:cs="Calibri" w:eastAsia="Calibri" w:hAnsi="Calibri"/>
                <w:sz w:val="15"/>
                <w:szCs w:val="15"/>
                <w:color w:val="auto"/>
              </w:rPr>
              <w:t>10-K</w:t>
            </w:r>
          </w:p>
        </w:tc>
        <w:tc>
          <w:tcPr>
            <w:tcW w:w="120" w:type="dxa"/>
            <w:vAlign w:val="bottom"/>
          </w:tcPr>
          <w:p>
            <w:pPr>
              <w:spacing w:after="0"/>
              <w:rPr>
                <w:sz w:val="12"/>
                <w:szCs w:val="12"/>
                <w:color w:val="auto"/>
              </w:rPr>
            </w:pPr>
          </w:p>
        </w:tc>
        <w:tc>
          <w:tcPr>
            <w:tcW w:w="1240" w:type="dxa"/>
            <w:vAlign w:val="bottom"/>
            <w:tcBorders>
              <w:top w:val="single" w:sz="8" w:color="auto"/>
            </w:tcBorders>
          </w:tcPr>
          <w:p>
            <w:pPr>
              <w:jc w:val="center"/>
              <w:spacing w:after="0" w:line="141" w:lineRule="exact"/>
              <w:rPr>
                <w:sz w:val="20"/>
                <w:szCs w:val="20"/>
                <w:color w:val="auto"/>
              </w:rPr>
            </w:pPr>
            <w:r>
              <w:rPr>
                <w:rFonts w:ascii="Calibri" w:cs="Calibri" w:eastAsia="Calibri" w:hAnsi="Calibri"/>
                <w:sz w:val="15"/>
                <w:szCs w:val="15"/>
                <w:color w:val="auto"/>
              </w:rPr>
              <w:t>001-38233</w:t>
            </w:r>
          </w:p>
        </w:tc>
        <w:tc>
          <w:tcPr>
            <w:tcW w:w="120" w:type="dxa"/>
            <w:vAlign w:val="bottom"/>
          </w:tcPr>
          <w:p>
            <w:pPr>
              <w:spacing w:after="0"/>
              <w:rPr>
                <w:sz w:val="12"/>
                <w:szCs w:val="12"/>
                <w:color w:val="auto"/>
              </w:rPr>
            </w:pPr>
          </w:p>
        </w:tc>
        <w:tc>
          <w:tcPr>
            <w:tcW w:w="1920" w:type="dxa"/>
            <w:vAlign w:val="bottom"/>
            <w:tcBorders>
              <w:top w:val="single" w:sz="8" w:color="auto"/>
            </w:tcBorders>
          </w:tcPr>
          <w:p>
            <w:pPr>
              <w:jc w:val="center"/>
              <w:spacing w:after="0" w:line="141" w:lineRule="exact"/>
              <w:rPr>
                <w:sz w:val="20"/>
                <w:szCs w:val="20"/>
                <w:color w:val="auto"/>
              </w:rPr>
            </w:pPr>
            <w:r>
              <w:rPr>
                <w:rFonts w:ascii="Calibri" w:cs="Calibri" w:eastAsia="Calibri" w:hAnsi="Calibri"/>
                <w:sz w:val="15"/>
                <w:szCs w:val="15"/>
                <w:color w:val="auto"/>
                <w:w w:val="99"/>
              </w:rPr>
              <w:t>February 12, 2021</w:t>
            </w:r>
          </w:p>
        </w:tc>
        <w:tc>
          <w:tcPr>
            <w:tcW w:w="120" w:type="dxa"/>
            <w:vAlign w:val="bottom"/>
          </w:tcPr>
          <w:p>
            <w:pPr>
              <w:spacing w:after="0"/>
              <w:rPr>
                <w:sz w:val="12"/>
                <w:szCs w:val="12"/>
                <w:color w:val="auto"/>
              </w:rPr>
            </w:pPr>
          </w:p>
        </w:tc>
        <w:tc>
          <w:tcPr>
            <w:tcW w:w="660" w:type="dxa"/>
            <w:vAlign w:val="bottom"/>
            <w:tcBorders>
              <w:top w:val="single" w:sz="8" w:color="auto"/>
            </w:tcBorders>
          </w:tcPr>
          <w:p>
            <w:pPr>
              <w:jc w:val="center"/>
              <w:ind w:left="34"/>
              <w:spacing w:after="0" w:line="141" w:lineRule="exact"/>
              <w:rPr>
                <w:sz w:val="20"/>
                <w:szCs w:val="20"/>
                <w:color w:val="auto"/>
              </w:rPr>
            </w:pPr>
            <w:r>
              <w:rPr>
                <w:rFonts w:ascii="Calibri" w:cs="Calibri" w:eastAsia="Calibri" w:hAnsi="Calibri"/>
                <w:sz w:val="15"/>
                <w:szCs w:val="15"/>
                <w:color w:val="auto"/>
              </w:rPr>
              <w:t>2.1</w:t>
            </w:r>
          </w:p>
        </w:tc>
        <w:tc>
          <w:tcPr>
            <w:tcW w:w="1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3860" w:type="dxa"/>
            <w:vAlign w:val="bottom"/>
            <w:tcBorders>
              <w:bottom w:val="single" w:sz="8" w:color="0000FF"/>
            </w:tcBorders>
            <w:gridSpan w:val="2"/>
          </w:tcPr>
          <w:p>
            <w:pPr>
              <w:ind w:left="20"/>
              <w:spacing w:after="0" w:line="165" w:lineRule="exact"/>
              <w:rPr>
                <w:rFonts w:ascii="Calibri" w:cs="Calibri" w:eastAsia="Calibri" w:hAnsi="Calibri"/>
                <w:sz w:val="15"/>
                <w:szCs w:val="15"/>
                <w:color w:val="0000FF"/>
              </w:rPr>
            </w:pPr>
            <w:hyperlink r:id="rId477">
              <w:r>
                <w:rPr>
                  <w:rFonts w:ascii="Calibri" w:cs="Calibri" w:eastAsia="Calibri" w:hAnsi="Calibri"/>
                  <w:sz w:val="15"/>
                  <w:szCs w:val="15"/>
                  <w:color w:val="0000FF"/>
                </w:rPr>
                <w:t>2020, as amended, by and among the Registrant, CarOfer, LLC,</w:t>
              </w:r>
            </w:hyperlink>
          </w:p>
        </w:tc>
        <w:tc>
          <w:tcPr>
            <w:tcW w:w="540" w:type="dxa"/>
            <w:vAlign w:val="bottom"/>
            <w:gridSpan w:val="4"/>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260" w:type="dxa"/>
            <w:vAlign w:val="bottom"/>
            <w:tcBorders>
              <w:bottom w:val="single" w:sz="8" w:color="0000FF"/>
            </w:tcBorders>
            <w:gridSpan w:val="4"/>
          </w:tcPr>
          <w:p>
            <w:pPr>
              <w:ind w:left="20"/>
              <w:spacing w:after="0" w:line="165" w:lineRule="exact"/>
              <w:rPr>
                <w:rFonts w:ascii="Calibri" w:cs="Calibri" w:eastAsia="Calibri" w:hAnsi="Calibri"/>
                <w:sz w:val="15"/>
                <w:szCs w:val="15"/>
                <w:color w:val="0000FF"/>
                <w:w w:val="99"/>
              </w:rPr>
            </w:pPr>
            <w:hyperlink r:id="rId477">
              <w:r>
                <w:rPr>
                  <w:rFonts w:ascii="Calibri" w:cs="Calibri" w:eastAsia="Calibri" w:hAnsi="Calibri"/>
                  <w:sz w:val="15"/>
                  <w:szCs w:val="15"/>
                  <w:color w:val="0000FF"/>
                  <w:w w:val="99"/>
                </w:rPr>
                <w:t>CarOfer Investors Holding, LLC (“TopCo”), the Members of TopCo and</w:t>
              </w:r>
            </w:hyperlink>
          </w:p>
        </w:tc>
        <w:tc>
          <w:tcPr>
            <w:tcW w:w="140" w:type="dxa"/>
            <w:vAlign w:val="bottom"/>
            <w:gridSpan w:val="2"/>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400" w:type="dxa"/>
            <w:vAlign w:val="bottom"/>
            <w:gridSpan w:val="6"/>
          </w:tcPr>
          <w:p>
            <w:pPr>
              <w:ind w:left="20"/>
              <w:spacing w:after="0" w:line="165" w:lineRule="exact"/>
              <w:rPr>
                <w:rFonts w:ascii="Calibri" w:cs="Calibri" w:eastAsia="Calibri" w:hAnsi="Calibri"/>
                <w:sz w:val="15"/>
                <w:szCs w:val="15"/>
                <w:color w:val="0000FF"/>
              </w:rPr>
            </w:pPr>
            <w:hyperlink r:id="rId477">
              <w:r>
                <w:rPr>
                  <w:rFonts w:ascii="Calibri" w:cs="Calibri" w:eastAsia="Calibri" w:hAnsi="Calibri"/>
                  <w:sz w:val="15"/>
                  <w:szCs w:val="15"/>
                  <w:color w:val="0000FF"/>
                </w:rPr>
                <w:t>Bruce T. Thompson.</w:t>
              </w:r>
            </w:hyperlink>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2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 w:lineRule="exact"/>
        <w:rPr>
          <w:sz w:val="20"/>
          <w:szCs w:val="20"/>
          <w:color w:val="auto"/>
        </w:rPr>
      </w:pPr>
    </w:p>
    <w:p>
      <w:pPr>
        <w:sectPr>
          <w:pgSz w:w="11900" w:h="16838" w:orient="portrait"/>
          <w:cols w:equalWidth="0" w:num="2">
            <w:col w:w="480" w:space="420"/>
            <w:col w:w="10360"/>
          </w:cols>
          <w:pgMar w:left="320" w:top="949" w:right="319" w:bottom="1440" w:gutter="0" w:footer="0" w:header="0"/>
          <w:type w:val="continuous"/>
        </w:sectPr>
      </w:pPr>
    </w:p>
    <w:tbl>
      <w:tblPr>
        <w:tblLayout w:type="fixed"/>
        <w:tblInd w:w="0" w:type="dxa"/>
        <w:tblCellMar>
          <w:top w:w="0" w:type="dxa"/>
          <w:left w:w="0" w:type="dxa"/>
          <w:bottom w:w="0" w:type="dxa"/>
          <w:right w:w="0" w:type="dxa"/>
        </w:tblCellMar>
      </w:tblPr>
      <w:tr>
        <w:trPr>
          <w:trHeight w:val="183"/>
        </w:trPr>
        <w:tc>
          <w:tcPr>
            <w:tcW w:w="940" w:type="dxa"/>
            <w:vAlign w:val="bottom"/>
          </w:tcPr>
          <w:p>
            <w:pPr>
              <w:jc w:val="center"/>
              <w:ind w:right="83"/>
              <w:spacing w:after="0"/>
              <w:rPr>
                <w:sz w:val="20"/>
                <w:szCs w:val="20"/>
                <w:color w:val="auto"/>
              </w:rPr>
            </w:pPr>
            <w:r>
              <w:rPr>
                <w:rFonts w:ascii="Calibri" w:cs="Calibri" w:eastAsia="Calibri" w:hAnsi="Calibri"/>
                <w:sz w:val="15"/>
                <w:szCs w:val="15"/>
                <w:color w:val="auto"/>
                <w:w w:val="94"/>
              </w:rPr>
              <w:t>2.2</w:t>
            </w:r>
          </w:p>
        </w:tc>
        <w:tc>
          <w:tcPr>
            <w:tcW w:w="4140" w:type="dxa"/>
            <w:vAlign w:val="bottom"/>
            <w:gridSpan w:val="19"/>
          </w:tcPr>
          <w:p>
            <w:pPr>
              <w:spacing w:after="0"/>
              <w:rPr>
                <w:rFonts w:ascii="Calibri" w:cs="Calibri" w:eastAsia="Calibri" w:hAnsi="Calibri"/>
                <w:sz w:val="15"/>
                <w:szCs w:val="15"/>
                <w:color w:val="0000FF"/>
                <w:w w:val="97"/>
              </w:rPr>
            </w:pPr>
            <w:hyperlink r:id="rId478">
              <w:r>
                <w:rPr>
                  <w:rFonts w:ascii="Calibri" w:cs="Calibri" w:eastAsia="Calibri" w:hAnsi="Calibri"/>
                  <w:sz w:val="15"/>
                  <w:szCs w:val="15"/>
                  <w:color w:val="0000FF"/>
                  <w:w w:val="97"/>
                </w:rPr>
                <w:t>Membership Interest Purchase Agreement, dated November 6, 2023,</w:t>
              </w:r>
            </w:hyperlink>
          </w:p>
        </w:tc>
        <w:tc>
          <w:tcPr>
            <w:tcW w:w="80" w:type="dxa"/>
            <w:vAlign w:val="bottom"/>
          </w:tcPr>
          <w:p>
            <w:pPr>
              <w:spacing w:after="0"/>
              <w:rPr>
                <w:sz w:val="15"/>
                <w:szCs w:val="15"/>
                <w:color w:val="auto"/>
              </w:rPr>
            </w:pPr>
          </w:p>
        </w:tc>
        <w:tc>
          <w:tcPr>
            <w:tcW w:w="1000" w:type="dxa"/>
            <w:vAlign w:val="bottom"/>
          </w:tcPr>
          <w:p>
            <w:pPr>
              <w:jc w:val="center"/>
              <w:ind w:left="3"/>
              <w:spacing w:after="0"/>
              <w:rPr>
                <w:sz w:val="20"/>
                <w:szCs w:val="20"/>
                <w:color w:val="auto"/>
              </w:rPr>
            </w:pPr>
            <w:r>
              <w:rPr>
                <w:rFonts w:ascii="Calibri" w:cs="Calibri" w:eastAsia="Calibri" w:hAnsi="Calibri"/>
                <w:sz w:val="15"/>
                <w:szCs w:val="15"/>
                <w:color w:val="auto"/>
                <w:w w:val="99"/>
              </w:rPr>
              <w:t>8-K</w:t>
            </w:r>
          </w:p>
        </w:tc>
        <w:tc>
          <w:tcPr>
            <w:tcW w:w="1400" w:type="dxa"/>
            <w:vAlign w:val="bottom"/>
          </w:tcPr>
          <w:p>
            <w:pPr>
              <w:jc w:val="center"/>
              <w:spacing w:after="0"/>
              <w:rPr>
                <w:sz w:val="20"/>
                <w:szCs w:val="20"/>
                <w:color w:val="auto"/>
              </w:rPr>
            </w:pPr>
            <w:r>
              <w:rPr>
                <w:rFonts w:ascii="Calibri" w:cs="Calibri" w:eastAsia="Calibri" w:hAnsi="Calibri"/>
                <w:sz w:val="15"/>
                <w:szCs w:val="15"/>
                <w:color w:val="auto"/>
              </w:rPr>
              <w:t>001-38233</w:t>
            </w:r>
          </w:p>
        </w:tc>
        <w:tc>
          <w:tcPr>
            <w:tcW w:w="1900" w:type="dxa"/>
            <w:vAlign w:val="bottom"/>
          </w:tcPr>
          <w:p>
            <w:pPr>
              <w:jc w:val="center"/>
              <w:spacing w:after="0"/>
              <w:rPr>
                <w:sz w:val="20"/>
                <w:szCs w:val="20"/>
                <w:color w:val="auto"/>
              </w:rPr>
            </w:pPr>
            <w:r>
              <w:rPr>
                <w:rFonts w:ascii="Calibri" w:cs="Calibri" w:eastAsia="Calibri" w:hAnsi="Calibri"/>
                <w:sz w:val="15"/>
                <w:szCs w:val="15"/>
                <w:color w:val="auto"/>
                <w:w w:val="99"/>
              </w:rPr>
              <w:t>November 7, 2023</w:t>
            </w:r>
          </w:p>
        </w:tc>
        <w:tc>
          <w:tcPr>
            <w:tcW w:w="1800" w:type="dxa"/>
            <w:vAlign w:val="bottom"/>
          </w:tcPr>
          <w:p>
            <w:pPr>
              <w:jc w:val="center"/>
              <w:ind w:right="683"/>
              <w:spacing w:after="0"/>
              <w:rPr>
                <w:sz w:val="20"/>
                <w:szCs w:val="20"/>
                <w:color w:val="auto"/>
              </w:rPr>
            </w:pPr>
            <w:r>
              <w:rPr>
                <w:rFonts w:ascii="Calibri" w:cs="Calibri" w:eastAsia="Calibri" w:hAnsi="Calibri"/>
                <w:sz w:val="15"/>
                <w:szCs w:val="15"/>
                <w:color w:val="auto"/>
              </w:rPr>
              <w:t>2.1</w:t>
            </w:r>
          </w:p>
        </w:tc>
      </w:tr>
      <w:tr>
        <w:trPr>
          <w:trHeight w:val="20"/>
        </w:trPr>
        <w:tc>
          <w:tcPr>
            <w:tcW w:w="940" w:type="dxa"/>
            <w:vAlign w:val="bottom"/>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64"/>
        </w:trPr>
        <w:tc>
          <w:tcPr>
            <w:tcW w:w="940" w:type="dxa"/>
            <w:vAlign w:val="bottom"/>
          </w:tcPr>
          <w:p>
            <w:pPr>
              <w:spacing w:after="0"/>
              <w:rPr>
                <w:sz w:val="14"/>
                <w:szCs w:val="14"/>
                <w:color w:val="auto"/>
              </w:rPr>
            </w:pPr>
          </w:p>
        </w:tc>
        <w:tc>
          <w:tcPr>
            <w:tcW w:w="4140" w:type="dxa"/>
            <w:vAlign w:val="bottom"/>
            <w:gridSpan w:val="19"/>
          </w:tcPr>
          <w:p>
            <w:pPr>
              <w:spacing w:after="0" w:line="165" w:lineRule="exact"/>
              <w:rPr>
                <w:rFonts w:ascii="Calibri" w:cs="Calibri" w:eastAsia="Calibri" w:hAnsi="Calibri"/>
                <w:sz w:val="15"/>
                <w:szCs w:val="15"/>
                <w:color w:val="0000FF"/>
              </w:rPr>
            </w:pPr>
            <w:hyperlink r:id="rId478">
              <w:r>
                <w:rPr>
                  <w:rFonts w:ascii="Calibri" w:cs="Calibri" w:eastAsia="Calibri" w:hAnsi="Calibri"/>
                  <w:sz w:val="15"/>
                  <w:szCs w:val="15"/>
                  <w:color w:val="0000FF"/>
                </w:rPr>
                <w:t>by and among CarGurus, Inc., CarOfer, LLC, CarOfer Investors</w:t>
              </w:r>
            </w:hyperlink>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20"/>
        </w:trPr>
        <w:tc>
          <w:tcPr>
            <w:tcW w:w="940" w:type="dxa"/>
            <w:vAlign w:val="bottom"/>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64"/>
        </w:trPr>
        <w:tc>
          <w:tcPr>
            <w:tcW w:w="940" w:type="dxa"/>
            <w:vAlign w:val="bottom"/>
          </w:tcPr>
          <w:p>
            <w:pPr>
              <w:spacing w:after="0"/>
              <w:rPr>
                <w:sz w:val="14"/>
                <w:szCs w:val="14"/>
                <w:color w:val="auto"/>
              </w:rPr>
            </w:pPr>
          </w:p>
        </w:tc>
        <w:tc>
          <w:tcPr>
            <w:tcW w:w="4140" w:type="dxa"/>
            <w:vAlign w:val="bottom"/>
            <w:gridSpan w:val="19"/>
          </w:tcPr>
          <w:p>
            <w:pPr>
              <w:spacing w:after="0" w:line="165" w:lineRule="exact"/>
              <w:rPr>
                <w:rFonts w:ascii="Calibri" w:cs="Calibri" w:eastAsia="Calibri" w:hAnsi="Calibri"/>
                <w:sz w:val="15"/>
                <w:szCs w:val="15"/>
                <w:color w:val="0000FF"/>
              </w:rPr>
            </w:pPr>
            <w:hyperlink r:id="rId478">
              <w:r>
                <w:rPr>
                  <w:rFonts w:ascii="Calibri" w:cs="Calibri" w:eastAsia="Calibri" w:hAnsi="Calibri"/>
                  <w:sz w:val="15"/>
                  <w:szCs w:val="15"/>
                  <w:color w:val="0000FF"/>
                </w:rPr>
                <w:t>Holding, LLC, CarOfer MidCo, LLC, each of the persons set forth on</w:t>
              </w:r>
            </w:hyperlink>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20"/>
        </w:trPr>
        <w:tc>
          <w:tcPr>
            <w:tcW w:w="940" w:type="dxa"/>
            <w:vAlign w:val="bottom"/>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64"/>
        </w:trPr>
        <w:tc>
          <w:tcPr>
            <w:tcW w:w="940" w:type="dxa"/>
            <w:vAlign w:val="bottom"/>
          </w:tcPr>
          <w:p>
            <w:pPr>
              <w:spacing w:after="0"/>
              <w:rPr>
                <w:sz w:val="14"/>
                <w:szCs w:val="14"/>
                <w:color w:val="auto"/>
              </w:rPr>
            </w:pPr>
          </w:p>
        </w:tc>
        <w:tc>
          <w:tcPr>
            <w:tcW w:w="4140" w:type="dxa"/>
            <w:vAlign w:val="bottom"/>
            <w:gridSpan w:val="19"/>
          </w:tcPr>
          <w:p>
            <w:pPr>
              <w:spacing w:after="0" w:line="165" w:lineRule="exact"/>
              <w:rPr>
                <w:rFonts w:ascii="Calibri" w:cs="Calibri" w:eastAsia="Calibri" w:hAnsi="Calibri"/>
                <w:sz w:val="15"/>
                <w:szCs w:val="15"/>
                <w:color w:val="0000FF"/>
              </w:rPr>
            </w:pPr>
            <w:hyperlink r:id="rId478">
              <w:r>
                <w:rPr>
                  <w:rFonts w:ascii="Calibri" w:cs="Calibri" w:eastAsia="Calibri" w:hAnsi="Calibri"/>
                  <w:sz w:val="15"/>
                  <w:szCs w:val="15"/>
                  <w:color w:val="0000FF"/>
                </w:rPr>
                <w:t>Schedule 1.1(a) thereto, and Bruce T. Thompson.*</w:t>
              </w:r>
            </w:hyperlink>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87"/>
        </w:trPr>
        <w:tc>
          <w:tcPr>
            <w:tcW w:w="940" w:type="dxa"/>
            <w:vAlign w:val="bottom"/>
          </w:tcPr>
          <w:p>
            <w:pPr>
              <w:jc w:val="center"/>
              <w:ind w:right="83"/>
              <w:spacing w:after="0"/>
              <w:rPr>
                <w:sz w:val="20"/>
                <w:szCs w:val="20"/>
                <w:color w:val="auto"/>
              </w:rPr>
            </w:pPr>
            <w:r>
              <w:rPr>
                <w:rFonts w:ascii="Calibri" w:cs="Calibri" w:eastAsia="Calibri" w:hAnsi="Calibri"/>
                <w:sz w:val="15"/>
                <w:szCs w:val="15"/>
                <w:color w:val="auto"/>
                <w:w w:val="94"/>
              </w:rPr>
              <w:t>3.1</w:t>
            </w:r>
          </w:p>
        </w:tc>
        <w:tc>
          <w:tcPr>
            <w:tcW w:w="4140" w:type="dxa"/>
            <w:vAlign w:val="bottom"/>
            <w:gridSpan w:val="19"/>
          </w:tcPr>
          <w:p>
            <w:pPr>
              <w:spacing w:after="0"/>
              <w:rPr>
                <w:rFonts w:ascii="Calibri" w:cs="Calibri" w:eastAsia="Calibri" w:hAnsi="Calibri"/>
                <w:sz w:val="15"/>
                <w:szCs w:val="15"/>
                <w:color w:val="0000FF"/>
                <w:w w:val="99"/>
              </w:rPr>
            </w:pPr>
            <w:hyperlink r:id="rId479">
              <w:r>
                <w:rPr>
                  <w:rFonts w:ascii="Calibri" w:cs="Calibri" w:eastAsia="Calibri" w:hAnsi="Calibri"/>
                  <w:sz w:val="15"/>
                  <w:szCs w:val="15"/>
                  <w:color w:val="0000FF"/>
                  <w:w w:val="99"/>
                </w:rPr>
                <w:t>Amended and Restated Certfcate of Incorporaton of the Registrant.</w:t>
              </w:r>
            </w:hyperlink>
          </w:p>
        </w:tc>
        <w:tc>
          <w:tcPr>
            <w:tcW w:w="80" w:type="dxa"/>
            <w:vAlign w:val="bottom"/>
          </w:tcPr>
          <w:p>
            <w:pPr>
              <w:spacing w:after="0"/>
              <w:rPr>
                <w:sz w:val="16"/>
                <w:szCs w:val="16"/>
                <w:color w:val="auto"/>
              </w:rPr>
            </w:pPr>
          </w:p>
        </w:tc>
        <w:tc>
          <w:tcPr>
            <w:tcW w:w="1000" w:type="dxa"/>
            <w:vAlign w:val="bottom"/>
          </w:tcPr>
          <w:p>
            <w:pPr>
              <w:jc w:val="center"/>
              <w:ind w:left="3"/>
              <w:spacing w:after="0"/>
              <w:rPr>
                <w:sz w:val="20"/>
                <w:szCs w:val="20"/>
                <w:color w:val="auto"/>
              </w:rPr>
            </w:pPr>
            <w:r>
              <w:rPr>
                <w:rFonts w:ascii="Calibri" w:cs="Calibri" w:eastAsia="Calibri" w:hAnsi="Calibri"/>
                <w:sz w:val="15"/>
                <w:szCs w:val="15"/>
                <w:color w:val="auto"/>
                <w:w w:val="99"/>
              </w:rPr>
              <w:t>8-K</w:t>
            </w:r>
          </w:p>
        </w:tc>
        <w:tc>
          <w:tcPr>
            <w:tcW w:w="1400" w:type="dxa"/>
            <w:vAlign w:val="bottom"/>
          </w:tcPr>
          <w:p>
            <w:pPr>
              <w:jc w:val="center"/>
              <w:spacing w:after="0"/>
              <w:rPr>
                <w:sz w:val="20"/>
                <w:szCs w:val="20"/>
                <w:color w:val="auto"/>
              </w:rPr>
            </w:pPr>
            <w:r>
              <w:rPr>
                <w:rFonts w:ascii="Calibri" w:cs="Calibri" w:eastAsia="Calibri" w:hAnsi="Calibri"/>
                <w:sz w:val="15"/>
                <w:szCs w:val="15"/>
                <w:color w:val="auto"/>
              </w:rPr>
              <w:t>001-38233</w:t>
            </w:r>
          </w:p>
        </w:tc>
        <w:tc>
          <w:tcPr>
            <w:tcW w:w="1900" w:type="dxa"/>
            <w:vAlign w:val="bottom"/>
          </w:tcPr>
          <w:p>
            <w:pPr>
              <w:jc w:val="center"/>
              <w:spacing w:after="0"/>
              <w:rPr>
                <w:sz w:val="20"/>
                <w:szCs w:val="20"/>
                <w:color w:val="auto"/>
              </w:rPr>
            </w:pPr>
            <w:r>
              <w:rPr>
                <w:rFonts w:ascii="Calibri" w:cs="Calibri" w:eastAsia="Calibri" w:hAnsi="Calibri"/>
                <w:sz w:val="15"/>
                <w:szCs w:val="15"/>
                <w:color w:val="auto"/>
              </w:rPr>
              <w:t>October 16, 2017</w:t>
            </w:r>
          </w:p>
        </w:tc>
        <w:tc>
          <w:tcPr>
            <w:tcW w:w="1800" w:type="dxa"/>
            <w:vAlign w:val="bottom"/>
          </w:tcPr>
          <w:p>
            <w:pPr>
              <w:jc w:val="center"/>
              <w:ind w:right="683"/>
              <w:spacing w:after="0"/>
              <w:rPr>
                <w:sz w:val="20"/>
                <w:szCs w:val="20"/>
                <w:color w:val="auto"/>
              </w:rPr>
            </w:pPr>
            <w:r>
              <w:rPr>
                <w:rFonts w:ascii="Calibri" w:cs="Calibri" w:eastAsia="Calibri" w:hAnsi="Calibri"/>
                <w:sz w:val="15"/>
                <w:szCs w:val="15"/>
                <w:color w:val="auto"/>
              </w:rPr>
              <w:t>3.1</w:t>
            </w: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87"/>
        </w:trPr>
        <w:tc>
          <w:tcPr>
            <w:tcW w:w="940" w:type="dxa"/>
            <w:vAlign w:val="bottom"/>
          </w:tcPr>
          <w:p>
            <w:pPr>
              <w:jc w:val="center"/>
              <w:ind w:right="83"/>
              <w:spacing w:after="0"/>
              <w:rPr>
                <w:sz w:val="20"/>
                <w:szCs w:val="20"/>
                <w:color w:val="auto"/>
              </w:rPr>
            </w:pPr>
            <w:r>
              <w:rPr>
                <w:rFonts w:ascii="Calibri" w:cs="Calibri" w:eastAsia="Calibri" w:hAnsi="Calibri"/>
                <w:sz w:val="15"/>
                <w:szCs w:val="15"/>
                <w:color w:val="auto"/>
                <w:w w:val="94"/>
              </w:rPr>
              <w:t>3.2</w:t>
            </w:r>
          </w:p>
        </w:tc>
        <w:tc>
          <w:tcPr>
            <w:tcW w:w="4140" w:type="dxa"/>
            <w:vAlign w:val="bottom"/>
            <w:gridSpan w:val="19"/>
          </w:tcPr>
          <w:p>
            <w:pPr>
              <w:spacing w:after="0"/>
              <w:rPr>
                <w:rFonts w:ascii="Calibri" w:cs="Calibri" w:eastAsia="Calibri" w:hAnsi="Calibri"/>
                <w:sz w:val="15"/>
                <w:szCs w:val="15"/>
                <w:color w:val="0000FF"/>
              </w:rPr>
            </w:pPr>
            <w:hyperlink r:id="rId480">
              <w:r>
                <w:rPr>
                  <w:rFonts w:ascii="Calibri" w:cs="Calibri" w:eastAsia="Calibri" w:hAnsi="Calibri"/>
                  <w:sz w:val="15"/>
                  <w:szCs w:val="15"/>
                  <w:color w:val="0000FF"/>
                </w:rPr>
                <w:t>Second Amended and Restated Bylaws of the Registrant.</w:t>
              </w:r>
            </w:hyperlink>
          </w:p>
        </w:tc>
        <w:tc>
          <w:tcPr>
            <w:tcW w:w="80" w:type="dxa"/>
            <w:vAlign w:val="bottom"/>
          </w:tcPr>
          <w:p>
            <w:pPr>
              <w:spacing w:after="0"/>
              <w:rPr>
                <w:sz w:val="16"/>
                <w:szCs w:val="16"/>
                <w:color w:val="auto"/>
              </w:rPr>
            </w:pPr>
          </w:p>
        </w:tc>
        <w:tc>
          <w:tcPr>
            <w:tcW w:w="1000" w:type="dxa"/>
            <w:vAlign w:val="bottom"/>
          </w:tcPr>
          <w:p>
            <w:pPr>
              <w:jc w:val="center"/>
              <w:ind w:left="3"/>
              <w:spacing w:after="0"/>
              <w:rPr>
                <w:sz w:val="20"/>
                <w:szCs w:val="20"/>
                <w:color w:val="auto"/>
              </w:rPr>
            </w:pPr>
            <w:r>
              <w:rPr>
                <w:rFonts w:ascii="Calibri" w:cs="Calibri" w:eastAsia="Calibri" w:hAnsi="Calibri"/>
                <w:sz w:val="15"/>
                <w:szCs w:val="15"/>
                <w:color w:val="auto"/>
                <w:w w:val="99"/>
              </w:rPr>
              <w:t>8-K</w:t>
            </w:r>
          </w:p>
        </w:tc>
        <w:tc>
          <w:tcPr>
            <w:tcW w:w="1400" w:type="dxa"/>
            <w:vAlign w:val="bottom"/>
          </w:tcPr>
          <w:p>
            <w:pPr>
              <w:jc w:val="center"/>
              <w:spacing w:after="0"/>
              <w:rPr>
                <w:sz w:val="20"/>
                <w:szCs w:val="20"/>
                <w:color w:val="auto"/>
              </w:rPr>
            </w:pPr>
            <w:r>
              <w:rPr>
                <w:rFonts w:ascii="Calibri" w:cs="Calibri" w:eastAsia="Calibri" w:hAnsi="Calibri"/>
                <w:sz w:val="15"/>
                <w:szCs w:val="15"/>
                <w:color w:val="auto"/>
              </w:rPr>
              <w:t>001-38233</w:t>
            </w:r>
          </w:p>
        </w:tc>
        <w:tc>
          <w:tcPr>
            <w:tcW w:w="1900" w:type="dxa"/>
            <w:vAlign w:val="bottom"/>
          </w:tcPr>
          <w:p>
            <w:pPr>
              <w:jc w:val="center"/>
              <w:spacing w:after="0"/>
              <w:rPr>
                <w:sz w:val="20"/>
                <w:szCs w:val="20"/>
                <w:color w:val="auto"/>
              </w:rPr>
            </w:pPr>
            <w:r>
              <w:rPr>
                <w:rFonts w:ascii="Calibri" w:cs="Calibri" w:eastAsia="Calibri" w:hAnsi="Calibri"/>
                <w:sz w:val="15"/>
                <w:szCs w:val="15"/>
                <w:color w:val="auto"/>
                <w:w w:val="98"/>
              </w:rPr>
              <w:t>August 4, 2023</w:t>
            </w:r>
          </w:p>
        </w:tc>
        <w:tc>
          <w:tcPr>
            <w:tcW w:w="1800" w:type="dxa"/>
            <w:vAlign w:val="bottom"/>
          </w:tcPr>
          <w:p>
            <w:pPr>
              <w:jc w:val="center"/>
              <w:ind w:right="683"/>
              <w:spacing w:after="0"/>
              <w:rPr>
                <w:sz w:val="20"/>
                <w:szCs w:val="20"/>
                <w:color w:val="auto"/>
              </w:rPr>
            </w:pPr>
            <w:r>
              <w:rPr>
                <w:rFonts w:ascii="Calibri" w:cs="Calibri" w:eastAsia="Calibri" w:hAnsi="Calibri"/>
                <w:sz w:val="15"/>
                <w:szCs w:val="15"/>
                <w:color w:val="auto"/>
              </w:rPr>
              <w:t>3.1</w:t>
            </w: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87"/>
        </w:trPr>
        <w:tc>
          <w:tcPr>
            <w:tcW w:w="940" w:type="dxa"/>
            <w:vAlign w:val="bottom"/>
          </w:tcPr>
          <w:p>
            <w:pPr>
              <w:jc w:val="center"/>
              <w:ind w:right="83"/>
              <w:spacing w:after="0"/>
              <w:rPr>
                <w:sz w:val="20"/>
                <w:szCs w:val="20"/>
                <w:color w:val="auto"/>
              </w:rPr>
            </w:pPr>
            <w:r>
              <w:rPr>
                <w:rFonts w:ascii="Calibri" w:cs="Calibri" w:eastAsia="Calibri" w:hAnsi="Calibri"/>
                <w:sz w:val="15"/>
                <w:szCs w:val="15"/>
                <w:color w:val="auto"/>
                <w:w w:val="94"/>
              </w:rPr>
              <w:t>4.1</w:t>
            </w:r>
          </w:p>
        </w:tc>
        <w:tc>
          <w:tcPr>
            <w:tcW w:w="4140" w:type="dxa"/>
            <w:vAlign w:val="bottom"/>
            <w:gridSpan w:val="19"/>
          </w:tcPr>
          <w:p>
            <w:pPr>
              <w:spacing w:after="0"/>
              <w:rPr>
                <w:rFonts w:ascii="Calibri" w:cs="Calibri" w:eastAsia="Calibri" w:hAnsi="Calibri"/>
                <w:sz w:val="15"/>
                <w:szCs w:val="15"/>
                <w:color w:val="0000FF"/>
              </w:rPr>
            </w:pPr>
            <w:hyperlink r:id="rId481">
              <w:r>
                <w:rPr>
                  <w:rFonts w:ascii="Calibri" w:cs="Calibri" w:eastAsia="Calibri" w:hAnsi="Calibri"/>
                  <w:sz w:val="15"/>
                  <w:szCs w:val="15"/>
                  <w:color w:val="0000FF"/>
                </w:rPr>
                <w:t>Specimen Class A common stock certfcate of the Registrant.</w:t>
              </w:r>
            </w:hyperlink>
          </w:p>
        </w:tc>
        <w:tc>
          <w:tcPr>
            <w:tcW w:w="8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Calibri" w:cs="Calibri" w:eastAsia="Calibri" w:hAnsi="Calibri"/>
                <w:sz w:val="15"/>
                <w:szCs w:val="15"/>
                <w:color w:val="auto"/>
              </w:rPr>
              <w:t>S-1/A</w:t>
            </w:r>
          </w:p>
        </w:tc>
        <w:tc>
          <w:tcPr>
            <w:tcW w:w="1400" w:type="dxa"/>
            <w:vAlign w:val="bottom"/>
          </w:tcPr>
          <w:p>
            <w:pPr>
              <w:jc w:val="center"/>
              <w:spacing w:after="0"/>
              <w:rPr>
                <w:sz w:val="20"/>
                <w:szCs w:val="20"/>
                <w:color w:val="auto"/>
              </w:rPr>
            </w:pPr>
            <w:r>
              <w:rPr>
                <w:rFonts w:ascii="Calibri" w:cs="Calibri" w:eastAsia="Calibri" w:hAnsi="Calibri"/>
                <w:sz w:val="15"/>
                <w:szCs w:val="15"/>
                <w:color w:val="auto"/>
              </w:rPr>
              <w:t>333-220495</w:t>
            </w:r>
          </w:p>
        </w:tc>
        <w:tc>
          <w:tcPr>
            <w:tcW w:w="1900" w:type="dxa"/>
            <w:vAlign w:val="bottom"/>
          </w:tcPr>
          <w:p>
            <w:pPr>
              <w:jc w:val="center"/>
              <w:spacing w:after="0"/>
              <w:rPr>
                <w:sz w:val="20"/>
                <w:szCs w:val="20"/>
                <w:color w:val="auto"/>
              </w:rPr>
            </w:pPr>
            <w:r>
              <w:rPr>
                <w:rFonts w:ascii="Calibri" w:cs="Calibri" w:eastAsia="Calibri" w:hAnsi="Calibri"/>
                <w:sz w:val="15"/>
                <w:szCs w:val="15"/>
                <w:color w:val="auto"/>
              </w:rPr>
              <w:t>September 29, 2017</w:t>
            </w:r>
          </w:p>
        </w:tc>
        <w:tc>
          <w:tcPr>
            <w:tcW w:w="1800" w:type="dxa"/>
            <w:vAlign w:val="bottom"/>
          </w:tcPr>
          <w:p>
            <w:pPr>
              <w:jc w:val="center"/>
              <w:ind w:right="683"/>
              <w:spacing w:after="0"/>
              <w:rPr>
                <w:sz w:val="20"/>
                <w:szCs w:val="20"/>
                <w:color w:val="auto"/>
              </w:rPr>
            </w:pPr>
            <w:r>
              <w:rPr>
                <w:rFonts w:ascii="Calibri" w:cs="Calibri" w:eastAsia="Calibri" w:hAnsi="Calibri"/>
                <w:sz w:val="15"/>
                <w:szCs w:val="15"/>
                <w:color w:val="auto"/>
              </w:rPr>
              <w:t>4.1</w:t>
            </w: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87"/>
        </w:trPr>
        <w:tc>
          <w:tcPr>
            <w:tcW w:w="940" w:type="dxa"/>
            <w:vAlign w:val="bottom"/>
          </w:tcPr>
          <w:p>
            <w:pPr>
              <w:jc w:val="center"/>
              <w:ind w:right="83"/>
              <w:spacing w:after="0"/>
              <w:rPr>
                <w:sz w:val="20"/>
                <w:szCs w:val="20"/>
                <w:color w:val="auto"/>
              </w:rPr>
            </w:pPr>
            <w:r>
              <w:rPr>
                <w:rFonts w:ascii="Calibri" w:cs="Calibri" w:eastAsia="Calibri" w:hAnsi="Calibri"/>
                <w:sz w:val="15"/>
                <w:szCs w:val="15"/>
                <w:color w:val="auto"/>
                <w:w w:val="94"/>
              </w:rPr>
              <w:t>4.2</w:t>
            </w:r>
          </w:p>
        </w:tc>
        <w:tc>
          <w:tcPr>
            <w:tcW w:w="4140" w:type="dxa"/>
            <w:vAlign w:val="bottom"/>
            <w:gridSpan w:val="19"/>
          </w:tcPr>
          <w:p>
            <w:pPr>
              <w:spacing w:after="0"/>
              <w:rPr>
                <w:sz w:val="20"/>
                <w:szCs w:val="20"/>
                <w:color w:val="auto"/>
              </w:rPr>
            </w:pPr>
            <w:r>
              <w:rPr>
                <w:rFonts w:ascii="Calibri" w:cs="Calibri" w:eastAsia="Calibri" w:hAnsi="Calibri"/>
                <w:sz w:val="15"/>
                <w:szCs w:val="15"/>
                <w:color w:val="0000FF"/>
                <w:w w:val="99"/>
              </w:rPr>
              <w:t>Descripton of the Registrant’s Securites Registered Under Secton 12</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800" w:type="dxa"/>
            <w:vAlign w:val="bottom"/>
          </w:tcPr>
          <w:p>
            <w:pPr>
              <w:ind w:left="1360"/>
              <w:spacing w:after="0"/>
              <w:rPr>
                <w:sz w:val="20"/>
                <w:szCs w:val="20"/>
                <w:color w:val="auto"/>
              </w:rPr>
            </w:pPr>
            <w:r>
              <w:rPr>
                <w:rFonts w:ascii="Calibri" w:cs="Calibri" w:eastAsia="Calibri" w:hAnsi="Calibri"/>
                <w:sz w:val="15"/>
                <w:szCs w:val="15"/>
                <w:color w:val="auto"/>
              </w:rPr>
              <w:t>X</w:t>
            </w:r>
          </w:p>
        </w:tc>
      </w:tr>
      <w:tr>
        <w:trPr>
          <w:trHeight w:val="20"/>
        </w:trPr>
        <w:tc>
          <w:tcPr>
            <w:tcW w:w="940" w:type="dxa"/>
            <w:vAlign w:val="bottom"/>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64"/>
        </w:trPr>
        <w:tc>
          <w:tcPr>
            <w:tcW w:w="940" w:type="dxa"/>
            <w:vAlign w:val="bottom"/>
          </w:tcPr>
          <w:p>
            <w:pPr>
              <w:spacing w:after="0"/>
              <w:rPr>
                <w:sz w:val="14"/>
                <w:szCs w:val="14"/>
                <w:color w:val="auto"/>
              </w:rPr>
            </w:pPr>
          </w:p>
        </w:tc>
        <w:tc>
          <w:tcPr>
            <w:tcW w:w="4140" w:type="dxa"/>
            <w:vAlign w:val="bottom"/>
            <w:gridSpan w:val="19"/>
          </w:tcPr>
          <w:p>
            <w:pPr>
              <w:spacing w:after="0" w:line="165" w:lineRule="exact"/>
              <w:rPr>
                <w:sz w:val="20"/>
                <w:szCs w:val="20"/>
                <w:color w:val="auto"/>
              </w:rPr>
            </w:pPr>
            <w:r>
              <w:rPr>
                <w:rFonts w:ascii="Calibri" w:cs="Calibri" w:eastAsia="Calibri" w:hAnsi="Calibri"/>
                <w:sz w:val="15"/>
                <w:szCs w:val="15"/>
                <w:color w:val="0000FF"/>
              </w:rPr>
              <w:t>of the Securites Exchange Act of 1934.</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87"/>
        </w:trPr>
        <w:tc>
          <w:tcPr>
            <w:tcW w:w="940" w:type="dxa"/>
            <w:vAlign w:val="bottom"/>
          </w:tcPr>
          <w:p>
            <w:pPr>
              <w:jc w:val="center"/>
              <w:ind w:right="83"/>
              <w:spacing w:after="0"/>
              <w:rPr>
                <w:sz w:val="20"/>
                <w:szCs w:val="20"/>
                <w:color w:val="auto"/>
              </w:rPr>
            </w:pPr>
            <w:r>
              <w:rPr>
                <w:rFonts w:ascii="Calibri" w:cs="Calibri" w:eastAsia="Calibri" w:hAnsi="Calibri"/>
                <w:sz w:val="15"/>
                <w:szCs w:val="15"/>
                <w:color w:val="auto"/>
                <w:w w:val="97"/>
              </w:rPr>
              <w:t>10.1</w:t>
            </w:r>
          </w:p>
        </w:tc>
        <w:tc>
          <w:tcPr>
            <w:tcW w:w="4140" w:type="dxa"/>
            <w:vAlign w:val="bottom"/>
            <w:gridSpan w:val="19"/>
          </w:tcPr>
          <w:p>
            <w:pPr>
              <w:spacing w:after="0"/>
              <w:rPr>
                <w:rFonts w:ascii="Calibri" w:cs="Calibri" w:eastAsia="Calibri" w:hAnsi="Calibri"/>
                <w:sz w:val="15"/>
                <w:szCs w:val="15"/>
                <w:color w:val="0000FF"/>
                <w:w w:val="98"/>
              </w:rPr>
            </w:pPr>
            <w:hyperlink r:id="rId482">
              <w:r>
                <w:rPr>
                  <w:rFonts w:ascii="Calibri" w:cs="Calibri" w:eastAsia="Calibri" w:hAnsi="Calibri"/>
                  <w:sz w:val="15"/>
                  <w:szCs w:val="15"/>
                  <w:color w:val="0000FF"/>
                  <w:w w:val="98"/>
                </w:rPr>
                <w:t>Form of Indemnifcaton Agreement between the Registrant and each</w:t>
              </w:r>
            </w:hyperlink>
          </w:p>
        </w:tc>
        <w:tc>
          <w:tcPr>
            <w:tcW w:w="8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Calibri" w:cs="Calibri" w:eastAsia="Calibri" w:hAnsi="Calibri"/>
                <w:sz w:val="15"/>
                <w:szCs w:val="15"/>
                <w:color w:val="auto"/>
                <w:w w:val="94"/>
              </w:rPr>
              <w:t>S-1</w:t>
            </w:r>
          </w:p>
        </w:tc>
        <w:tc>
          <w:tcPr>
            <w:tcW w:w="1400" w:type="dxa"/>
            <w:vAlign w:val="bottom"/>
          </w:tcPr>
          <w:p>
            <w:pPr>
              <w:jc w:val="center"/>
              <w:spacing w:after="0"/>
              <w:rPr>
                <w:sz w:val="20"/>
                <w:szCs w:val="20"/>
                <w:color w:val="auto"/>
              </w:rPr>
            </w:pPr>
            <w:r>
              <w:rPr>
                <w:rFonts w:ascii="Calibri" w:cs="Calibri" w:eastAsia="Calibri" w:hAnsi="Calibri"/>
                <w:sz w:val="15"/>
                <w:szCs w:val="15"/>
                <w:color w:val="auto"/>
              </w:rPr>
              <w:t>333-220495</w:t>
            </w:r>
          </w:p>
        </w:tc>
        <w:tc>
          <w:tcPr>
            <w:tcW w:w="1900" w:type="dxa"/>
            <w:vAlign w:val="bottom"/>
          </w:tcPr>
          <w:p>
            <w:pPr>
              <w:jc w:val="center"/>
              <w:spacing w:after="0"/>
              <w:rPr>
                <w:sz w:val="20"/>
                <w:szCs w:val="20"/>
                <w:color w:val="auto"/>
              </w:rPr>
            </w:pPr>
            <w:r>
              <w:rPr>
                <w:rFonts w:ascii="Calibri" w:cs="Calibri" w:eastAsia="Calibri" w:hAnsi="Calibri"/>
                <w:sz w:val="15"/>
                <w:szCs w:val="15"/>
                <w:color w:val="auto"/>
              </w:rPr>
              <w:t>September 15, 2017</w:t>
            </w:r>
          </w:p>
        </w:tc>
        <w:tc>
          <w:tcPr>
            <w:tcW w:w="1800" w:type="dxa"/>
            <w:vAlign w:val="bottom"/>
          </w:tcPr>
          <w:p>
            <w:pPr>
              <w:jc w:val="center"/>
              <w:ind w:right="663"/>
              <w:spacing w:after="0"/>
              <w:rPr>
                <w:sz w:val="20"/>
                <w:szCs w:val="20"/>
                <w:color w:val="auto"/>
              </w:rPr>
            </w:pPr>
            <w:r>
              <w:rPr>
                <w:rFonts w:ascii="Calibri" w:cs="Calibri" w:eastAsia="Calibri" w:hAnsi="Calibri"/>
                <w:sz w:val="15"/>
                <w:szCs w:val="15"/>
                <w:color w:val="auto"/>
                <w:w w:val="97"/>
              </w:rPr>
              <w:t>10.1</w:t>
            </w:r>
          </w:p>
        </w:tc>
      </w:tr>
      <w:tr>
        <w:trPr>
          <w:trHeight w:val="20"/>
        </w:trPr>
        <w:tc>
          <w:tcPr>
            <w:tcW w:w="940" w:type="dxa"/>
            <w:vAlign w:val="bottom"/>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60" w:type="dxa"/>
            <w:vAlign w:val="bottom"/>
            <w:tcBorders>
              <w:right w:val="single" w:sz="8" w:color="0000FF"/>
            </w:tcBorders>
            <w:gridSpan w:val="3"/>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64"/>
        </w:trPr>
        <w:tc>
          <w:tcPr>
            <w:tcW w:w="940" w:type="dxa"/>
            <w:vAlign w:val="bottom"/>
          </w:tcPr>
          <w:p>
            <w:pPr>
              <w:spacing w:after="0"/>
              <w:rPr>
                <w:sz w:val="14"/>
                <w:szCs w:val="14"/>
                <w:color w:val="auto"/>
              </w:rPr>
            </w:pPr>
          </w:p>
        </w:tc>
        <w:tc>
          <w:tcPr>
            <w:tcW w:w="4140" w:type="dxa"/>
            <w:vAlign w:val="bottom"/>
            <w:gridSpan w:val="19"/>
          </w:tcPr>
          <w:p>
            <w:pPr>
              <w:spacing w:after="0" w:line="165" w:lineRule="exact"/>
              <w:rPr>
                <w:rFonts w:ascii="Calibri" w:cs="Calibri" w:eastAsia="Calibri" w:hAnsi="Calibri"/>
                <w:sz w:val="15"/>
                <w:szCs w:val="15"/>
                <w:color w:val="0000FF"/>
              </w:rPr>
            </w:pPr>
            <w:hyperlink r:id="rId482">
              <w:r>
                <w:rPr>
                  <w:rFonts w:ascii="Calibri" w:cs="Calibri" w:eastAsia="Calibri" w:hAnsi="Calibri"/>
                  <w:sz w:val="15"/>
                  <w:szCs w:val="15"/>
                  <w:color w:val="0000FF"/>
                </w:rPr>
                <w:t>of its directors and ofcers.</w:t>
              </w:r>
            </w:hyperlink>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87"/>
        </w:trPr>
        <w:tc>
          <w:tcPr>
            <w:tcW w:w="940" w:type="dxa"/>
            <w:vAlign w:val="bottom"/>
          </w:tcPr>
          <w:p>
            <w:pPr>
              <w:jc w:val="center"/>
              <w:ind w:right="83"/>
              <w:spacing w:after="0"/>
              <w:rPr>
                <w:sz w:val="20"/>
                <w:szCs w:val="20"/>
                <w:color w:val="auto"/>
              </w:rPr>
            </w:pPr>
            <w:r>
              <w:rPr>
                <w:rFonts w:ascii="Calibri" w:cs="Calibri" w:eastAsia="Calibri" w:hAnsi="Calibri"/>
                <w:sz w:val="15"/>
                <w:szCs w:val="15"/>
                <w:color w:val="auto"/>
                <w:w w:val="99"/>
              </w:rPr>
              <w:t>10.2#</w:t>
            </w:r>
          </w:p>
        </w:tc>
        <w:tc>
          <w:tcPr>
            <w:tcW w:w="4140" w:type="dxa"/>
            <w:vAlign w:val="bottom"/>
            <w:gridSpan w:val="19"/>
          </w:tcPr>
          <w:p>
            <w:pPr>
              <w:spacing w:after="0"/>
              <w:rPr>
                <w:rFonts w:ascii="Calibri" w:cs="Calibri" w:eastAsia="Calibri" w:hAnsi="Calibri"/>
                <w:sz w:val="15"/>
                <w:szCs w:val="15"/>
                <w:color w:val="0000FF"/>
              </w:rPr>
            </w:pPr>
            <w:hyperlink r:id="rId483">
              <w:r>
                <w:rPr>
                  <w:rFonts w:ascii="Calibri" w:cs="Calibri" w:eastAsia="Calibri" w:hAnsi="Calibri"/>
                  <w:sz w:val="15"/>
                  <w:szCs w:val="15"/>
                  <w:color w:val="0000FF"/>
                </w:rPr>
                <w:t>Amended and Restated 2006 Equity Incentve Plan.</w:t>
              </w:r>
            </w:hyperlink>
          </w:p>
        </w:tc>
        <w:tc>
          <w:tcPr>
            <w:tcW w:w="8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Calibri" w:cs="Calibri" w:eastAsia="Calibri" w:hAnsi="Calibri"/>
                <w:sz w:val="15"/>
                <w:szCs w:val="15"/>
                <w:color w:val="auto"/>
                <w:w w:val="94"/>
              </w:rPr>
              <w:t>S-1</w:t>
            </w:r>
          </w:p>
        </w:tc>
        <w:tc>
          <w:tcPr>
            <w:tcW w:w="1400" w:type="dxa"/>
            <w:vAlign w:val="bottom"/>
          </w:tcPr>
          <w:p>
            <w:pPr>
              <w:jc w:val="center"/>
              <w:spacing w:after="0"/>
              <w:rPr>
                <w:sz w:val="20"/>
                <w:szCs w:val="20"/>
                <w:color w:val="auto"/>
              </w:rPr>
            </w:pPr>
            <w:r>
              <w:rPr>
                <w:rFonts w:ascii="Calibri" w:cs="Calibri" w:eastAsia="Calibri" w:hAnsi="Calibri"/>
                <w:sz w:val="15"/>
                <w:szCs w:val="15"/>
                <w:color w:val="auto"/>
              </w:rPr>
              <w:t>333-220495</w:t>
            </w:r>
          </w:p>
        </w:tc>
        <w:tc>
          <w:tcPr>
            <w:tcW w:w="1900" w:type="dxa"/>
            <w:vAlign w:val="bottom"/>
          </w:tcPr>
          <w:p>
            <w:pPr>
              <w:jc w:val="center"/>
              <w:spacing w:after="0"/>
              <w:rPr>
                <w:sz w:val="20"/>
                <w:szCs w:val="20"/>
                <w:color w:val="auto"/>
              </w:rPr>
            </w:pPr>
            <w:r>
              <w:rPr>
                <w:rFonts w:ascii="Calibri" w:cs="Calibri" w:eastAsia="Calibri" w:hAnsi="Calibri"/>
                <w:sz w:val="15"/>
                <w:szCs w:val="15"/>
                <w:color w:val="auto"/>
              </w:rPr>
              <w:t>September 15, 2017</w:t>
            </w:r>
          </w:p>
        </w:tc>
        <w:tc>
          <w:tcPr>
            <w:tcW w:w="1800" w:type="dxa"/>
            <w:vAlign w:val="bottom"/>
          </w:tcPr>
          <w:p>
            <w:pPr>
              <w:jc w:val="center"/>
              <w:ind w:right="663"/>
              <w:spacing w:after="0"/>
              <w:rPr>
                <w:sz w:val="20"/>
                <w:szCs w:val="20"/>
                <w:color w:val="auto"/>
              </w:rPr>
            </w:pPr>
            <w:r>
              <w:rPr>
                <w:rFonts w:ascii="Calibri" w:cs="Calibri" w:eastAsia="Calibri" w:hAnsi="Calibri"/>
                <w:sz w:val="15"/>
                <w:szCs w:val="15"/>
                <w:color w:val="auto"/>
                <w:w w:val="97"/>
              </w:rPr>
              <w:t>10.2</w:t>
            </w: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60" w:type="dxa"/>
            <w:vAlign w:val="bottom"/>
            <w:tcBorders>
              <w:right w:val="single" w:sz="8" w:color="0000EE"/>
            </w:tcBorders>
            <w:gridSpan w:val="3"/>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87"/>
        </w:trPr>
        <w:tc>
          <w:tcPr>
            <w:tcW w:w="940" w:type="dxa"/>
            <w:vAlign w:val="bottom"/>
          </w:tcPr>
          <w:p>
            <w:pPr>
              <w:jc w:val="center"/>
              <w:ind w:right="83"/>
              <w:spacing w:after="0"/>
              <w:rPr>
                <w:sz w:val="20"/>
                <w:szCs w:val="20"/>
                <w:color w:val="auto"/>
              </w:rPr>
            </w:pPr>
            <w:r>
              <w:rPr>
                <w:rFonts w:ascii="Calibri" w:cs="Calibri" w:eastAsia="Calibri" w:hAnsi="Calibri"/>
                <w:sz w:val="15"/>
                <w:szCs w:val="15"/>
                <w:color w:val="auto"/>
                <w:w w:val="99"/>
              </w:rPr>
              <w:t>10.3#</w:t>
            </w:r>
          </w:p>
        </w:tc>
        <w:tc>
          <w:tcPr>
            <w:tcW w:w="4140" w:type="dxa"/>
            <w:vAlign w:val="bottom"/>
            <w:gridSpan w:val="19"/>
          </w:tcPr>
          <w:p>
            <w:pPr>
              <w:spacing w:after="0"/>
              <w:rPr>
                <w:rFonts w:ascii="Calibri" w:cs="Calibri" w:eastAsia="Calibri" w:hAnsi="Calibri"/>
                <w:sz w:val="15"/>
                <w:szCs w:val="15"/>
                <w:color w:val="0000FF"/>
              </w:rPr>
            </w:pPr>
            <w:hyperlink r:id="rId484">
              <w:r>
                <w:rPr>
                  <w:rFonts w:ascii="Calibri" w:cs="Calibri" w:eastAsia="Calibri" w:hAnsi="Calibri"/>
                  <w:sz w:val="15"/>
                  <w:szCs w:val="15"/>
                  <w:color w:val="0000FF"/>
                </w:rPr>
                <w:t>Amended and Restated 2015 Equity Incentve Plan and forms of</w:t>
              </w:r>
            </w:hyperlink>
          </w:p>
        </w:tc>
        <w:tc>
          <w:tcPr>
            <w:tcW w:w="8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Calibri" w:cs="Calibri" w:eastAsia="Calibri" w:hAnsi="Calibri"/>
                <w:sz w:val="15"/>
                <w:szCs w:val="15"/>
                <w:color w:val="auto"/>
              </w:rPr>
              <w:t>S-1/A</w:t>
            </w:r>
          </w:p>
        </w:tc>
        <w:tc>
          <w:tcPr>
            <w:tcW w:w="1400" w:type="dxa"/>
            <w:vAlign w:val="bottom"/>
          </w:tcPr>
          <w:p>
            <w:pPr>
              <w:jc w:val="center"/>
              <w:spacing w:after="0"/>
              <w:rPr>
                <w:sz w:val="20"/>
                <w:szCs w:val="20"/>
                <w:color w:val="auto"/>
              </w:rPr>
            </w:pPr>
            <w:r>
              <w:rPr>
                <w:rFonts w:ascii="Calibri" w:cs="Calibri" w:eastAsia="Calibri" w:hAnsi="Calibri"/>
                <w:sz w:val="15"/>
                <w:szCs w:val="15"/>
                <w:color w:val="auto"/>
              </w:rPr>
              <w:t>333-220495</w:t>
            </w:r>
          </w:p>
        </w:tc>
        <w:tc>
          <w:tcPr>
            <w:tcW w:w="1900" w:type="dxa"/>
            <w:vAlign w:val="bottom"/>
          </w:tcPr>
          <w:p>
            <w:pPr>
              <w:jc w:val="center"/>
              <w:spacing w:after="0"/>
              <w:rPr>
                <w:sz w:val="20"/>
                <w:szCs w:val="20"/>
                <w:color w:val="auto"/>
              </w:rPr>
            </w:pPr>
            <w:r>
              <w:rPr>
                <w:rFonts w:ascii="Calibri" w:cs="Calibri" w:eastAsia="Calibri" w:hAnsi="Calibri"/>
                <w:sz w:val="15"/>
                <w:szCs w:val="15"/>
                <w:color w:val="auto"/>
              </w:rPr>
              <w:t>September 29, 2017</w:t>
            </w:r>
          </w:p>
        </w:tc>
        <w:tc>
          <w:tcPr>
            <w:tcW w:w="1800" w:type="dxa"/>
            <w:vAlign w:val="bottom"/>
          </w:tcPr>
          <w:p>
            <w:pPr>
              <w:jc w:val="center"/>
              <w:ind w:right="663"/>
              <w:spacing w:after="0"/>
              <w:rPr>
                <w:sz w:val="20"/>
                <w:szCs w:val="20"/>
                <w:color w:val="auto"/>
              </w:rPr>
            </w:pPr>
            <w:r>
              <w:rPr>
                <w:rFonts w:ascii="Calibri" w:cs="Calibri" w:eastAsia="Calibri" w:hAnsi="Calibri"/>
                <w:sz w:val="15"/>
                <w:szCs w:val="15"/>
                <w:color w:val="auto"/>
                <w:w w:val="97"/>
              </w:rPr>
              <w:t>10.3</w:t>
            </w:r>
          </w:p>
        </w:tc>
      </w:tr>
      <w:tr>
        <w:trPr>
          <w:trHeight w:val="20"/>
        </w:trPr>
        <w:tc>
          <w:tcPr>
            <w:tcW w:w="940" w:type="dxa"/>
            <w:vAlign w:val="bottom"/>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64"/>
        </w:trPr>
        <w:tc>
          <w:tcPr>
            <w:tcW w:w="940" w:type="dxa"/>
            <w:vAlign w:val="bottom"/>
          </w:tcPr>
          <w:p>
            <w:pPr>
              <w:spacing w:after="0"/>
              <w:rPr>
                <w:sz w:val="14"/>
                <w:szCs w:val="14"/>
                <w:color w:val="auto"/>
              </w:rPr>
            </w:pPr>
          </w:p>
        </w:tc>
        <w:tc>
          <w:tcPr>
            <w:tcW w:w="4140" w:type="dxa"/>
            <w:vAlign w:val="bottom"/>
            <w:gridSpan w:val="19"/>
          </w:tcPr>
          <w:p>
            <w:pPr>
              <w:spacing w:after="0" w:line="165" w:lineRule="exact"/>
              <w:rPr>
                <w:rFonts w:ascii="Calibri" w:cs="Calibri" w:eastAsia="Calibri" w:hAnsi="Calibri"/>
                <w:sz w:val="15"/>
                <w:szCs w:val="15"/>
                <w:color w:val="0000FF"/>
              </w:rPr>
            </w:pPr>
            <w:hyperlink r:id="rId484">
              <w:r>
                <w:rPr>
                  <w:rFonts w:ascii="Calibri" w:cs="Calibri" w:eastAsia="Calibri" w:hAnsi="Calibri"/>
                  <w:sz w:val="15"/>
                  <w:szCs w:val="15"/>
                  <w:color w:val="0000FF"/>
                </w:rPr>
                <w:t>agreements thereunder.</w:t>
              </w:r>
            </w:hyperlink>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87"/>
        </w:trPr>
        <w:tc>
          <w:tcPr>
            <w:tcW w:w="940" w:type="dxa"/>
            <w:vAlign w:val="bottom"/>
          </w:tcPr>
          <w:p>
            <w:pPr>
              <w:jc w:val="center"/>
              <w:ind w:right="83"/>
              <w:spacing w:after="0"/>
              <w:rPr>
                <w:sz w:val="20"/>
                <w:szCs w:val="20"/>
                <w:color w:val="auto"/>
              </w:rPr>
            </w:pPr>
            <w:r>
              <w:rPr>
                <w:rFonts w:ascii="Calibri" w:cs="Calibri" w:eastAsia="Calibri" w:hAnsi="Calibri"/>
                <w:sz w:val="15"/>
                <w:szCs w:val="15"/>
                <w:color w:val="auto"/>
                <w:w w:val="99"/>
              </w:rPr>
              <w:t>10.4#</w:t>
            </w:r>
          </w:p>
        </w:tc>
        <w:tc>
          <w:tcPr>
            <w:tcW w:w="4140" w:type="dxa"/>
            <w:vAlign w:val="bottom"/>
            <w:gridSpan w:val="19"/>
          </w:tcPr>
          <w:p>
            <w:pPr>
              <w:spacing w:after="0"/>
              <w:rPr>
                <w:rFonts w:ascii="Calibri" w:cs="Calibri" w:eastAsia="Calibri" w:hAnsi="Calibri"/>
                <w:sz w:val="15"/>
                <w:szCs w:val="15"/>
                <w:color w:val="0000FF"/>
              </w:rPr>
            </w:pPr>
            <w:hyperlink r:id="rId485">
              <w:r>
                <w:rPr>
                  <w:rFonts w:ascii="Calibri" w:cs="Calibri" w:eastAsia="Calibri" w:hAnsi="Calibri"/>
                  <w:sz w:val="15"/>
                  <w:szCs w:val="15"/>
                  <w:color w:val="0000FF"/>
                </w:rPr>
                <w:t>Omnibus Incentve Compensaton Plan and forms of agreements</w:t>
              </w:r>
            </w:hyperlink>
          </w:p>
        </w:tc>
        <w:tc>
          <w:tcPr>
            <w:tcW w:w="80" w:type="dxa"/>
            <w:vAlign w:val="bottom"/>
          </w:tcPr>
          <w:p>
            <w:pPr>
              <w:spacing w:after="0"/>
              <w:rPr>
                <w:sz w:val="16"/>
                <w:szCs w:val="16"/>
                <w:color w:val="auto"/>
              </w:rPr>
            </w:pPr>
          </w:p>
        </w:tc>
        <w:tc>
          <w:tcPr>
            <w:tcW w:w="1000" w:type="dxa"/>
            <w:vAlign w:val="bottom"/>
          </w:tcPr>
          <w:p>
            <w:pPr>
              <w:jc w:val="center"/>
              <w:ind w:left="3"/>
              <w:spacing w:after="0"/>
              <w:rPr>
                <w:sz w:val="20"/>
                <w:szCs w:val="20"/>
                <w:color w:val="auto"/>
              </w:rPr>
            </w:pPr>
            <w:r>
              <w:rPr>
                <w:rFonts w:ascii="Calibri" w:cs="Calibri" w:eastAsia="Calibri" w:hAnsi="Calibri"/>
                <w:sz w:val="15"/>
                <w:szCs w:val="15"/>
                <w:color w:val="auto"/>
              </w:rPr>
              <w:t>10-K</w:t>
            </w:r>
          </w:p>
        </w:tc>
        <w:tc>
          <w:tcPr>
            <w:tcW w:w="1400" w:type="dxa"/>
            <w:vAlign w:val="bottom"/>
          </w:tcPr>
          <w:p>
            <w:pPr>
              <w:jc w:val="center"/>
              <w:spacing w:after="0"/>
              <w:rPr>
                <w:sz w:val="20"/>
                <w:szCs w:val="20"/>
                <w:color w:val="auto"/>
              </w:rPr>
            </w:pPr>
            <w:r>
              <w:rPr>
                <w:rFonts w:ascii="Calibri" w:cs="Calibri" w:eastAsia="Calibri" w:hAnsi="Calibri"/>
                <w:sz w:val="15"/>
                <w:szCs w:val="15"/>
                <w:color w:val="auto"/>
              </w:rPr>
              <w:t>001-38233</w:t>
            </w:r>
          </w:p>
        </w:tc>
        <w:tc>
          <w:tcPr>
            <w:tcW w:w="1900" w:type="dxa"/>
            <w:vAlign w:val="bottom"/>
          </w:tcPr>
          <w:p>
            <w:pPr>
              <w:jc w:val="center"/>
              <w:spacing w:after="0"/>
              <w:rPr>
                <w:sz w:val="20"/>
                <w:szCs w:val="20"/>
                <w:color w:val="auto"/>
              </w:rPr>
            </w:pPr>
            <w:r>
              <w:rPr>
                <w:rFonts w:ascii="Calibri" w:cs="Calibri" w:eastAsia="Calibri" w:hAnsi="Calibri"/>
                <w:sz w:val="15"/>
                <w:szCs w:val="15"/>
                <w:color w:val="auto"/>
                <w:w w:val="99"/>
              </w:rPr>
              <w:t>February 12, 2021</w:t>
            </w:r>
          </w:p>
        </w:tc>
        <w:tc>
          <w:tcPr>
            <w:tcW w:w="1800" w:type="dxa"/>
            <w:vAlign w:val="bottom"/>
          </w:tcPr>
          <w:p>
            <w:pPr>
              <w:jc w:val="center"/>
              <w:ind w:right="663"/>
              <w:spacing w:after="0"/>
              <w:rPr>
                <w:sz w:val="20"/>
                <w:szCs w:val="20"/>
                <w:color w:val="auto"/>
              </w:rPr>
            </w:pPr>
            <w:r>
              <w:rPr>
                <w:rFonts w:ascii="Calibri" w:cs="Calibri" w:eastAsia="Calibri" w:hAnsi="Calibri"/>
                <w:sz w:val="15"/>
                <w:szCs w:val="15"/>
                <w:color w:val="auto"/>
                <w:w w:val="97"/>
              </w:rPr>
              <w:t>10.4</w:t>
            </w:r>
          </w:p>
        </w:tc>
      </w:tr>
      <w:tr>
        <w:trPr>
          <w:trHeight w:val="20"/>
        </w:trPr>
        <w:tc>
          <w:tcPr>
            <w:tcW w:w="940" w:type="dxa"/>
            <w:vAlign w:val="bottom"/>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64"/>
        </w:trPr>
        <w:tc>
          <w:tcPr>
            <w:tcW w:w="940" w:type="dxa"/>
            <w:vAlign w:val="bottom"/>
          </w:tcPr>
          <w:p>
            <w:pPr>
              <w:spacing w:after="0"/>
              <w:rPr>
                <w:sz w:val="14"/>
                <w:szCs w:val="14"/>
                <w:color w:val="auto"/>
              </w:rPr>
            </w:pPr>
          </w:p>
        </w:tc>
        <w:tc>
          <w:tcPr>
            <w:tcW w:w="4140" w:type="dxa"/>
            <w:vAlign w:val="bottom"/>
            <w:gridSpan w:val="19"/>
          </w:tcPr>
          <w:p>
            <w:pPr>
              <w:spacing w:after="0" w:line="165" w:lineRule="exact"/>
              <w:rPr>
                <w:rFonts w:ascii="Calibri" w:cs="Calibri" w:eastAsia="Calibri" w:hAnsi="Calibri"/>
                <w:sz w:val="15"/>
                <w:szCs w:val="15"/>
                <w:color w:val="0000FF"/>
              </w:rPr>
            </w:pPr>
            <w:hyperlink r:id="rId485">
              <w:r>
                <w:rPr>
                  <w:rFonts w:ascii="Calibri" w:cs="Calibri" w:eastAsia="Calibri" w:hAnsi="Calibri"/>
                  <w:sz w:val="15"/>
                  <w:szCs w:val="15"/>
                  <w:color w:val="0000FF"/>
                </w:rPr>
                <w:t>thereunder.</w:t>
              </w:r>
            </w:hyperlink>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87"/>
        </w:trPr>
        <w:tc>
          <w:tcPr>
            <w:tcW w:w="940" w:type="dxa"/>
            <w:vAlign w:val="bottom"/>
          </w:tcPr>
          <w:p>
            <w:pPr>
              <w:jc w:val="center"/>
              <w:ind w:right="83"/>
              <w:spacing w:after="0"/>
              <w:rPr>
                <w:sz w:val="20"/>
                <w:szCs w:val="20"/>
                <w:color w:val="auto"/>
              </w:rPr>
            </w:pPr>
            <w:r>
              <w:rPr>
                <w:rFonts w:ascii="Calibri" w:cs="Calibri" w:eastAsia="Calibri" w:hAnsi="Calibri"/>
                <w:sz w:val="15"/>
                <w:szCs w:val="15"/>
                <w:color w:val="auto"/>
              </w:rPr>
              <w:t>10.4.1#</w:t>
            </w:r>
          </w:p>
        </w:tc>
        <w:tc>
          <w:tcPr>
            <w:tcW w:w="4140" w:type="dxa"/>
            <w:vAlign w:val="bottom"/>
            <w:gridSpan w:val="19"/>
          </w:tcPr>
          <w:p>
            <w:pPr>
              <w:spacing w:after="0"/>
              <w:rPr>
                <w:rFonts w:ascii="Calibri" w:cs="Calibri" w:eastAsia="Calibri" w:hAnsi="Calibri"/>
                <w:sz w:val="15"/>
                <w:szCs w:val="15"/>
                <w:color w:val="0000FF"/>
              </w:rPr>
            </w:pPr>
            <w:hyperlink r:id="rId486">
              <w:r>
                <w:rPr>
                  <w:rFonts w:ascii="Calibri" w:cs="Calibri" w:eastAsia="Calibri" w:hAnsi="Calibri"/>
                  <w:sz w:val="15"/>
                  <w:szCs w:val="15"/>
                  <w:color w:val="0000FF"/>
                </w:rPr>
                <w:t>Form of Executve Nonqualifed Stock Opton Grant Agreement.</w:t>
              </w:r>
            </w:hyperlink>
          </w:p>
        </w:tc>
        <w:tc>
          <w:tcPr>
            <w:tcW w:w="80" w:type="dxa"/>
            <w:vAlign w:val="bottom"/>
          </w:tcPr>
          <w:p>
            <w:pPr>
              <w:spacing w:after="0"/>
              <w:rPr>
                <w:sz w:val="16"/>
                <w:szCs w:val="16"/>
                <w:color w:val="auto"/>
              </w:rPr>
            </w:pPr>
          </w:p>
        </w:tc>
        <w:tc>
          <w:tcPr>
            <w:tcW w:w="1000" w:type="dxa"/>
            <w:vAlign w:val="bottom"/>
          </w:tcPr>
          <w:p>
            <w:pPr>
              <w:jc w:val="center"/>
              <w:ind w:left="3"/>
              <w:spacing w:after="0"/>
              <w:rPr>
                <w:sz w:val="20"/>
                <w:szCs w:val="20"/>
                <w:color w:val="auto"/>
              </w:rPr>
            </w:pPr>
            <w:r>
              <w:rPr>
                <w:rFonts w:ascii="Calibri" w:cs="Calibri" w:eastAsia="Calibri" w:hAnsi="Calibri"/>
                <w:sz w:val="15"/>
                <w:szCs w:val="15"/>
                <w:color w:val="auto"/>
              </w:rPr>
              <w:t>10-K</w:t>
            </w:r>
          </w:p>
        </w:tc>
        <w:tc>
          <w:tcPr>
            <w:tcW w:w="1400" w:type="dxa"/>
            <w:vAlign w:val="bottom"/>
          </w:tcPr>
          <w:p>
            <w:pPr>
              <w:jc w:val="center"/>
              <w:spacing w:after="0"/>
              <w:rPr>
                <w:sz w:val="20"/>
                <w:szCs w:val="20"/>
                <w:color w:val="auto"/>
              </w:rPr>
            </w:pPr>
            <w:r>
              <w:rPr>
                <w:rFonts w:ascii="Calibri" w:cs="Calibri" w:eastAsia="Calibri" w:hAnsi="Calibri"/>
                <w:sz w:val="15"/>
                <w:szCs w:val="15"/>
                <w:color w:val="auto"/>
              </w:rPr>
              <w:t>001-38233</w:t>
            </w:r>
          </w:p>
        </w:tc>
        <w:tc>
          <w:tcPr>
            <w:tcW w:w="1900" w:type="dxa"/>
            <w:vAlign w:val="bottom"/>
          </w:tcPr>
          <w:p>
            <w:pPr>
              <w:jc w:val="center"/>
              <w:spacing w:after="0"/>
              <w:rPr>
                <w:sz w:val="20"/>
                <w:szCs w:val="20"/>
                <w:color w:val="auto"/>
              </w:rPr>
            </w:pPr>
            <w:r>
              <w:rPr>
                <w:rFonts w:ascii="Calibri" w:cs="Calibri" w:eastAsia="Calibri" w:hAnsi="Calibri"/>
                <w:sz w:val="15"/>
                <w:szCs w:val="15"/>
                <w:color w:val="auto"/>
                <w:w w:val="99"/>
              </w:rPr>
              <w:t>February 12, 2021</w:t>
            </w:r>
          </w:p>
        </w:tc>
        <w:tc>
          <w:tcPr>
            <w:tcW w:w="1800" w:type="dxa"/>
            <w:vAlign w:val="bottom"/>
          </w:tcPr>
          <w:p>
            <w:pPr>
              <w:jc w:val="center"/>
              <w:ind w:right="663"/>
              <w:spacing w:after="0"/>
              <w:rPr>
                <w:sz w:val="20"/>
                <w:szCs w:val="20"/>
                <w:color w:val="auto"/>
              </w:rPr>
            </w:pPr>
            <w:r>
              <w:rPr>
                <w:rFonts w:ascii="Calibri" w:cs="Calibri" w:eastAsia="Calibri" w:hAnsi="Calibri"/>
                <w:sz w:val="15"/>
                <w:szCs w:val="15"/>
                <w:color w:val="auto"/>
                <w:w w:val="99"/>
              </w:rPr>
              <w:t>10.4.1</w:t>
            </w: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87"/>
        </w:trPr>
        <w:tc>
          <w:tcPr>
            <w:tcW w:w="940" w:type="dxa"/>
            <w:vAlign w:val="bottom"/>
          </w:tcPr>
          <w:p>
            <w:pPr>
              <w:jc w:val="center"/>
              <w:ind w:right="83"/>
              <w:spacing w:after="0"/>
              <w:rPr>
                <w:sz w:val="20"/>
                <w:szCs w:val="20"/>
                <w:color w:val="auto"/>
              </w:rPr>
            </w:pPr>
            <w:r>
              <w:rPr>
                <w:rFonts w:ascii="Calibri" w:cs="Calibri" w:eastAsia="Calibri" w:hAnsi="Calibri"/>
                <w:sz w:val="15"/>
                <w:szCs w:val="15"/>
                <w:color w:val="auto"/>
              </w:rPr>
              <w:t>10.4.2#</w:t>
            </w:r>
          </w:p>
        </w:tc>
        <w:tc>
          <w:tcPr>
            <w:tcW w:w="4140" w:type="dxa"/>
            <w:vAlign w:val="bottom"/>
            <w:gridSpan w:val="19"/>
          </w:tcPr>
          <w:p>
            <w:pPr>
              <w:spacing w:after="0"/>
              <w:rPr>
                <w:rFonts w:ascii="Calibri" w:cs="Calibri" w:eastAsia="Calibri" w:hAnsi="Calibri"/>
                <w:sz w:val="15"/>
                <w:szCs w:val="15"/>
                <w:color w:val="0000FF"/>
              </w:rPr>
            </w:pPr>
            <w:hyperlink r:id="rId487">
              <w:r>
                <w:rPr>
                  <w:rFonts w:ascii="Calibri" w:cs="Calibri" w:eastAsia="Calibri" w:hAnsi="Calibri"/>
                  <w:sz w:val="15"/>
                  <w:szCs w:val="15"/>
                  <w:color w:val="0000FF"/>
                </w:rPr>
                <w:t>Form of Executve Time-Based Restricted Stock Unit Agreement.</w:t>
              </w:r>
            </w:hyperlink>
          </w:p>
        </w:tc>
        <w:tc>
          <w:tcPr>
            <w:tcW w:w="8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Calibri" w:cs="Calibri" w:eastAsia="Calibri" w:hAnsi="Calibri"/>
                <w:sz w:val="15"/>
                <w:szCs w:val="15"/>
                <w:color w:val="auto"/>
              </w:rPr>
              <w:t>10-Q</w:t>
            </w:r>
          </w:p>
        </w:tc>
        <w:tc>
          <w:tcPr>
            <w:tcW w:w="1400" w:type="dxa"/>
            <w:vAlign w:val="bottom"/>
          </w:tcPr>
          <w:p>
            <w:pPr>
              <w:jc w:val="center"/>
              <w:spacing w:after="0"/>
              <w:rPr>
                <w:sz w:val="20"/>
                <w:szCs w:val="20"/>
                <w:color w:val="auto"/>
              </w:rPr>
            </w:pPr>
            <w:r>
              <w:rPr>
                <w:rFonts w:ascii="Calibri" w:cs="Calibri" w:eastAsia="Calibri" w:hAnsi="Calibri"/>
                <w:sz w:val="15"/>
                <w:szCs w:val="15"/>
                <w:color w:val="auto"/>
              </w:rPr>
              <w:t>001-38233</w:t>
            </w:r>
          </w:p>
        </w:tc>
        <w:tc>
          <w:tcPr>
            <w:tcW w:w="1900" w:type="dxa"/>
            <w:vAlign w:val="bottom"/>
          </w:tcPr>
          <w:p>
            <w:pPr>
              <w:jc w:val="center"/>
              <w:spacing w:after="0"/>
              <w:rPr>
                <w:sz w:val="20"/>
                <w:szCs w:val="20"/>
                <w:color w:val="auto"/>
              </w:rPr>
            </w:pPr>
            <w:r>
              <w:rPr>
                <w:rFonts w:ascii="Calibri" w:cs="Calibri" w:eastAsia="Calibri" w:hAnsi="Calibri"/>
                <w:sz w:val="15"/>
                <w:szCs w:val="15"/>
                <w:color w:val="auto"/>
              </w:rPr>
              <w:t>May 3, 2018</w:t>
            </w:r>
          </w:p>
        </w:tc>
        <w:tc>
          <w:tcPr>
            <w:tcW w:w="1800" w:type="dxa"/>
            <w:vAlign w:val="bottom"/>
          </w:tcPr>
          <w:p>
            <w:pPr>
              <w:jc w:val="center"/>
              <w:ind w:right="663"/>
              <w:spacing w:after="0"/>
              <w:rPr>
                <w:sz w:val="20"/>
                <w:szCs w:val="20"/>
                <w:color w:val="auto"/>
              </w:rPr>
            </w:pPr>
            <w:r>
              <w:rPr>
                <w:rFonts w:ascii="Calibri" w:cs="Calibri" w:eastAsia="Calibri" w:hAnsi="Calibri"/>
                <w:sz w:val="15"/>
                <w:szCs w:val="15"/>
                <w:color w:val="auto"/>
                <w:w w:val="97"/>
              </w:rPr>
              <w:t>10.3</w:t>
            </w: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87"/>
        </w:trPr>
        <w:tc>
          <w:tcPr>
            <w:tcW w:w="940" w:type="dxa"/>
            <w:vAlign w:val="bottom"/>
          </w:tcPr>
          <w:p>
            <w:pPr>
              <w:jc w:val="center"/>
              <w:ind w:right="83"/>
              <w:spacing w:after="0"/>
              <w:rPr>
                <w:sz w:val="20"/>
                <w:szCs w:val="20"/>
                <w:color w:val="auto"/>
              </w:rPr>
            </w:pPr>
            <w:r>
              <w:rPr>
                <w:rFonts w:ascii="Calibri" w:cs="Calibri" w:eastAsia="Calibri" w:hAnsi="Calibri"/>
                <w:sz w:val="15"/>
                <w:szCs w:val="15"/>
                <w:color w:val="auto"/>
              </w:rPr>
              <w:t>10.4.3#</w:t>
            </w:r>
          </w:p>
        </w:tc>
        <w:tc>
          <w:tcPr>
            <w:tcW w:w="4140" w:type="dxa"/>
            <w:vAlign w:val="bottom"/>
            <w:gridSpan w:val="19"/>
          </w:tcPr>
          <w:p>
            <w:pPr>
              <w:spacing w:after="0"/>
              <w:rPr>
                <w:rFonts w:ascii="Calibri" w:cs="Calibri" w:eastAsia="Calibri" w:hAnsi="Calibri"/>
                <w:sz w:val="15"/>
                <w:szCs w:val="15"/>
                <w:color w:val="0000FF"/>
              </w:rPr>
            </w:pPr>
            <w:hyperlink r:id="rId488">
              <w:r>
                <w:rPr>
                  <w:rFonts w:ascii="Calibri" w:cs="Calibri" w:eastAsia="Calibri" w:hAnsi="Calibri"/>
                  <w:sz w:val="15"/>
                  <w:szCs w:val="15"/>
                  <w:color w:val="0000FF"/>
                </w:rPr>
                <w:t>Form of Executve Performance-Based Restricted Stock Unit</w:t>
              </w:r>
            </w:hyperlink>
          </w:p>
        </w:tc>
        <w:tc>
          <w:tcPr>
            <w:tcW w:w="80" w:type="dxa"/>
            <w:vAlign w:val="bottom"/>
          </w:tcPr>
          <w:p>
            <w:pPr>
              <w:spacing w:after="0"/>
              <w:rPr>
                <w:sz w:val="16"/>
                <w:szCs w:val="16"/>
                <w:color w:val="auto"/>
              </w:rPr>
            </w:pPr>
          </w:p>
        </w:tc>
        <w:tc>
          <w:tcPr>
            <w:tcW w:w="1000" w:type="dxa"/>
            <w:vAlign w:val="bottom"/>
          </w:tcPr>
          <w:p>
            <w:pPr>
              <w:jc w:val="center"/>
              <w:ind w:left="3"/>
              <w:spacing w:after="0"/>
              <w:rPr>
                <w:sz w:val="20"/>
                <w:szCs w:val="20"/>
                <w:color w:val="auto"/>
              </w:rPr>
            </w:pPr>
            <w:r>
              <w:rPr>
                <w:rFonts w:ascii="Calibri" w:cs="Calibri" w:eastAsia="Calibri" w:hAnsi="Calibri"/>
                <w:sz w:val="15"/>
                <w:szCs w:val="15"/>
                <w:color w:val="auto"/>
              </w:rPr>
              <w:t>10-K</w:t>
            </w:r>
          </w:p>
        </w:tc>
        <w:tc>
          <w:tcPr>
            <w:tcW w:w="1400" w:type="dxa"/>
            <w:vAlign w:val="bottom"/>
          </w:tcPr>
          <w:p>
            <w:pPr>
              <w:jc w:val="center"/>
              <w:spacing w:after="0"/>
              <w:rPr>
                <w:sz w:val="20"/>
                <w:szCs w:val="20"/>
                <w:color w:val="auto"/>
              </w:rPr>
            </w:pPr>
            <w:r>
              <w:rPr>
                <w:rFonts w:ascii="Calibri" w:cs="Calibri" w:eastAsia="Calibri" w:hAnsi="Calibri"/>
                <w:sz w:val="15"/>
                <w:szCs w:val="15"/>
                <w:color w:val="auto"/>
              </w:rPr>
              <w:t>001-38233</w:t>
            </w:r>
          </w:p>
        </w:tc>
        <w:tc>
          <w:tcPr>
            <w:tcW w:w="1900" w:type="dxa"/>
            <w:vAlign w:val="bottom"/>
          </w:tcPr>
          <w:p>
            <w:pPr>
              <w:jc w:val="center"/>
              <w:spacing w:after="0"/>
              <w:rPr>
                <w:sz w:val="20"/>
                <w:szCs w:val="20"/>
                <w:color w:val="auto"/>
              </w:rPr>
            </w:pPr>
            <w:r>
              <w:rPr>
                <w:rFonts w:ascii="Calibri" w:cs="Calibri" w:eastAsia="Calibri" w:hAnsi="Calibri"/>
                <w:sz w:val="15"/>
                <w:szCs w:val="15"/>
                <w:color w:val="auto"/>
                <w:w w:val="99"/>
              </w:rPr>
              <w:t>February 12, 2021</w:t>
            </w:r>
          </w:p>
        </w:tc>
        <w:tc>
          <w:tcPr>
            <w:tcW w:w="1800" w:type="dxa"/>
            <w:vAlign w:val="bottom"/>
          </w:tcPr>
          <w:p>
            <w:pPr>
              <w:jc w:val="center"/>
              <w:ind w:right="663"/>
              <w:spacing w:after="0"/>
              <w:rPr>
                <w:sz w:val="20"/>
                <w:szCs w:val="20"/>
                <w:color w:val="auto"/>
              </w:rPr>
            </w:pPr>
            <w:r>
              <w:rPr>
                <w:rFonts w:ascii="Calibri" w:cs="Calibri" w:eastAsia="Calibri" w:hAnsi="Calibri"/>
                <w:sz w:val="15"/>
                <w:szCs w:val="15"/>
                <w:color w:val="auto"/>
                <w:w w:val="99"/>
              </w:rPr>
              <w:t>10.4.3</w:t>
            </w: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64"/>
        </w:trPr>
        <w:tc>
          <w:tcPr>
            <w:tcW w:w="940" w:type="dxa"/>
            <w:vAlign w:val="bottom"/>
          </w:tcPr>
          <w:p>
            <w:pPr>
              <w:spacing w:after="0"/>
              <w:rPr>
                <w:sz w:val="14"/>
                <w:szCs w:val="14"/>
                <w:color w:val="auto"/>
              </w:rPr>
            </w:pPr>
          </w:p>
        </w:tc>
        <w:tc>
          <w:tcPr>
            <w:tcW w:w="4140" w:type="dxa"/>
            <w:vAlign w:val="bottom"/>
            <w:gridSpan w:val="19"/>
          </w:tcPr>
          <w:p>
            <w:pPr>
              <w:spacing w:after="0" w:line="165" w:lineRule="exact"/>
              <w:rPr>
                <w:rFonts w:ascii="Calibri" w:cs="Calibri" w:eastAsia="Calibri" w:hAnsi="Calibri"/>
                <w:sz w:val="15"/>
                <w:szCs w:val="15"/>
                <w:color w:val="0000FF"/>
              </w:rPr>
            </w:pPr>
            <w:hyperlink r:id="rId488">
              <w:r>
                <w:rPr>
                  <w:rFonts w:ascii="Calibri" w:cs="Calibri" w:eastAsia="Calibri" w:hAnsi="Calibri"/>
                  <w:sz w:val="15"/>
                  <w:szCs w:val="15"/>
                  <w:color w:val="0000FF"/>
                </w:rPr>
                <w:t>Agreement.</w:t>
              </w:r>
            </w:hyperlink>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87"/>
        </w:trPr>
        <w:tc>
          <w:tcPr>
            <w:tcW w:w="940" w:type="dxa"/>
            <w:vAlign w:val="bottom"/>
          </w:tcPr>
          <w:p>
            <w:pPr>
              <w:jc w:val="center"/>
              <w:ind w:right="83"/>
              <w:spacing w:after="0"/>
              <w:rPr>
                <w:sz w:val="20"/>
                <w:szCs w:val="20"/>
                <w:color w:val="auto"/>
              </w:rPr>
            </w:pPr>
            <w:r>
              <w:rPr>
                <w:rFonts w:ascii="Calibri" w:cs="Calibri" w:eastAsia="Calibri" w:hAnsi="Calibri"/>
                <w:sz w:val="15"/>
                <w:szCs w:val="15"/>
                <w:color w:val="auto"/>
              </w:rPr>
              <w:t>10.4.4#</w:t>
            </w:r>
          </w:p>
        </w:tc>
        <w:tc>
          <w:tcPr>
            <w:tcW w:w="4140" w:type="dxa"/>
            <w:vAlign w:val="bottom"/>
            <w:gridSpan w:val="19"/>
          </w:tcPr>
          <w:p>
            <w:pPr>
              <w:spacing w:after="0"/>
              <w:rPr>
                <w:rFonts w:ascii="Calibri" w:cs="Calibri" w:eastAsia="Calibri" w:hAnsi="Calibri"/>
                <w:sz w:val="15"/>
                <w:szCs w:val="15"/>
                <w:color w:val="0000FF"/>
              </w:rPr>
            </w:pPr>
            <w:hyperlink r:id="rId489">
              <w:r>
                <w:rPr>
                  <w:rFonts w:ascii="Calibri" w:cs="Calibri" w:eastAsia="Calibri" w:hAnsi="Calibri"/>
                  <w:sz w:val="15"/>
                  <w:szCs w:val="15"/>
                  <w:color w:val="0000FF"/>
                </w:rPr>
                <w:t>Form of Amendment to Performance Restricted Stock Unit</w:t>
              </w:r>
            </w:hyperlink>
          </w:p>
        </w:tc>
        <w:tc>
          <w:tcPr>
            <w:tcW w:w="80" w:type="dxa"/>
            <w:vAlign w:val="bottom"/>
          </w:tcPr>
          <w:p>
            <w:pPr>
              <w:spacing w:after="0"/>
              <w:rPr>
                <w:sz w:val="16"/>
                <w:szCs w:val="16"/>
                <w:color w:val="auto"/>
              </w:rPr>
            </w:pPr>
          </w:p>
        </w:tc>
        <w:tc>
          <w:tcPr>
            <w:tcW w:w="1000" w:type="dxa"/>
            <w:vAlign w:val="bottom"/>
          </w:tcPr>
          <w:p>
            <w:pPr>
              <w:jc w:val="center"/>
              <w:ind w:left="3"/>
              <w:spacing w:after="0"/>
              <w:rPr>
                <w:sz w:val="20"/>
                <w:szCs w:val="20"/>
                <w:color w:val="auto"/>
              </w:rPr>
            </w:pPr>
            <w:r>
              <w:rPr>
                <w:rFonts w:ascii="Calibri" w:cs="Calibri" w:eastAsia="Calibri" w:hAnsi="Calibri"/>
                <w:sz w:val="15"/>
                <w:szCs w:val="15"/>
                <w:color w:val="auto"/>
              </w:rPr>
              <w:t>10-K</w:t>
            </w:r>
          </w:p>
        </w:tc>
        <w:tc>
          <w:tcPr>
            <w:tcW w:w="1400" w:type="dxa"/>
            <w:vAlign w:val="bottom"/>
          </w:tcPr>
          <w:p>
            <w:pPr>
              <w:jc w:val="center"/>
              <w:spacing w:after="0"/>
              <w:rPr>
                <w:sz w:val="20"/>
                <w:szCs w:val="20"/>
                <w:color w:val="auto"/>
              </w:rPr>
            </w:pPr>
            <w:r>
              <w:rPr>
                <w:rFonts w:ascii="Calibri" w:cs="Calibri" w:eastAsia="Calibri" w:hAnsi="Calibri"/>
                <w:sz w:val="15"/>
                <w:szCs w:val="15"/>
                <w:color w:val="auto"/>
              </w:rPr>
              <w:t>001-38233</w:t>
            </w:r>
          </w:p>
        </w:tc>
        <w:tc>
          <w:tcPr>
            <w:tcW w:w="1900" w:type="dxa"/>
            <w:vAlign w:val="bottom"/>
          </w:tcPr>
          <w:p>
            <w:pPr>
              <w:jc w:val="center"/>
              <w:spacing w:after="0"/>
              <w:rPr>
                <w:sz w:val="20"/>
                <w:szCs w:val="20"/>
                <w:color w:val="auto"/>
              </w:rPr>
            </w:pPr>
            <w:r>
              <w:rPr>
                <w:rFonts w:ascii="Calibri" w:cs="Calibri" w:eastAsia="Calibri" w:hAnsi="Calibri"/>
                <w:sz w:val="15"/>
                <w:szCs w:val="15"/>
                <w:color w:val="auto"/>
                <w:w w:val="99"/>
              </w:rPr>
              <w:t>February 25, 2022</w:t>
            </w:r>
          </w:p>
        </w:tc>
        <w:tc>
          <w:tcPr>
            <w:tcW w:w="1800" w:type="dxa"/>
            <w:vAlign w:val="bottom"/>
          </w:tcPr>
          <w:p>
            <w:pPr>
              <w:jc w:val="center"/>
              <w:ind w:right="663"/>
              <w:spacing w:after="0"/>
              <w:rPr>
                <w:sz w:val="20"/>
                <w:szCs w:val="20"/>
                <w:color w:val="auto"/>
              </w:rPr>
            </w:pPr>
            <w:r>
              <w:rPr>
                <w:rFonts w:ascii="Calibri" w:cs="Calibri" w:eastAsia="Calibri" w:hAnsi="Calibri"/>
                <w:sz w:val="15"/>
                <w:szCs w:val="15"/>
                <w:color w:val="auto"/>
                <w:w w:val="99"/>
              </w:rPr>
              <w:t>10.31</w:t>
            </w: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0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64"/>
        </w:trPr>
        <w:tc>
          <w:tcPr>
            <w:tcW w:w="940" w:type="dxa"/>
            <w:vAlign w:val="bottom"/>
          </w:tcPr>
          <w:p>
            <w:pPr>
              <w:spacing w:after="0"/>
              <w:rPr>
                <w:sz w:val="14"/>
                <w:szCs w:val="14"/>
                <w:color w:val="auto"/>
              </w:rPr>
            </w:pPr>
          </w:p>
        </w:tc>
        <w:tc>
          <w:tcPr>
            <w:tcW w:w="4140" w:type="dxa"/>
            <w:vAlign w:val="bottom"/>
            <w:gridSpan w:val="19"/>
          </w:tcPr>
          <w:p>
            <w:pPr>
              <w:spacing w:after="0" w:line="165" w:lineRule="exact"/>
              <w:rPr>
                <w:rFonts w:ascii="Calibri" w:cs="Calibri" w:eastAsia="Calibri" w:hAnsi="Calibri"/>
                <w:sz w:val="15"/>
                <w:szCs w:val="15"/>
                <w:color w:val="0000FF"/>
              </w:rPr>
            </w:pPr>
            <w:hyperlink r:id="rId489">
              <w:r>
                <w:rPr>
                  <w:rFonts w:ascii="Calibri" w:cs="Calibri" w:eastAsia="Calibri" w:hAnsi="Calibri"/>
                  <w:sz w:val="15"/>
                  <w:szCs w:val="15"/>
                  <w:color w:val="0000FF"/>
                </w:rPr>
                <w:t>Agreement.</w:t>
              </w:r>
            </w:hyperlink>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00" w:type="dxa"/>
            <w:vAlign w:val="bottom"/>
            <w:gridSpan w:val="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87"/>
        </w:trPr>
        <w:tc>
          <w:tcPr>
            <w:tcW w:w="940" w:type="dxa"/>
            <w:vAlign w:val="bottom"/>
          </w:tcPr>
          <w:p>
            <w:pPr>
              <w:jc w:val="center"/>
              <w:ind w:right="83"/>
              <w:spacing w:after="0"/>
              <w:rPr>
                <w:sz w:val="20"/>
                <w:szCs w:val="20"/>
                <w:color w:val="auto"/>
              </w:rPr>
            </w:pPr>
            <w:r>
              <w:rPr>
                <w:rFonts w:ascii="Calibri" w:cs="Calibri" w:eastAsia="Calibri" w:hAnsi="Calibri"/>
                <w:sz w:val="15"/>
                <w:szCs w:val="15"/>
                <w:color w:val="auto"/>
              </w:rPr>
              <w:t>10.4.5#</w:t>
            </w:r>
          </w:p>
        </w:tc>
        <w:tc>
          <w:tcPr>
            <w:tcW w:w="4140" w:type="dxa"/>
            <w:vAlign w:val="bottom"/>
            <w:gridSpan w:val="19"/>
          </w:tcPr>
          <w:p>
            <w:pPr>
              <w:spacing w:after="0"/>
              <w:rPr>
                <w:rFonts w:ascii="Calibri" w:cs="Calibri" w:eastAsia="Calibri" w:hAnsi="Calibri"/>
                <w:sz w:val="15"/>
                <w:szCs w:val="15"/>
                <w:color w:val="0000FF"/>
              </w:rPr>
            </w:pPr>
            <w:hyperlink r:id="rId490">
              <w:r>
                <w:rPr>
                  <w:rFonts w:ascii="Calibri" w:cs="Calibri" w:eastAsia="Calibri" w:hAnsi="Calibri"/>
                  <w:sz w:val="15"/>
                  <w:szCs w:val="15"/>
                  <w:color w:val="0000FF"/>
                </w:rPr>
                <w:t>Form of Non-Employee Director Restricted Stock Unit Agreement.</w:t>
              </w:r>
            </w:hyperlink>
          </w:p>
        </w:tc>
        <w:tc>
          <w:tcPr>
            <w:tcW w:w="80" w:type="dxa"/>
            <w:vAlign w:val="bottom"/>
          </w:tcPr>
          <w:p>
            <w:pPr>
              <w:spacing w:after="0"/>
              <w:rPr>
                <w:sz w:val="16"/>
                <w:szCs w:val="16"/>
                <w:color w:val="auto"/>
              </w:rPr>
            </w:pPr>
          </w:p>
        </w:tc>
        <w:tc>
          <w:tcPr>
            <w:tcW w:w="1000" w:type="dxa"/>
            <w:vAlign w:val="bottom"/>
          </w:tcPr>
          <w:p>
            <w:pPr>
              <w:jc w:val="center"/>
              <w:ind w:left="3"/>
              <w:spacing w:after="0"/>
              <w:rPr>
                <w:sz w:val="20"/>
                <w:szCs w:val="20"/>
                <w:color w:val="auto"/>
              </w:rPr>
            </w:pPr>
            <w:r>
              <w:rPr>
                <w:rFonts w:ascii="Calibri" w:cs="Calibri" w:eastAsia="Calibri" w:hAnsi="Calibri"/>
                <w:sz w:val="15"/>
                <w:szCs w:val="15"/>
                <w:color w:val="auto"/>
                <w:w w:val="99"/>
              </w:rPr>
              <w:t>8-K</w:t>
            </w:r>
          </w:p>
        </w:tc>
        <w:tc>
          <w:tcPr>
            <w:tcW w:w="1400" w:type="dxa"/>
            <w:vAlign w:val="bottom"/>
          </w:tcPr>
          <w:p>
            <w:pPr>
              <w:jc w:val="center"/>
              <w:spacing w:after="0"/>
              <w:rPr>
                <w:sz w:val="20"/>
                <w:szCs w:val="20"/>
                <w:color w:val="auto"/>
              </w:rPr>
            </w:pPr>
            <w:r>
              <w:rPr>
                <w:rFonts w:ascii="Calibri" w:cs="Calibri" w:eastAsia="Calibri" w:hAnsi="Calibri"/>
                <w:sz w:val="15"/>
                <w:szCs w:val="15"/>
                <w:color w:val="auto"/>
              </w:rPr>
              <w:t>001-38233</w:t>
            </w:r>
          </w:p>
        </w:tc>
        <w:tc>
          <w:tcPr>
            <w:tcW w:w="1900" w:type="dxa"/>
            <w:vAlign w:val="bottom"/>
          </w:tcPr>
          <w:p>
            <w:pPr>
              <w:jc w:val="center"/>
              <w:spacing w:after="0"/>
              <w:rPr>
                <w:sz w:val="20"/>
                <w:szCs w:val="20"/>
                <w:color w:val="auto"/>
              </w:rPr>
            </w:pPr>
            <w:r>
              <w:rPr>
                <w:rFonts w:ascii="Calibri" w:cs="Calibri" w:eastAsia="Calibri" w:hAnsi="Calibri"/>
                <w:sz w:val="15"/>
                <w:szCs w:val="15"/>
                <w:color w:val="auto"/>
              </w:rPr>
              <w:t>March 26, 2018</w:t>
            </w:r>
          </w:p>
        </w:tc>
        <w:tc>
          <w:tcPr>
            <w:tcW w:w="1800" w:type="dxa"/>
            <w:vAlign w:val="bottom"/>
          </w:tcPr>
          <w:p>
            <w:pPr>
              <w:jc w:val="center"/>
              <w:ind w:right="663"/>
              <w:spacing w:after="0"/>
              <w:rPr>
                <w:sz w:val="20"/>
                <w:szCs w:val="20"/>
                <w:color w:val="auto"/>
              </w:rPr>
            </w:pPr>
            <w:r>
              <w:rPr>
                <w:rFonts w:ascii="Calibri" w:cs="Calibri" w:eastAsia="Calibri" w:hAnsi="Calibri"/>
                <w:sz w:val="15"/>
                <w:szCs w:val="15"/>
                <w:color w:val="auto"/>
                <w:w w:val="97"/>
              </w:rPr>
              <w:t>10.1</w:t>
            </w: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0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700" w:type="dxa"/>
            <w:vAlign w:val="bottom"/>
            <w:gridSpan w:val="9"/>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87"/>
        </w:trPr>
        <w:tc>
          <w:tcPr>
            <w:tcW w:w="940" w:type="dxa"/>
            <w:vAlign w:val="bottom"/>
          </w:tcPr>
          <w:p>
            <w:pPr>
              <w:jc w:val="center"/>
              <w:ind w:right="83"/>
              <w:spacing w:after="0"/>
              <w:rPr>
                <w:sz w:val="20"/>
                <w:szCs w:val="20"/>
                <w:color w:val="auto"/>
              </w:rPr>
            </w:pPr>
            <w:r>
              <w:rPr>
                <w:rFonts w:ascii="Calibri" w:cs="Calibri" w:eastAsia="Calibri" w:hAnsi="Calibri"/>
                <w:sz w:val="15"/>
                <w:szCs w:val="15"/>
                <w:color w:val="auto"/>
                <w:w w:val="99"/>
              </w:rPr>
              <w:t>10.5#</w:t>
            </w:r>
          </w:p>
        </w:tc>
        <w:tc>
          <w:tcPr>
            <w:tcW w:w="4140" w:type="dxa"/>
            <w:vAlign w:val="bottom"/>
            <w:gridSpan w:val="19"/>
          </w:tcPr>
          <w:p>
            <w:pPr>
              <w:spacing w:after="0"/>
              <w:rPr>
                <w:rFonts w:ascii="Calibri" w:cs="Calibri" w:eastAsia="Calibri" w:hAnsi="Calibri"/>
                <w:sz w:val="15"/>
                <w:szCs w:val="15"/>
                <w:color w:val="0000FF"/>
              </w:rPr>
            </w:pPr>
            <w:hyperlink r:id="rId491">
              <w:r>
                <w:rPr>
                  <w:rFonts w:ascii="Calibri" w:cs="Calibri" w:eastAsia="Calibri" w:hAnsi="Calibri"/>
                  <w:sz w:val="15"/>
                  <w:szCs w:val="15"/>
                  <w:color w:val="0000FF"/>
                </w:rPr>
                <w:t>CarGurus, Inc. Annual Incentve Plan.</w:t>
              </w:r>
            </w:hyperlink>
          </w:p>
        </w:tc>
        <w:tc>
          <w:tcPr>
            <w:tcW w:w="8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Calibri" w:cs="Calibri" w:eastAsia="Calibri" w:hAnsi="Calibri"/>
                <w:sz w:val="15"/>
                <w:szCs w:val="15"/>
                <w:color w:val="auto"/>
                <w:w w:val="98"/>
              </w:rPr>
              <w:t>8-K/A</w:t>
            </w:r>
          </w:p>
        </w:tc>
        <w:tc>
          <w:tcPr>
            <w:tcW w:w="1400" w:type="dxa"/>
            <w:vAlign w:val="bottom"/>
          </w:tcPr>
          <w:p>
            <w:pPr>
              <w:jc w:val="center"/>
              <w:spacing w:after="0"/>
              <w:rPr>
                <w:sz w:val="20"/>
                <w:szCs w:val="20"/>
                <w:color w:val="auto"/>
              </w:rPr>
            </w:pPr>
            <w:r>
              <w:rPr>
                <w:rFonts w:ascii="Calibri" w:cs="Calibri" w:eastAsia="Calibri" w:hAnsi="Calibri"/>
                <w:sz w:val="15"/>
                <w:szCs w:val="15"/>
                <w:color w:val="auto"/>
              </w:rPr>
              <w:t>001-38233</w:t>
            </w:r>
          </w:p>
        </w:tc>
        <w:tc>
          <w:tcPr>
            <w:tcW w:w="1900" w:type="dxa"/>
            <w:vAlign w:val="bottom"/>
          </w:tcPr>
          <w:p>
            <w:pPr>
              <w:jc w:val="center"/>
              <w:spacing w:after="0"/>
              <w:rPr>
                <w:sz w:val="20"/>
                <w:szCs w:val="20"/>
                <w:color w:val="auto"/>
              </w:rPr>
            </w:pPr>
            <w:r>
              <w:rPr>
                <w:rFonts w:ascii="Calibri" w:cs="Calibri" w:eastAsia="Calibri" w:hAnsi="Calibri"/>
                <w:sz w:val="15"/>
                <w:szCs w:val="15"/>
                <w:color w:val="auto"/>
              </w:rPr>
              <w:t>April 6, 2018</w:t>
            </w:r>
          </w:p>
        </w:tc>
        <w:tc>
          <w:tcPr>
            <w:tcW w:w="1800" w:type="dxa"/>
            <w:vAlign w:val="bottom"/>
          </w:tcPr>
          <w:p>
            <w:pPr>
              <w:jc w:val="center"/>
              <w:ind w:right="663"/>
              <w:spacing w:after="0"/>
              <w:rPr>
                <w:sz w:val="20"/>
                <w:szCs w:val="20"/>
                <w:color w:val="auto"/>
              </w:rPr>
            </w:pPr>
            <w:r>
              <w:rPr>
                <w:rFonts w:ascii="Calibri" w:cs="Calibri" w:eastAsia="Calibri" w:hAnsi="Calibri"/>
                <w:sz w:val="15"/>
                <w:szCs w:val="15"/>
                <w:color w:val="auto"/>
                <w:w w:val="97"/>
              </w:rPr>
              <w:t>10.1</w:t>
            </w: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0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0" w:type="dxa"/>
            <w:vAlign w:val="bottom"/>
            <w:gridSpan w:val="1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87"/>
        </w:trPr>
        <w:tc>
          <w:tcPr>
            <w:tcW w:w="940" w:type="dxa"/>
            <w:vAlign w:val="bottom"/>
          </w:tcPr>
          <w:p>
            <w:pPr>
              <w:jc w:val="center"/>
              <w:ind w:right="83"/>
              <w:spacing w:after="0"/>
              <w:rPr>
                <w:sz w:val="20"/>
                <w:szCs w:val="20"/>
                <w:color w:val="auto"/>
              </w:rPr>
            </w:pPr>
            <w:r>
              <w:rPr>
                <w:rFonts w:ascii="Calibri" w:cs="Calibri" w:eastAsia="Calibri" w:hAnsi="Calibri"/>
                <w:sz w:val="15"/>
                <w:szCs w:val="15"/>
                <w:color w:val="auto"/>
                <w:w w:val="99"/>
              </w:rPr>
              <w:t>10.6#</w:t>
            </w:r>
          </w:p>
        </w:tc>
        <w:tc>
          <w:tcPr>
            <w:tcW w:w="4140" w:type="dxa"/>
            <w:vAlign w:val="bottom"/>
            <w:gridSpan w:val="19"/>
          </w:tcPr>
          <w:p>
            <w:pPr>
              <w:spacing w:after="0"/>
              <w:rPr>
                <w:rFonts w:ascii="Calibri" w:cs="Calibri" w:eastAsia="Calibri" w:hAnsi="Calibri"/>
                <w:sz w:val="15"/>
                <w:szCs w:val="15"/>
                <w:color w:val="0000FF"/>
              </w:rPr>
            </w:pPr>
            <w:hyperlink r:id="rId492">
              <w:r>
                <w:rPr>
                  <w:rFonts w:ascii="Calibri" w:cs="Calibri" w:eastAsia="Calibri" w:hAnsi="Calibri"/>
                  <w:sz w:val="15"/>
                  <w:szCs w:val="15"/>
                  <w:color w:val="0000FF"/>
                </w:rPr>
                <w:t>Ofer Leter, dated March 17, 2006, by and between the Registrant</w:t>
              </w:r>
            </w:hyperlink>
          </w:p>
        </w:tc>
        <w:tc>
          <w:tcPr>
            <w:tcW w:w="8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Calibri" w:cs="Calibri" w:eastAsia="Calibri" w:hAnsi="Calibri"/>
                <w:sz w:val="15"/>
                <w:szCs w:val="15"/>
                <w:color w:val="auto"/>
                <w:w w:val="94"/>
              </w:rPr>
              <w:t>S-1</w:t>
            </w:r>
          </w:p>
        </w:tc>
        <w:tc>
          <w:tcPr>
            <w:tcW w:w="1400" w:type="dxa"/>
            <w:vAlign w:val="bottom"/>
          </w:tcPr>
          <w:p>
            <w:pPr>
              <w:jc w:val="center"/>
              <w:spacing w:after="0"/>
              <w:rPr>
                <w:sz w:val="20"/>
                <w:szCs w:val="20"/>
                <w:color w:val="auto"/>
              </w:rPr>
            </w:pPr>
            <w:r>
              <w:rPr>
                <w:rFonts w:ascii="Calibri" w:cs="Calibri" w:eastAsia="Calibri" w:hAnsi="Calibri"/>
                <w:sz w:val="15"/>
                <w:szCs w:val="15"/>
                <w:color w:val="auto"/>
              </w:rPr>
              <w:t>333-220495</w:t>
            </w:r>
          </w:p>
        </w:tc>
        <w:tc>
          <w:tcPr>
            <w:tcW w:w="1900" w:type="dxa"/>
            <w:vAlign w:val="bottom"/>
          </w:tcPr>
          <w:p>
            <w:pPr>
              <w:jc w:val="center"/>
              <w:spacing w:after="0"/>
              <w:rPr>
                <w:sz w:val="20"/>
                <w:szCs w:val="20"/>
                <w:color w:val="auto"/>
              </w:rPr>
            </w:pPr>
            <w:r>
              <w:rPr>
                <w:rFonts w:ascii="Calibri" w:cs="Calibri" w:eastAsia="Calibri" w:hAnsi="Calibri"/>
                <w:sz w:val="15"/>
                <w:szCs w:val="15"/>
                <w:color w:val="auto"/>
              </w:rPr>
              <w:t>September 15, 2017</w:t>
            </w:r>
          </w:p>
        </w:tc>
        <w:tc>
          <w:tcPr>
            <w:tcW w:w="1800" w:type="dxa"/>
            <w:vAlign w:val="bottom"/>
          </w:tcPr>
          <w:p>
            <w:pPr>
              <w:jc w:val="center"/>
              <w:ind w:right="663"/>
              <w:spacing w:after="0"/>
              <w:rPr>
                <w:sz w:val="20"/>
                <w:szCs w:val="20"/>
                <w:color w:val="auto"/>
              </w:rPr>
            </w:pPr>
            <w:r>
              <w:rPr>
                <w:rFonts w:ascii="Calibri" w:cs="Calibri" w:eastAsia="Calibri" w:hAnsi="Calibri"/>
                <w:sz w:val="15"/>
                <w:szCs w:val="15"/>
                <w:color w:val="auto"/>
                <w:w w:val="97"/>
              </w:rPr>
              <w:t>10.5</w:t>
            </w:r>
          </w:p>
        </w:tc>
      </w:tr>
      <w:tr>
        <w:trPr>
          <w:trHeight w:val="20"/>
        </w:trPr>
        <w:tc>
          <w:tcPr>
            <w:tcW w:w="940" w:type="dxa"/>
            <w:vAlign w:val="bottom"/>
          </w:tcPr>
          <w:p>
            <w:pPr>
              <w:spacing w:after="0" w:line="20" w:lineRule="exact"/>
              <w:rPr>
                <w:sz w:val="1"/>
                <w:szCs w:val="1"/>
                <w:color w:val="auto"/>
              </w:rPr>
            </w:pPr>
          </w:p>
        </w:tc>
        <w:tc>
          <w:tcPr>
            <w:tcW w:w="10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760" w:type="dxa"/>
            <w:vAlign w:val="bottom"/>
            <w:gridSpan w:val="1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64"/>
        </w:trPr>
        <w:tc>
          <w:tcPr>
            <w:tcW w:w="940" w:type="dxa"/>
            <w:vAlign w:val="bottom"/>
          </w:tcPr>
          <w:p>
            <w:pPr>
              <w:spacing w:after="0"/>
              <w:rPr>
                <w:sz w:val="14"/>
                <w:szCs w:val="14"/>
                <w:color w:val="auto"/>
              </w:rPr>
            </w:pPr>
          </w:p>
        </w:tc>
        <w:tc>
          <w:tcPr>
            <w:tcW w:w="4140" w:type="dxa"/>
            <w:vAlign w:val="bottom"/>
            <w:gridSpan w:val="19"/>
          </w:tcPr>
          <w:p>
            <w:pPr>
              <w:spacing w:after="0" w:line="165" w:lineRule="exact"/>
              <w:rPr>
                <w:rFonts w:ascii="Calibri" w:cs="Calibri" w:eastAsia="Calibri" w:hAnsi="Calibri"/>
                <w:sz w:val="15"/>
                <w:szCs w:val="15"/>
                <w:color w:val="0000FF"/>
              </w:rPr>
            </w:pPr>
            <w:hyperlink r:id="rId492">
              <w:r>
                <w:rPr>
                  <w:rFonts w:ascii="Calibri" w:cs="Calibri" w:eastAsia="Calibri" w:hAnsi="Calibri"/>
                  <w:sz w:val="15"/>
                  <w:szCs w:val="15"/>
                  <w:color w:val="0000FF"/>
                </w:rPr>
                <w:t>and Langley Steinert.</w:t>
              </w:r>
            </w:hyperlink>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0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2800" w:type="dxa"/>
            <w:vAlign w:val="bottom"/>
            <w:gridSpan w:val="1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87"/>
        </w:trPr>
        <w:tc>
          <w:tcPr>
            <w:tcW w:w="940" w:type="dxa"/>
            <w:vAlign w:val="bottom"/>
          </w:tcPr>
          <w:p>
            <w:pPr>
              <w:jc w:val="center"/>
              <w:ind w:right="83"/>
              <w:spacing w:after="0"/>
              <w:rPr>
                <w:sz w:val="20"/>
                <w:szCs w:val="20"/>
                <w:color w:val="auto"/>
              </w:rPr>
            </w:pPr>
            <w:r>
              <w:rPr>
                <w:rFonts w:ascii="Calibri" w:cs="Calibri" w:eastAsia="Calibri" w:hAnsi="Calibri"/>
                <w:sz w:val="15"/>
                <w:szCs w:val="15"/>
                <w:color w:val="auto"/>
                <w:w w:val="99"/>
              </w:rPr>
              <w:t>10.7#</w:t>
            </w:r>
          </w:p>
        </w:tc>
        <w:tc>
          <w:tcPr>
            <w:tcW w:w="4140" w:type="dxa"/>
            <w:vAlign w:val="bottom"/>
            <w:gridSpan w:val="19"/>
          </w:tcPr>
          <w:p>
            <w:pPr>
              <w:spacing w:after="0"/>
              <w:rPr>
                <w:rFonts w:ascii="Calibri" w:cs="Calibri" w:eastAsia="Calibri" w:hAnsi="Calibri"/>
                <w:sz w:val="15"/>
                <w:szCs w:val="15"/>
                <w:color w:val="0000FF"/>
              </w:rPr>
            </w:pPr>
            <w:hyperlink r:id="rId493">
              <w:r>
                <w:rPr>
                  <w:rFonts w:ascii="Calibri" w:cs="Calibri" w:eastAsia="Calibri" w:hAnsi="Calibri"/>
                  <w:sz w:val="15"/>
                  <w:szCs w:val="15"/>
                  <w:color w:val="0000FF"/>
                </w:rPr>
                <w:t>Ofer Leter, dated August 10, 2015, by and between the Registrant</w:t>
              </w:r>
            </w:hyperlink>
          </w:p>
        </w:tc>
        <w:tc>
          <w:tcPr>
            <w:tcW w:w="8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Calibri" w:cs="Calibri" w:eastAsia="Calibri" w:hAnsi="Calibri"/>
                <w:sz w:val="15"/>
                <w:szCs w:val="15"/>
                <w:color w:val="auto"/>
                <w:w w:val="94"/>
              </w:rPr>
              <w:t>S-1</w:t>
            </w:r>
          </w:p>
        </w:tc>
        <w:tc>
          <w:tcPr>
            <w:tcW w:w="1400" w:type="dxa"/>
            <w:vAlign w:val="bottom"/>
          </w:tcPr>
          <w:p>
            <w:pPr>
              <w:jc w:val="center"/>
              <w:spacing w:after="0"/>
              <w:rPr>
                <w:sz w:val="20"/>
                <w:szCs w:val="20"/>
                <w:color w:val="auto"/>
              </w:rPr>
            </w:pPr>
            <w:r>
              <w:rPr>
                <w:rFonts w:ascii="Calibri" w:cs="Calibri" w:eastAsia="Calibri" w:hAnsi="Calibri"/>
                <w:sz w:val="15"/>
                <w:szCs w:val="15"/>
                <w:color w:val="auto"/>
              </w:rPr>
              <w:t>333-220495</w:t>
            </w:r>
          </w:p>
        </w:tc>
        <w:tc>
          <w:tcPr>
            <w:tcW w:w="1900" w:type="dxa"/>
            <w:vAlign w:val="bottom"/>
          </w:tcPr>
          <w:p>
            <w:pPr>
              <w:jc w:val="center"/>
              <w:spacing w:after="0"/>
              <w:rPr>
                <w:sz w:val="20"/>
                <w:szCs w:val="20"/>
                <w:color w:val="auto"/>
              </w:rPr>
            </w:pPr>
            <w:r>
              <w:rPr>
                <w:rFonts w:ascii="Calibri" w:cs="Calibri" w:eastAsia="Calibri" w:hAnsi="Calibri"/>
                <w:sz w:val="15"/>
                <w:szCs w:val="15"/>
                <w:color w:val="auto"/>
              </w:rPr>
              <w:t>September 15, 2017</w:t>
            </w:r>
          </w:p>
        </w:tc>
        <w:tc>
          <w:tcPr>
            <w:tcW w:w="1800" w:type="dxa"/>
            <w:vAlign w:val="bottom"/>
          </w:tcPr>
          <w:p>
            <w:pPr>
              <w:jc w:val="center"/>
              <w:ind w:right="663"/>
              <w:spacing w:after="0"/>
              <w:rPr>
                <w:sz w:val="20"/>
                <w:szCs w:val="20"/>
                <w:color w:val="auto"/>
              </w:rPr>
            </w:pPr>
            <w:r>
              <w:rPr>
                <w:rFonts w:ascii="Calibri" w:cs="Calibri" w:eastAsia="Calibri" w:hAnsi="Calibri"/>
                <w:sz w:val="15"/>
                <w:szCs w:val="15"/>
                <w:color w:val="auto"/>
                <w:w w:val="97"/>
              </w:rPr>
              <w:t>10.6</w:t>
            </w:r>
          </w:p>
        </w:tc>
      </w:tr>
      <w:tr>
        <w:trPr>
          <w:trHeight w:val="20"/>
        </w:trPr>
        <w:tc>
          <w:tcPr>
            <w:tcW w:w="940" w:type="dxa"/>
            <w:vAlign w:val="bottom"/>
          </w:tcPr>
          <w:p>
            <w:pPr>
              <w:spacing w:after="0" w:line="20" w:lineRule="exact"/>
              <w:rPr>
                <w:sz w:val="1"/>
                <w:szCs w:val="1"/>
                <w:color w:val="auto"/>
              </w:rPr>
            </w:pPr>
          </w:p>
        </w:tc>
        <w:tc>
          <w:tcPr>
            <w:tcW w:w="10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900" w:type="dxa"/>
            <w:vAlign w:val="bottom"/>
            <w:gridSpan w:val="15"/>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64"/>
        </w:trPr>
        <w:tc>
          <w:tcPr>
            <w:tcW w:w="940" w:type="dxa"/>
            <w:vAlign w:val="bottom"/>
          </w:tcPr>
          <w:p>
            <w:pPr>
              <w:spacing w:after="0"/>
              <w:rPr>
                <w:sz w:val="14"/>
                <w:szCs w:val="14"/>
                <w:color w:val="auto"/>
              </w:rPr>
            </w:pPr>
          </w:p>
        </w:tc>
        <w:tc>
          <w:tcPr>
            <w:tcW w:w="4140" w:type="dxa"/>
            <w:vAlign w:val="bottom"/>
            <w:gridSpan w:val="19"/>
          </w:tcPr>
          <w:p>
            <w:pPr>
              <w:spacing w:after="0" w:line="165" w:lineRule="exact"/>
              <w:rPr>
                <w:rFonts w:ascii="Calibri" w:cs="Calibri" w:eastAsia="Calibri" w:hAnsi="Calibri"/>
                <w:sz w:val="15"/>
                <w:szCs w:val="15"/>
                <w:color w:val="0000FF"/>
              </w:rPr>
            </w:pPr>
            <w:hyperlink r:id="rId493">
              <w:r>
                <w:rPr>
                  <w:rFonts w:ascii="Calibri" w:cs="Calibri" w:eastAsia="Calibri" w:hAnsi="Calibri"/>
                  <w:sz w:val="15"/>
                  <w:szCs w:val="15"/>
                  <w:color w:val="0000FF"/>
                </w:rPr>
                <w:t>and Jason Trevisan.</w:t>
              </w:r>
            </w:hyperlink>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08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2980" w:type="dxa"/>
            <w:vAlign w:val="bottom"/>
            <w:gridSpan w:val="1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87"/>
        </w:trPr>
        <w:tc>
          <w:tcPr>
            <w:tcW w:w="940" w:type="dxa"/>
            <w:vAlign w:val="bottom"/>
          </w:tcPr>
          <w:p>
            <w:pPr>
              <w:jc w:val="center"/>
              <w:ind w:right="83"/>
              <w:spacing w:after="0"/>
              <w:rPr>
                <w:sz w:val="20"/>
                <w:szCs w:val="20"/>
                <w:color w:val="auto"/>
              </w:rPr>
            </w:pPr>
            <w:r>
              <w:rPr>
                <w:rFonts w:ascii="Calibri" w:cs="Calibri" w:eastAsia="Calibri" w:hAnsi="Calibri"/>
                <w:sz w:val="15"/>
                <w:szCs w:val="15"/>
                <w:color w:val="auto"/>
                <w:w w:val="99"/>
              </w:rPr>
              <w:t>10.8#</w:t>
            </w:r>
          </w:p>
        </w:tc>
        <w:tc>
          <w:tcPr>
            <w:tcW w:w="4140" w:type="dxa"/>
            <w:vAlign w:val="bottom"/>
            <w:gridSpan w:val="19"/>
          </w:tcPr>
          <w:p>
            <w:pPr>
              <w:spacing w:after="0"/>
              <w:rPr>
                <w:rFonts w:ascii="Calibri" w:cs="Calibri" w:eastAsia="Calibri" w:hAnsi="Calibri"/>
                <w:sz w:val="15"/>
                <w:szCs w:val="15"/>
                <w:color w:val="0000FF"/>
              </w:rPr>
            </w:pPr>
            <w:hyperlink r:id="rId494">
              <w:r>
                <w:rPr>
                  <w:rFonts w:ascii="Calibri" w:cs="Calibri" w:eastAsia="Calibri" w:hAnsi="Calibri"/>
                  <w:sz w:val="15"/>
                  <w:szCs w:val="15"/>
                  <w:color w:val="0000FF"/>
                </w:rPr>
                <w:t>Ofer Leter, dated October 24, 2014, by and between the Registrant</w:t>
              </w:r>
            </w:hyperlink>
          </w:p>
        </w:tc>
        <w:tc>
          <w:tcPr>
            <w:tcW w:w="8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Calibri" w:cs="Calibri" w:eastAsia="Calibri" w:hAnsi="Calibri"/>
                <w:sz w:val="15"/>
                <w:szCs w:val="15"/>
                <w:color w:val="auto"/>
                <w:w w:val="94"/>
              </w:rPr>
              <w:t>S-1</w:t>
            </w:r>
          </w:p>
        </w:tc>
        <w:tc>
          <w:tcPr>
            <w:tcW w:w="1400" w:type="dxa"/>
            <w:vAlign w:val="bottom"/>
          </w:tcPr>
          <w:p>
            <w:pPr>
              <w:jc w:val="center"/>
              <w:spacing w:after="0"/>
              <w:rPr>
                <w:sz w:val="20"/>
                <w:szCs w:val="20"/>
                <w:color w:val="auto"/>
              </w:rPr>
            </w:pPr>
            <w:r>
              <w:rPr>
                <w:rFonts w:ascii="Calibri" w:cs="Calibri" w:eastAsia="Calibri" w:hAnsi="Calibri"/>
                <w:sz w:val="15"/>
                <w:szCs w:val="15"/>
                <w:color w:val="auto"/>
              </w:rPr>
              <w:t>333-220495</w:t>
            </w:r>
          </w:p>
        </w:tc>
        <w:tc>
          <w:tcPr>
            <w:tcW w:w="1900" w:type="dxa"/>
            <w:vAlign w:val="bottom"/>
          </w:tcPr>
          <w:p>
            <w:pPr>
              <w:jc w:val="center"/>
              <w:spacing w:after="0"/>
              <w:rPr>
                <w:sz w:val="20"/>
                <w:szCs w:val="20"/>
                <w:color w:val="auto"/>
              </w:rPr>
            </w:pPr>
            <w:r>
              <w:rPr>
                <w:rFonts w:ascii="Calibri" w:cs="Calibri" w:eastAsia="Calibri" w:hAnsi="Calibri"/>
                <w:sz w:val="15"/>
                <w:szCs w:val="15"/>
                <w:color w:val="auto"/>
              </w:rPr>
              <w:t>September 15, 2017</w:t>
            </w:r>
          </w:p>
        </w:tc>
        <w:tc>
          <w:tcPr>
            <w:tcW w:w="1800" w:type="dxa"/>
            <w:vAlign w:val="bottom"/>
          </w:tcPr>
          <w:p>
            <w:pPr>
              <w:jc w:val="center"/>
              <w:ind w:right="663"/>
              <w:spacing w:after="0"/>
              <w:rPr>
                <w:sz w:val="20"/>
                <w:szCs w:val="20"/>
                <w:color w:val="auto"/>
              </w:rPr>
            </w:pPr>
            <w:r>
              <w:rPr>
                <w:rFonts w:ascii="Calibri" w:cs="Calibri" w:eastAsia="Calibri" w:hAnsi="Calibri"/>
                <w:sz w:val="15"/>
                <w:szCs w:val="15"/>
                <w:color w:val="auto"/>
                <w:w w:val="97"/>
              </w:rPr>
              <w:t>10.7</w:t>
            </w:r>
          </w:p>
        </w:tc>
      </w:tr>
      <w:tr>
        <w:trPr>
          <w:trHeight w:val="20"/>
        </w:trPr>
        <w:tc>
          <w:tcPr>
            <w:tcW w:w="940" w:type="dxa"/>
            <w:vAlign w:val="bottom"/>
          </w:tcPr>
          <w:p>
            <w:pPr>
              <w:spacing w:after="0" w:line="20" w:lineRule="exact"/>
              <w:rPr>
                <w:sz w:val="1"/>
                <w:szCs w:val="1"/>
                <w:color w:val="auto"/>
              </w:rPr>
            </w:pPr>
          </w:p>
        </w:tc>
        <w:tc>
          <w:tcPr>
            <w:tcW w:w="1080" w:type="dxa"/>
            <w:vAlign w:val="bottom"/>
            <w:tcBorders>
              <w:right w:val="single" w:sz="8" w:color="0000FF"/>
            </w:tcBorders>
            <w:gridSpan w:val="2"/>
            <w:shd w:val="clear" w:color="auto" w:fill="0000FF"/>
          </w:tcPr>
          <w:p>
            <w:pPr>
              <w:spacing w:after="0" w:line="20" w:lineRule="exact"/>
              <w:rPr>
                <w:sz w:val="1"/>
                <w:szCs w:val="1"/>
                <w:color w:val="auto"/>
              </w:rPr>
            </w:pPr>
          </w:p>
        </w:tc>
        <w:tc>
          <w:tcPr>
            <w:tcW w:w="3060" w:type="dxa"/>
            <w:vAlign w:val="bottom"/>
            <w:tcBorders>
              <w:left w:val="single" w:sz="8" w:color="0000FF"/>
            </w:tcBorders>
            <w:gridSpan w:val="17"/>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64"/>
        </w:trPr>
        <w:tc>
          <w:tcPr>
            <w:tcW w:w="940" w:type="dxa"/>
            <w:vAlign w:val="bottom"/>
          </w:tcPr>
          <w:p>
            <w:pPr>
              <w:spacing w:after="0"/>
              <w:rPr>
                <w:sz w:val="14"/>
                <w:szCs w:val="14"/>
                <w:color w:val="auto"/>
              </w:rPr>
            </w:pPr>
          </w:p>
        </w:tc>
        <w:tc>
          <w:tcPr>
            <w:tcW w:w="4140" w:type="dxa"/>
            <w:vAlign w:val="bottom"/>
            <w:gridSpan w:val="19"/>
          </w:tcPr>
          <w:p>
            <w:pPr>
              <w:spacing w:after="0" w:line="165" w:lineRule="exact"/>
              <w:rPr>
                <w:rFonts w:ascii="Calibri" w:cs="Calibri" w:eastAsia="Calibri" w:hAnsi="Calibri"/>
                <w:sz w:val="15"/>
                <w:szCs w:val="15"/>
                <w:color w:val="0000FF"/>
              </w:rPr>
            </w:pPr>
            <w:hyperlink r:id="rId494">
              <w:r>
                <w:rPr>
                  <w:rFonts w:ascii="Calibri" w:cs="Calibri" w:eastAsia="Calibri" w:hAnsi="Calibri"/>
                  <w:sz w:val="15"/>
                  <w:szCs w:val="15"/>
                  <w:color w:val="0000FF"/>
                </w:rPr>
                <w:t>and Samuel Zales.</w:t>
              </w:r>
            </w:hyperlink>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080" w:type="dxa"/>
            <w:vAlign w:val="bottom"/>
            <w:tcBorders>
              <w:right w:val="single" w:sz="8" w:color="0000EE"/>
            </w:tcBorders>
            <w:gridSpan w:val="2"/>
            <w:shd w:val="clear" w:color="auto" w:fill="0000FF"/>
          </w:tcPr>
          <w:p>
            <w:pPr>
              <w:spacing w:after="0" w:line="20" w:lineRule="exact"/>
              <w:rPr>
                <w:sz w:val="1"/>
                <w:szCs w:val="1"/>
                <w:color w:val="auto"/>
              </w:rPr>
            </w:pPr>
          </w:p>
        </w:tc>
        <w:tc>
          <w:tcPr>
            <w:tcW w:w="3060" w:type="dxa"/>
            <w:vAlign w:val="bottom"/>
            <w:gridSpan w:val="1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87"/>
        </w:trPr>
        <w:tc>
          <w:tcPr>
            <w:tcW w:w="940" w:type="dxa"/>
            <w:vAlign w:val="bottom"/>
          </w:tcPr>
          <w:p>
            <w:pPr>
              <w:jc w:val="center"/>
              <w:ind w:right="83"/>
              <w:spacing w:after="0"/>
              <w:rPr>
                <w:sz w:val="20"/>
                <w:szCs w:val="20"/>
                <w:color w:val="auto"/>
              </w:rPr>
            </w:pPr>
            <w:r>
              <w:rPr>
                <w:rFonts w:ascii="Calibri" w:cs="Calibri" w:eastAsia="Calibri" w:hAnsi="Calibri"/>
                <w:sz w:val="15"/>
                <w:szCs w:val="15"/>
                <w:color w:val="auto"/>
                <w:w w:val="99"/>
              </w:rPr>
              <w:t>10.9#</w:t>
            </w:r>
          </w:p>
        </w:tc>
        <w:tc>
          <w:tcPr>
            <w:tcW w:w="4140" w:type="dxa"/>
            <w:vAlign w:val="bottom"/>
            <w:gridSpan w:val="19"/>
          </w:tcPr>
          <w:p>
            <w:pPr>
              <w:spacing w:after="0"/>
              <w:rPr>
                <w:rFonts w:ascii="Calibri" w:cs="Calibri" w:eastAsia="Calibri" w:hAnsi="Calibri"/>
                <w:sz w:val="15"/>
                <w:szCs w:val="15"/>
                <w:color w:val="0000FF"/>
              </w:rPr>
            </w:pPr>
            <w:hyperlink r:id="rId495">
              <w:r>
                <w:rPr>
                  <w:rFonts w:ascii="Calibri" w:cs="Calibri" w:eastAsia="Calibri" w:hAnsi="Calibri"/>
                  <w:sz w:val="15"/>
                  <w:szCs w:val="15"/>
                  <w:color w:val="0000FF"/>
                </w:rPr>
                <w:t>Ofer Leter, dated October 16, 2023, by and between the Registrant</w:t>
              </w:r>
            </w:hyperlink>
          </w:p>
        </w:tc>
        <w:tc>
          <w:tcPr>
            <w:tcW w:w="80" w:type="dxa"/>
            <w:vAlign w:val="bottom"/>
          </w:tcPr>
          <w:p>
            <w:pPr>
              <w:spacing w:after="0"/>
              <w:rPr>
                <w:sz w:val="16"/>
                <w:szCs w:val="16"/>
                <w:color w:val="auto"/>
              </w:rPr>
            </w:pPr>
          </w:p>
        </w:tc>
        <w:tc>
          <w:tcPr>
            <w:tcW w:w="1000" w:type="dxa"/>
            <w:vAlign w:val="bottom"/>
          </w:tcPr>
          <w:p>
            <w:pPr>
              <w:jc w:val="center"/>
              <w:ind w:left="3"/>
              <w:spacing w:after="0"/>
              <w:rPr>
                <w:sz w:val="20"/>
                <w:szCs w:val="20"/>
                <w:color w:val="auto"/>
              </w:rPr>
            </w:pPr>
            <w:r>
              <w:rPr>
                <w:rFonts w:ascii="Calibri" w:cs="Calibri" w:eastAsia="Calibri" w:hAnsi="Calibri"/>
                <w:sz w:val="15"/>
                <w:szCs w:val="15"/>
                <w:color w:val="auto"/>
                <w:w w:val="99"/>
              </w:rPr>
              <w:t>8-K</w:t>
            </w:r>
          </w:p>
        </w:tc>
        <w:tc>
          <w:tcPr>
            <w:tcW w:w="1400" w:type="dxa"/>
            <w:vAlign w:val="bottom"/>
          </w:tcPr>
          <w:p>
            <w:pPr>
              <w:jc w:val="center"/>
              <w:spacing w:after="0"/>
              <w:rPr>
                <w:sz w:val="20"/>
                <w:szCs w:val="20"/>
                <w:color w:val="auto"/>
              </w:rPr>
            </w:pPr>
            <w:r>
              <w:rPr>
                <w:rFonts w:ascii="Calibri" w:cs="Calibri" w:eastAsia="Calibri" w:hAnsi="Calibri"/>
                <w:sz w:val="15"/>
                <w:szCs w:val="15"/>
                <w:color w:val="auto"/>
              </w:rPr>
              <w:t>001-38233</w:t>
            </w:r>
          </w:p>
        </w:tc>
        <w:tc>
          <w:tcPr>
            <w:tcW w:w="1900" w:type="dxa"/>
            <w:vAlign w:val="bottom"/>
          </w:tcPr>
          <w:p>
            <w:pPr>
              <w:jc w:val="center"/>
              <w:spacing w:after="0"/>
              <w:rPr>
                <w:sz w:val="20"/>
                <w:szCs w:val="20"/>
                <w:color w:val="auto"/>
              </w:rPr>
            </w:pPr>
            <w:r>
              <w:rPr>
                <w:rFonts w:ascii="Calibri" w:cs="Calibri" w:eastAsia="Calibri" w:hAnsi="Calibri"/>
                <w:sz w:val="15"/>
                <w:szCs w:val="15"/>
                <w:color w:val="auto"/>
              </w:rPr>
              <w:t>October 30, 2023</w:t>
            </w:r>
          </w:p>
        </w:tc>
        <w:tc>
          <w:tcPr>
            <w:tcW w:w="1800" w:type="dxa"/>
            <w:vAlign w:val="bottom"/>
          </w:tcPr>
          <w:p>
            <w:pPr>
              <w:jc w:val="center"/>
              <w:ind w:right="663"/>
              <w:spacing w:after="0"/>
              <w:rPr>
                <w:sz w:val="20"/>
                <w:szCs w:val="20"/>
                <w:color w:val="auto"/>
              </w:rPr>
            </w:pPr>
            <w:r>
              <w:rPr>
                <w:rFonts w:ascii="Calibri" w:cs="Calibri" w:eastAsia="Calibri" w:hAnsi="Calibri"/>
                <w:sz w:val="15"/>
                <w:szCs w:val="15"/>
                <w:color w:val="auto"/>
                <w:w w:val="97"/>
              </w:rPr>
              <w:t>10.1</w:t>
            </w:r>
          </w:p>
        </w:tc>
      </w:tr>
      <w:tr>
        <w:trPr>
          <w:trHeight w:val="20"/>
        </w:trPr>
        <w:tc>
          <w:tcPr>
            <w:tcW w:w="940" w:type="dxa"/>
            <w:vAlign w:val="bottom"/>
          </w:tcPr>
          <w:p>
            <w:pPr>
              <w:spacing w:after="0" w:line="20" w:lineRule="exact"/>
              <w:rPr>
                <w:sz w:val="1"/>
                <w:szCs w:val="1"/>
                <w:color w:val="auto"/>
              </w:rPr>
            </w:pPr>
          </w:p>
        </w:tc>
        <w:tc>
          <w:tcPr>
            <w:tcW w:w="1080" w:type="dxa"/>
            <w:vAlign w:val="bottom"/>
            <w:tcBorders>
              <w:right w:val="single" w:sz="8" w:color="0000FF"/>
            </w:tcBorders>
            <w:gridSpan w:val="2"/>
            <w:shd w:val="clear" w:color="auto" w:fill="0000FF"/>
          </w:tcPr>
          <w:p>
            <w:pPr>
              <w:spacing w:after="0" w:line="20" w:lineRule="exact"/>
              <w:rPr>
                <w:sz w:val="1"/>
                <w:szCs w:val="1"/>
                <w:color w:val="auto"/>
              </w:rPr>
            </w:pPr>
          </w:p>
        </w:tc>
        <w:tc>
          <w:tcPr>
            <w:tcW w:w="3060" w:type="dxa"/>
            <w:vAlign w:val="bottom"/>
            <w:tcBorders>
              <w:left w:val="single" w:sz="8" w:color="0000FF"/>
            </w:tcBorders>
            <w:gridSpan w:val="17"/>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64"/>
        </w:trPr>
        <w:tc>
          <w:tcPr>
            <w:tcW w:w="940" w:type="dxa"/>
            <w:vAlign w:val="bottom"/>
          </w:tcPr>
          <w:p>
            <w:pPr>
              <w:spacing w:after="0"/>
              <w:rPr>
                <w:sz w:val="14"/>
                <w:szCs w:val="14"/>
                <w:color w:val="auto"/>
              </w:rPr>
            </w:pPr>
          </w:p>
        </w:tc>
        <w:tc>
          <w:tcPr>
            <w:tcW w:w="4140" w:type="dxa"/>
            <w:vAlign w:val="bottom"/>
            <w:gridSpan w:val="19"/>
          </w:tcPr>
          <w:p>
            <w:pPr>
              <w:spacing w:after="0" w:line="165" w:lineRule="exact"/>
              <w:rPr>
                <w:rFonts w:ascii="Calibri" w:cs="Calibri" w:eastAsia="Calibri" w:hAnsi="Calibri"/>
                <w:sz w:val="15"/>
                <w:szCs w:val="15"/>
                <w:color w:val="0000FF"/>
              </w:rPr>
            </w:pPr>
            <w:hyperlink r:id="rId495">
              <w:r>
                <w:rPr>
                  <w:rFonts w:ascii="Calibri" w:cs="Calibri" w:eastAsia="Calibri" w:hAnsi="Calibri"/>
                  <w:sz w:val="15"/>
                  <w:szCs w:val="15"/>
                  <w:color w:val="0000FF"/>
                </w:rPr>
                <w:t>and Elisa Palazzo.</w:t>
              </w:r>
            </w:hyperlink>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386"/>
        </w:trPr>
        <w:tc>
          <w:tcPr>
            <w:tcW w:w="940" w:type="dxa"/>
            <w:vAlign w:val="bottom"/>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jc w:val="right"/>
              <w:ind w:right="343"/>
              <w:spacing w:after="0"/>
              <w:rPr>
                <w:sz w:val="20"/>
                <w:szCs w:val="20"/>
                <w:color w:val="auto"/>
              </w:rPr>
            </w:pPr>
            <w:r>
              <w:rPr>
                <w:rFonts w:ascii="Calibri" w:cs="Calibri" w:eastAsia="Calibri" w:hAnsi="Calibri"/>
                <w:sz w:val="15"/>
                <w:szCs w:val="15"/>
                <w:color w:val="auto"/>
              </w:rPr>
              <w:t>140</w:t>
            </w:r>
          </w:p>
        </w:tc>
        <w:tc>
          <w:tcPr>
            <w:tcW w:w="14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667"/>
        </w:trPr>
        <w:tc>
          <w:tcPr>
            <w:tcW w:w="9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96">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-26670</wp:posOffset>
            </wp:positionV>
            <wp:extent cx="33020" cy="4000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97">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949" w:right="319" w:bottom="1440" w:gutter="0" w:footer="0" w:header="0"/>
          <w:type w:val="continuous"/>
        </w:sectPr>
      </w:pPr>
    </w:p>
    <w:bookmarkStart w:id="142" w:name="page143"/>
    <w:bookmarkEnd w:id="142"/>
    <w:p>
      <w:pPr>
        <w:ind w:left="700" w:right="160" w:hanging="730"/>
        <w:spacing w:after="0" w:line="241" w:lineRule="auto"/>
        <w:tabs>
          <w:tab w:leader="none" w:pos="680" w:val="left"/>
        </w:tabs>
        <w:rPr>
          <w:rFonts w:ascii="Calibri" w:cs="Calibri" w:eastAsia="Calibri" w:hAnsi="Calibri"/>
          <w:sz w:val="15"/>
          <w:szCs w:val="15"/>
          <w:u w:val="single" w:color="auto"/>
          <w:color w:val="0000FF"/>
        </w:rPr>
      </w:pPr>
      <w:r>
        <w:rPr>
          <w:rFonts w:ascii="Calibri" w:cs="Calibri" w:eastAsia="Calibri" w:hAnsi="Calibri"/>
          <w:sz w:val="15"/>
          <w:szCs w:val="15"/>
          <w:color w:val="auto"/>
        </w:rPr>
        <w:t>10.10#</w:t>
      </w:r>
      <w:r>
        <w:rPr>
          <w:sz w:val="20"/>
          <w:szCs w:val="20"/>
          <w:color w:val="auto"/>
        </w:rPr>
        <w:tab/>
      </w:r>
      <w:hyperlink r:id="rId498">
        <w:r>
          <w:rPr>
            <w:rFonts w:ascii="Calibri" w:cs="Calibri" w:eastAsia="Calibri" w:hAnsi="Calibri"/>
            <w:sz w:val="15"/>
            <w:szCs w:val="15"/>
            <w:u w:val="single" w:color="auto"/>
            <w:color w:val="0000FF"/>
          </w:rPr>
          <w:t>Relocaton Repayment Agreement, dated October 16, 2023, by and</w:t>
        </w:r>
      </w:hyperlink>
      <w:r>
        <w:rPr>
          <w:rFonts w:ascii="Calibri" w:cs="Calibri" w:eastAsia="Calibri" w:hAnsi="Calibri"/>
          <w:sz w:val="15"/>
          <w:szCs w:val="15"/>
          <w:u w:val="single" w:color="auto"/>
          <w:color w:val="0000FF"/>
        </w:rPr>
        <w:t xml:space="preserve"> </w:t>
      </w:r>
      <w:hyperlink r:id="rId498">
        <w:r>
          <w:rPr>
            <w:rFonts w:ascii="Calibri" w:cs="Calibri" w:eastAsia="Calibri" w:hAnsi="Calibri"/>
            <w:sz w:val="15"/>
            <w:szCs w:val="15"/>
            <w:u w:val="single" w:color="auto"/>
            <w:color w:val="0000FF"/>
          </w:rPr>
          <w:t>between the Registrant and Elisa Palazzo.</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wp:posOffset>
            </wp:positionH>
            <wp:positionV relativeFrom="paragraph">
              <wp:posOffset>-133350</wp:posOffset>
            </wp:positionV>
            <wp:extent cx="2600960" cy="762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99">
                      <a:extLst>
                        <a:ext uri="{28A0092B-C50C-407E-A947-70E740481C1C}"/>
                      </a:extLst>
                    </a:blip>
                    <a:srcRect/>
                    <a:stretch>
                      <a:fillRect/>
                    </a:stretch>
                  </pic:blipFill>
                  <pic:spPr bwMode="auto">
                    <a:xfrm>
                      <a:off x="0" y="0"/>
                      <a:ext cx="2600960" cy="7620"/>
                    </a:xfrm>
                    <a:prstGeom prst="rect">
                      <a:avLst/>
                    </a:prstGeom>
                    <a:noFill/>
                  </pic:spPr>
                </pic:pic>
              </a:graphicData>
            </a:graphic>
          </wp:anchor>
        </w:drawing>
        <w:drawing>
          <wp:anchor simplePos="0" relativeHeight="251657728" behindDoc="1" locked="0" layoutInCell="0" allowOverlap="1">
            <wp:simplePos x="0" y="0"/>
            <wp:positionH relativeFrom="column">
              <wp:posOffset>439420</wp:posOffset>
            </wp:positionH>
            <wp:positionV relativeFrom="paragraph">
              <wp:posOffset>-16510</wp:posOffset>
            </wp:positionV>
            <wp:extent cx="1590040" cy="762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00">
                      <a:extLst>
                        <a:ext uri="{28A0092B-C50C-407E-A947-70E740481C1C}"/>
                      </a:extLst>
                    </a:blip>
                    <a:srcRect/>
                    <a:stretch>
                      <a:fillRect/>
                    </a:stretch>
                  </pic:blipFill>
                  <pic:spPr bwMode="auto">
                    <a:xfrm>
                      <a:off x="0" y="0"/>
                      <a:ext cx="1590040" cy="7620"/>
                    </a:xfrm>
                    <a:prstGeom prst="rect">
                      <a:avLst/>
                    </a:prstGeom>
                    <a:noFill/>
                  </pic:spPr>
                </pic:pic>
              </a:graphicData>
            </a:graphic>
          </wp:anchor>
        </w:drawing>
      </w:r>
    </w:p>
    <w:p>
      <w:pPr>
        <w:spacing w:after="0" w:line="3" w:lineRule="exact"/>
        <w:rPr>
          <w:sz w:val="20"/>
          <w:szCs w:val="20"/>
          <w:color w:val="auto"/>
        </w:rPr>
      </w:pPr>
    </w:p>
    <w:p>
      <w:pPr>
        <w:ind w:left="700" w:right="120" w:hanging="730"/>
        <w:spacing w:after="0" w:line="241" w:lineRule="auto"/>
        <w:tabs>
          <w:tab w:leader="none" w:pos="680" w:val="left"/>
        </w:tabs>
        <w:rPr>
          <w:rFonts w:ascii="Calibri" w:cs="Calibri" w:eastAsia="Calibri" w:hAnsi="Calibri"/>
          <w:sz w:val="15"/>
          <w:szCs w:val="15"/>
          <w:u w:val="single" w:color="auto"/>
          <w:color w:val="0000FF"/>
        </w:rPr>
      </w:pPr>
      <w:r>
        <w:rPr>
          <w:rFonts w:ascii="Calibri" w:cs="Calibri" w:eastAsia="Calibri" w:hAnsi="Calibri"/>
          <w:sz w:val="15"/>
          <w:szCs w:val="15"/>
          <w:color w:val="auto"/>
        </w:rPr>
        <w:t>10.11#</w:t>
      </w:r>
      <w:r>
        <w:rPr>
          <w:sz w:val="20"/>
          <w:szCs w:val="20"/>
          <w:color w:val="auto"/>
        </w:rPr>
        <w:tab/>
      </w:r>
      <w:hyperlink r:id="rId501">
        <w:r>
          <w:rPr>
            <w:rFonts w:ascii="Calibri" w:cs="Calibri" w:eastAsia="Calibri" w:hAnsi="Calibri"/>
            <w:sz w:val="15"/>
            <w:szCs w:val="15"/>
            <w:u w:val="single" w:color="auto"/>
            <w:color w:val="0000FF"/>
          </w:rPr>
          <w:t>Ofer Leter, dated January 17, 2020, by and between the Registrant</w:t>
        </w:r>
      </w:hyperlink>
      <w:r>
        <w:rPr>
          <w:rFonts w:ascii="Calibri" w:cs="Calibri" w:eastAsia="Calibri" w:hAnsi="Calibri"/>
          <w:sz w:val="15"/>
          <w:szCs w:val="15"/>
          <w:u w:val="single" w:color="auto"/>
          <w:color w:val="0000FF"/>
        </w:rPr>
        <w:t xml:space="preserve"> </w:t>
      </w:r>
      <w:hyperlink r:id="rId501">
        <w:r>
          <w:rPr>
            <w:rFonts w:ascii="Calibri" w:cs="Calibri" w:eastAsia="Calibri" w:hAnsi="Calibri"/>
            <w:sz w:val="15"/>
            <w:szCs w:val="15"/>
            <w:u w:val="single" w:color="auto"/>
            <w:color w:val="0000FF"/>
          </w:rPr>
          <w:t>and Andrea Eldridge.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wp:posOffset>
            </wp:positionH>
            <wp:positionV relativeFrom="paragraph">
              <wp:posOffset>-133350</wp:posOffset>
            </wp:positionV>
            <wp:extent cx="2625725" cy="762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02">
                      <a:extLst>
                        <a:ext uri="{28A0092B-C50C-407E-A947-70E740481C1C}"/>
                      </a:extLst>
                    </a:blip>
                    <a:srcRect/>
                    <a:stretch>
                      <a:fillRect/>
                    </a:stretch>
                  </pic:blipFill>
                  <pic:spPr bwMode="auto">
                    <a:xfrm>
                      <a:off x="0" y="0"/>
                      <a:ext cx="2625725" cy="7620"/>
                    </a:xfrm>
                    <a:prstGeom prst="rect">
                      <a:avLst/>
                    </a:prstGeom>
                    <a:noFill/>
                  </pic:spPr>
                </pic:pic>
              </a:graphicData>
            </a:graphic>
          </wp:anchor>
        </w:drawing>
        <w:drawing>
          <wp:anchor simplePos="0" relativeHeight="251657728" behindDoc="1" locked="0" layoutInCell="0" allowOverlap="1">
            <wp:simplePos x="0" y="0"/>
            <wp:positionH relativeFrom="column">
              <wp:posOffset>439420</wp:posOffset>
            </wp:positionH>
            <wp:positionV relativeFrom="paragraph">
              <wp:posOffset>-16510</wp:posOffset>
            </wp:positionV>
            <wp:extent cx="805180" cy="762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03">
                      <a:extLst>
                        <a:ext uri="{28A0092B-C50C-407E-A947-70E740481C1C}"/>
                      </a:extLst>
                    </a:blip>
                    <a:srcRect/>
                    <a:stretch>
                      <a:fillRect/>
                    </a:stretch>
                  </pic:blipFill>
                  <pic:spPr bwMode="auto">
                    <a:xfrm>
                      <a:off x="0" y="0"/>
                      <a:ext cx="805180" cy="7620"/>
                    </a:xfrm>
                    <a:prstGeom prst="rect">
                      <a:avLst/>
                    </a:prstGeom>
                    <a:noFill/>
                  </pic:spPr>
                </pic:pic>
              </a:graphicData>
            </a:graphic>
          </wp:anchor>
        </w:drawing>
      </w:r>
    </w:p>
    <w:p>
      <w:pPr>
        <w:spacing w:after="0" w:line="3" w:lineRule="exact"/>
        <w:rPr>
          <w:sz w:val="20"/>
          <w:szCs w:val="20"/>
          <w:color w:val="auto"/>
        </w:rPr>
      </w:pPr>
    </w:p>
    <w:p>
      <w:pPr>
        <w:ind w:left="700" w:right="600" w:hanging="730"/>
        <w:spacing w:after="0" w:line="241" w:lineRule="auto"/>
        <w:tabs>
          <w:tab w:leader="none" w:pos="680" w:val="left"/>
        </w:tabs>
        <w:rPr>
          <w:rFonts w:ascii="Calibri" w:cs="Calibri" w:eastAsia="Calibri" w:hAnsi="Calibri"/>
          <w:sz w:val="15"/>
          <w:szCs w:val="15"/>
          <w:u w:val="single" w:color="auto"/>
          <w:color w:val="0000FF"/>
        </w:rPr>
      </w:pPr>
      <w:r>
        <w:rPr>
          <w:rFonts w:ascii="Calibri" w:cs="Calibri" w:eastAsia="Calibri" w:hAnsi="Calibri"/>
          <w:sz w:val="15"/>
          <w:szCs w:val="15"/>
          <w:color w:val="auto"/>
        </w:rPr>
        <w:t>10.12#</w:t>
      </w:r>
      <w:r>
        <w:rPr>
          <w:sz w:val="20"/>
          <w:szCs w:val="20"/>
          <w:color w:val="auto"/>
        </w:rPr>
        <w:tab/>
      </w:r>
      <w:hyperlink r:id="rId504">
        <w:r>
          <w:rPr>
            <w:rFonts w:ascii="Calibri" w:cs="Calibri" w:eastAsia="Calibri" w:hAnsi="Calibri"/>
            <w:sz w:val="15"/>
            <w:szCs w:val="15"/>
            <w:u w:val="single" w:color="auto"/>
            <w:color w:val="0000FF"/>
          </w:rPr>
          <w:t>Ofer Leter, dated November 15, 2021, by and between the</w:t>
        </w:r>
      </w:hyperlink>
      <w:r>
        <w:rPr>
          <w:rFonts w:ascii="Calibri" w:cs="Calibri" w:eastAsia="Calibri" w:hAnsi="Calibri"/>
          <w:sz w:val="15"/>
          <w:szCs w:val="15"/>
          <w:u w:val="single" w:color="auto"/>
          <w:color w:val="0000FF"/>
        </w:rPr>
        <w:t xml:space="preserve"> </w:t>
      </w:r>
      <w:hyperlink r:id="rId504">
        <w:r>
          <w:rPr>
            <w:rFonts w:ascii="Calibri" w:cs="Calibri" w:eastAsia="Calibri" w:hAnsi="Calibri"/>
            <w:sz w:val="15"/>
            <w:szCs w:val="15"/>
            <w:u w:val="single" w:color="auto"/>
            <w:color w:val="0000FF"/>
          </w:rPr>
          <w:t>Registrant and Dafna Sarnof.</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wp:posOffset>
            </wp:positionH>
            <wp:positionV relativeFrom="paragraph">
              <wp:posOffset>-133350</wp:posOffset>
            </wp:positionV>
            <wp:extent cx="2324100" cy="762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05">
                      <a:extLst>
                        <a:ext uri="{28A0092B-C50C-407E-A947-70E740481C1C}"/>
                      </a:extLst>
                    </a:blip>
                    <a:srcRect/>
                    <a:stretch>
                      <a:fillRect/>
                    </a:stretch>
                  </pic:blipFill>
                  <pic:spPr bwMode="auto">
                    <a:xfrm>
                      <a:off x="0" y="0"/>
                      <a:ext cx="2324100" cy="7620"/>
                    </a:xfrm>
                    <a:prstGeom prst="rect">
                      <a:avLst/>
                    </a:prstGeom>
                    <a:noFill/>
                  </pic:spPr>
                </pic:pic>
              </a:graphicData>
            </a:graphic>
          </wp:anchor>
        </w:drawing>
        <w:drawing>
          <wp:anchor simplePos="0" relativeHeight="251657728" behindDoc="1" locked="0" layoutInCell="0" allowOverlap="1">
            <wp:simplePos x="0" y="0"/>
            <wp:positionH relativeFrom="column">
              <wp:posOffset>439420</wp:posOffset>
            </wp:positionH>
            <wp:positionV relativeFrom="paragraph">
              <wp:posOffset>-16510</wp:posOffset>
            </wp:positionV>
            <wp:extent cx="1121410" cy="762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06">
                      <a:extLst>
                        <a:ext uri="{28A0092B-C50C-407E-A947-70E740481C1C}"/>
                      </a:extLst>
                    </a:blip>
                    <a:srcRect/>
                    <a:stretch>
                      <a:fillRect/>
                    </a:stretch>
                  </pic:blipFill>
                  <pic:spPr bwMode="auto">
                    <a:xfrm>
                      <a:off x="0" y="0"/>
                      <a:ext cx="1121410" cy="7620"/>
                    </a:xfrm>
                    <a:prstGeom prst="rect">
                      <a:avLst/>
                    </a:prstGeom>
                    <a:noFill/>
                  </pic:spPr>
                </pic:pic>
              </a:graphicData>
            </a:graphic>
          </wp:anchor>
        </w:drawing>
      </w:r>
    </w:p>
    <w:p>
      <w:pPr>
        <w:spacing w:after="0" w:line="3" w:lineRule="exact"/>
        <w:rPr>
          <w:sz w:val="20"/>
          <w:szCs w:val="20"/>
          <w:color w:val="auto"/>
        </w:rPr>
      </w:pPr>
    </w:p>
    <w:p>
      <w:pPr>
        <w:ind w:left="700" w:right="40" w:hanging="730"/>
        <w:spacing w:after="0" w:line="241" w:lineRule="auto"/>
        <w:tabs>
          <w:tab w:leader="none" w:pos="680" w:val="left"/>
        </w:tabs>
        <w:rPr>
          <w:rFonts w:ascii="Calibri" w:cs="Calibri" w:eastAsia="Calibri" w:hAnsi="Calibri"/>
          <w:sz w:val="15"/>
          <w:szCs w:val="15"/>
          <w:u w:val="single" w:color="auto"/>
          <w:color w:val="0000FF"/>
        </w:rPr>
      </w:pPr>
      <w:r>
        <w:rPr>
          <w:rFonts w:ascii="Calibri" w:cs="Calibri" w:eastAsia="Calibri" w:hAnsi="Calibri"/>
          <w:sz w:val="15"/>
          <w:szCs w:val="15"/>
          <w:color w:val="auto"/>
        </w:rPr>
        <w:t>10.13#</w:t>
      </w:r>
      <w:r>
        <w:rPr>
          <w:sz w:val="20"/>
          <w:szCs w:val="20"/>
          <w:color w:val="auto"/>
        </w:rPr>
        <w:tab/>
      </w:r>
      <w:hyperlink r:id="rId507">
        <w:r>
          <w:rPr>
            <w:rFonts w:ascii="Calibri" w:cs="Calibri" w:eastAsia="Calibri" w:hAnsi="Calibri"/>
            <w:sz w:val="15"/>
            <w:szCs w:val="15"/>
            <w:u w:val="single" w:color="auto"/>
            <w:color w:val="0000FF"/>
          </w:rPr>
          <w:t>Ofer Leter, dated December 1, 2021, by and between the Registrant</w:t>
        </w:r>
      </w:hyperlink>
      <w:r>
        <w:rPr>
          <w:rFonts w:ascii="Calibri" w:cs="Calibri" w:eastAsia="Calibri" w:hAnsi="Calibri"/>
          <w:sz w:val="15"/>
          <w:szCs w:val="15"/>
          <w:u w:val="single" w:color="auto"/>
          <w:color w:val="0000FF"/>
        </w:rPr>
        <w:t xml:space="preserve"> </w:t>
      </w:r>
      <w:hyperlink r:id="rId507">
        <w:r>
          <w:rPr>
            <w:rFonts w:ascii="Calibri" w:cs="Calibri" w:eastAsia="Calibri" w:hAnsi="Calibri"/>
            <w:sz w:val="15"/>
            <w:szCs w:val="15"/>
            <w:u w:val="single" w:color="auto"/>
            <w:color w:val="0000FF"/>
          </w:rPr>
          <w:t>and Mathew Quinn.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wp:posOffset>
            </wp:positionH>
            <wp:positionV relativeFrom="paragraph">
              <wp:posOffset>-133350</wp:posOffset>
            </wp:positionV>
            <wp:extent cx="2679065" cy="762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08">
                      <a:extLst>
                        <a:ext uri="{28A0092B-C50C-407E-A947-70E740481C1C}"/>
                      </a:extLst>
                    </a:blip>
                    <a:srcRect/>
                    <a:stretch>
                      <a:fillRect/>
                    </a:stretch>
                  </pic:blipFill>
                  <pic:spPr bwMode="auto">
                    <a:xfrm>
                      <a:off x="0" y="0"/>
                      <a:ext cx="2679065" cy="7620"/>
                    </a:xfrm>
                    <a:prstGeom prst="rect">
                      <a:avLst/>
                    </a:prstGeom>
                    <a:noFill/>
                  </pic:spPr>
                </pic:pic>
              </a:graphicData>
            </a:graphic>
          </wp:anchor>
        </w:drawing>
        <w:drawing>
          <wp:anchor simplePos="0" relativeHeight="251657728" behindDoc="1" locked="0" layoutInCell="0" allowOverlap="1">
            <wp:simplePos x="0" y="0"/>
            <wp:positionH relativeFrom="column">
              <wp:posOffset>439420</wp:posOffset>
            </wp:positionH>
            <wp:positionV relativeFrom="paragraph">
              <wp:posOffset>-16510</wp:posOffset>
            </wp:positionV>
            <wp:extent cx="798195" cy="762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09">
                      <a:extLst>
                        <a:ext uri="{28A0092B-C50C-407E-A947-70E740481C1C}"/>
                      </a:extLst>
                    </a:blip>
                    <a:srcRect/>
                    <a:stretch>
                      <a:fillRect/>
                    </a:stretch>
                  </pic:blipFill>
                  <pic:spPr bwMode="auto">
                    <a:xfrm>
                      <a:off x="0" y="0"/>
                      <a:ext cx="798195" cy="7620"/>
                    </a:xfrm>
                    <a:prstGeom prst="rect">
                      <a:avLst/>
                    </a:prstGeom>
                    <a:noFill/>
                  </pic:spPr>
                </pic:pic>
              </a:graphicData>
            </a:graphic>
          </wp:anchor>
        </w:drawing>
      </w:r>
    </w:p>
    <w:p>
      <w:pPr>
        <w:spacing w:after="0" w:line="3" w:lineRule="exact"/>
        <w:rPr>
          <w:sz w:val="20"/>
          <w:szCs w:val="20"/>
          <w:color w:val="auto"/>
        </w:rPr>
      </w:pPr>
    </w:p>
    <w:p>
      <w:pPr>
        <w:ind w:left="700" w:right="600" w:hanging="730"/>
        <w:spacing w:after="0" w:line="241" w:lineRule="auto"/>
        <w:tabs>
          <w:tab w:leader="none" w:pos="680" w:val="left"/>
        </w:tabs>
        <w:rPr>
          <w:rFonts w:ascii="Calibri" w:cs="Calibri" w:eastAsia="Calibri" w:hAnsi="Calibri"/>
          <w:sz w:val="15"/>
          <w:szCs w:val="15"/>
          <w:u w:val="single" w:color="auto"/>
          <w:color w:val="0000FF"/>
        </w:rPr>
      </w:pPr>
      <w:r>
        <w:rPr>
          <w:rFonts w:ascii="Calibri" w:cs="Calibri" w:eastAsia="Calibri" w:hAnsi="Calibri"/>
          <w:sz w:val="15"/>
          <w:szCs w:val="15"/>
          <w:color w:val="auto"/>
        </w:rPr>
        <w:t>10.14#</w:t>
      </w:r>
      <w:r>
        <w:rPr>
          <w:sz w:val="20"/>
          <w:szCs w:val="20"/>
          <w:color w:val="auto"/>
        </w:rPr>
        <w:tab/>
      </w:r>
      <w:hyperlink r:id="rId510">
        <w:r>
          <w:rPr>
            <w:rFonts w:ascii="Calibri" w:cs="Calibri" w:eastAsia="Calibri" w:hAnsi="Calibri"/>
            <w:sz w:val="15"/>
            <w:szCs w:val="15"/>
            <w:u w:val="single" w:color="auto"/>
            <w:color w:val="0000FF"/>
          </w:rPr>
          <w:t>Ofer Leter, dated November 18, 2016, by and between the</w:t>
        </w:r>
      </w:hyperlink>
      <w:r>
        <w:rPr>
          <w:rFonts w:ascii="Calibri" w:cs="Calibri" w:eastAsia="Calibri" w:hAnsi="Calibri"/>
          <w:sz w:val="15"/>
          <w:szCs w:val="15"/>
          <w:u w:val="single" w:color="auto"/>
          <w:color w:val="0000FF"/>
        </w:rPr>
        <w:t xml:space="preserve"> </w:t>
      </w:r>
      <w:hyperlink r:id="rId510">
        <w:r>
          <w:rPr>
            <w:rFonts w:ascii="Calibri" w:cs="Calibri" w:eastAsia="Calibri" w:hAnsi="Calibri"/>
            <w:sz w:val="15"/>
            <w:szCs w:val="15"/>
            <w:u w:val="single" w:color="auto"/>
            <w:color w:val="0000FF"/>
          </w:rPr>
          <w:t>Registrant and Thomas Caputo.</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wp:posOffset>
            </wp:positionH>
            <wp:positionV relativeFrom="paragraph">
              <wp:posOffset>-133350</wp:posOffset>
            </wp:positionV>
            <wp:extent cx="2324100" cy="762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11">
                      <a:extLst>
                        <a:ext uri="{28A0092B-C50C-407E-A947-70E740481C1C}"/>
                      </a:extLst>
                    </a:blip>
                    <a:srcRect/>
                    <a:stretch>
                      <a:fillRect/>
                    </a:stretch>
                  </pic:blipFill>
                  <pic:spPr bwMode="auto">
                    <a:xfrm>
                      <a:off x="0" y="0"/>
                      <a:ext cx="2324100" cy="7620"/>
                    </a:xfrm>
                    <a:prstGeom prst="rect">
                      <a:avLst/>
                    </a:prstGeom>
                    <a:noFill/>
                  </pic:spPr>
                </pic:pic>
              </a:graphicData>
            </a:graphic>
          </wp:anchor>
        </w:drawing>
        <w:drawing>
          <wp:anchor simplePos="0" relativeHeight="251657728" behindDoc="1" locked="0" layoutInCell="0" allowOverlap="1">
            <wp:simplePos x="0" y="0"/>
            <wp:positionH relativeFrom="column">
              <wp:posOffset>439420</wp:posOffset>
            </wp:positionH>
            <wp:positionV relativeFrom="paragraph">
              <wp:posOffset>-16510</wp:posOffset>
            </wp:positionV>
            <wp:extent cx="1203960" cy="762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12">
                      <a:extLst>
                        <a:ext uri="{28A0092B-C50C-407E-A947-70E740481C1C}"/>
                      </a:extLst>
                    </a:blip>
                    <a:srcRect/>
                    <a:stretch>
                      <a:fillRect/>
                    </a:stretch>
                  </pic:blipFill>
                  <pic:spPr bwMode="auto">
                    <a:xfrm>
                      <a:off x="0" y="0"/>
                      <a:ext cx="1203960" cy="7620"/>
                    </a:xfrm>
                    <a:prstGeom prst="rect">
                      <a:avLst/>
                    </a:prstGeom>
                    <a:noFill/>
                  </pic:spPr>
                </pic:pic>
              </a:graphicData>
            </a:graphic>
          </wp:anchor>
        </w:drawing>
      </w:r>
    </w:p>
    <w:p>
      <w:pPr>
        <w:spacing w:after="0" w:line="3" w:lineRule="exact"/>
        <w:rPr>
          <w:sz w:val="20"/>
          <w:szCs w:val="20"/>
          <w:color w:val="auto"/>
        </w:rPr>
      </w:pPr>
    </w:p>
    <w:p>
      <w:pPr>
        <w:ind w:left="700" w:right="100" w:hanging="730"/>
        <w:spacing w:after="0" w:line="241" w:lineRule="auto"/>
        <w:tabs>
          <w:tab w:leader="none" w:pos="680" w:val="left"/>
        </w:tabs>
        <w:rPr>
          <w:rFonts w:ascii="Calibri" w:cs="Calibri" w:eastAsia="Calibri" w:hAnsi="Calibri"/>
          <w:sz w:val="15"/>
          <w:szCs w:val="15"/>
          <w:u w:val="single" w:color="auto"/>
          <w:color w:val="0000FF"/>
        </w:rPr>
      </w:pPr>
      <w:r>
        <w:rPr>
          <w:rFonts w:ascii="Calibri" w:cs="Calibri" w:eastAsia="Calibri" w:hAnsi="Calibri"/>
          <w:sz w:val="15"/>
          <w:szCs w:val="15"/>
          <w:color w:val="auto"/>
        </w:rPr>
        <w:t>10.15#</w:t>
      </w:r>
      <w:r>
        <w:rPr>
          <w:sz w:val="20"/>
          <w:szCs w:val="20"/>
          <w:color w:val="auto"/>
        </w:rPr>
        <w:tab/>
      </w:r>
      <w:hyperlink r:id="rId513">
        <w:r>
          <w:rPr>
            <w:rFonts w:ascii="Calibri" w:cs="Calibri" w:eastAsia="Calibri" w:hAnsi="Calibri"/>
            <w:sz w:val="15"/>
            <w:szCs w:val="15"/>
            <w:u w:val="single" w:color="auto"/>
            <w:color w:val="0000FF"/>
          </w:rPr>
          <w:t>Separaton Agreement, dated May 30, 2023, between the Registrant</w:t>
        </w:r>
      </w:hyperlink>
      <w:r>
        <w:rPr>
          <w:rFonts w:ascii="Calibri" w:cs="Calibri" w:eastAsia="Calibri" w:hAnsi="Calibri"/>
          <w:sz w:val="15"/>
          <w:szCs w:val="15"/>
          <w:u w:val="single" w:color="auto"/>
          <w:color w:val="0000FF"/>
        </w:rPr>
        <w:t xml:space="preserve"> </w:t>
      </w:r>
      <w:hyperlink r:id="rId513">
        <w:r>
          <w:rPr>
            <w:rFonts w:ascii="Calibri" w:cs="Calibri" w:eastAsia="Calibri" w:hAnsi="Calibri"/>
            <w:sz w:val="15"/>
            <w:szCs w:val="15"/>
            <w:u w:val="single" w:color="auto"/>
            <w:color w:val="0000FF"/>
          </w:rPr>
          <w:t>and Thomas Caputo.</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wp:posOffset>
            </wp:positionH>
            <wp:positionV relativeFrom="paragraph">
              <wp:posOffset>-133350</wp:posOffset>
            </wp:positionV>
            <wp:extent cx="2646045" cy="762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14">
                      <a:extLst>
                        <a:ext uri="{28A0092B-C50C-407E-A947-70E740481C1C}"/>
                      </a:extLst>
                    </a:blip>
                    <a:srcRect/>
                    <a:stretch>
                      <a:fillRect/>
                    </a:stretch>
                  </pic:blipFill>
                  <pic:spPr bwMode="auto">
                    <a:xfrm>
                      <a:off x="0" y="0"/>
                      <a:ext cx="2646045" cy="7620"/>
                    </a:xfrm>
                    <a:prstGeom prst="rect">
                      <a:avLst/>
                    </a:prstGeom>
                    <a:noFill/>
                  </pic:spPr>
                </pic:pic>
              </a:graphicData>
            </a:graphic>
          </wp:anchor>
        </w:drawing>
        <w:drawing>
          <wp:anchor simplePos="0" relativeHeight="251657728" behindDoc="1" locked="0" layoutInCell="0" allowOverlap="1">
            <wp:simplePos x="0" y="0"/>
            <wp:positionH relativeFrom="column">
              <wp:posOffset>439420</wp:posOffset>
            </wp:positionH>
            <wp:positionV relativeFrom="paragraph">
              <wp:posOffset>-16510</wp:posOffset>
            </wp:positionV>
            <wp:extent cx="793750" cy="762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15">
                      <a:extLst>
                        <a:ext uri="{28A0092B-C50C-407E-A947-70E740481C1C}"/>
                      </a:extLst>
                    </a:blip>
                    <a:srcRect/>
                    <a:stretch>
                      <a:fillRect/>
                    </a:stretch>
                  </pic:blipFill>
                  <pic:spPr bwMode="auto">
                    <a:xfrm>
                      <a:off x="0" y="0"/>
                      <a:ext cx="793750" cy="7620"/>
                    </a:xfrm>
                    <a:prstGeom prst="rect">
                      <a:avLst/>
                    </a:prstGeom>
                    <a:noFill/>
                  </pic:spPr>
                </pic:pic>
              </a:graphicData>
            </a:graphic>
          </wp:anchor>
        </w:drawing>
      </w:r>
    </w:p>
    <w:p>
      <w:pPr>
        <w:spacing w:after="0" w:line="3" w:lineRule="exact"/>
        <w:rPr>
          <w:sz w:val="20"/>
          <w:szCs w:val="20"/>
          <w:color w:val="auto"/>
        </w:rPr>
      </w:pPr>
    </w:p>
    <w:p>
      <w:pPr>
        <w:ind w:left="700" w:right="40" w:hanging="730"/>
        <w:spacing w:after="0" w:line="241" w:lineRule="auto"/>
        <w:tabs>
          <w:tab w:leader="none" w:pos="680" w:val="left"/>
        </w:tabs>
        <w:rPr>
          <w:rFonts w:ascii="Calibri" w:cs="Calibri" w:eastAsia="Calibri" w:hAnsi="Calibri"/>
          <w:sz w:val="15"/>
          <w:szCs w:val="15"/>
          <w:u w:val="single" w:color="auto"/>
          <w:color w:val="0000FF"/>
        </w:rPr>
      </w:pPr>
      <w:r>
        <w:rPr>
          <w:rFonts w:ascii="Calibri" w:cs="Calibri" w:eastAsia="Calibri" w:hAnsi="Calibri"/>
          <w:sz w:val="15"/>
          <w:szCs w:val="15"/>
          <w:color w:val="auto"/>
        </w:rPr>
        <w:t>10.16#</w:t>
      </w:r>
      <w:r>
        <w:rPr>
          <w:sz w:val="20"/>
          <w:szCs w:val="20"/>
          <w:color w:val="auto"/>
        </w:rPr>
        <w:tab/>
      </w:r>
      <w:hyperlink r:id="rId516">
        <w:r>
          <w:rPr>
            <w:rFonts w:ascii="Calibri" w:cs="Calibri" w:eastAsia="Calibri" w:hAnsi="Calibri"/>
            <w:sz w:val="15"/>
            <w:szCs w:val="15"/>
            <w:u w:val="single" w:color="auto"/>
            <w:color w:val="0000FF"/>
          </w:rPr>
          <w:t>Ofer Leter, dated December 4, 2015, by and between the Registrant</w:t>
        </w:r>
      </w:hyperlink>
      <w:r>
        <w:rPr>
          <w:rFonts w:ascii="Calibri" w:cs="Calibri" w:eastAsia="Calibri" w:hAnsi="Calibri"/>
          <w:sz w:val="15"/>
          <w:szCs w:val="15"/>
          <w:u w:val="single" w:color="auto"/>
          <w:color w:val="0000FF"/>
        </w:rPr>
        <w:t xml:space="preserve"> </w:t>
      </w:r>
      <w:hyperlink r:id="rId516">
        <w:r>
          <w:rPr>
            <w:rFonts w:ascii="Calibri" w:cs="Calibri" w:eastAsia="Calibri" w:hAnsi="Calibri"/>
            <w:sz w:val="15"/>
            <w:szCs w:val="15"/>
            <w:u w:val="single" w:color="auto"/>
            <w:color w:val="0000FF"/>
          </w:rPr>
          <w:t>and Scot Fredo.</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wp:posOffset>
            </wp:positionH>
            <wp:positionV relativeFrom="paragraph">
              <wp:posOffset>-133350</wp:posOffset>
            </wp:positionV>
            <wp:extent cx="2679065" cy="762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17">
                      <a:extLst>
                        <a:ext uri="{28A0092B-C50C-407E-A947-70E740481C1C}"/>
                      </a:extLst>
                    </a:blip>
                    <a:srcRect/>
                    <a:stretch>
                      <a:fillRect/>
                    </a:stretch>
                  </pic:blipFill>
                  <pic:spPr bwMode="auto">
                    <a:xfrm>
                      <a:off x="0" y="0"/>
                      <a:ext cx="2679065" cy="7620"/>
                    </a:xfrm>
                    <a:prstGeom prst="rect">
                      <a:avLst/>
                    </a:prstGeom>
                    <a:noFill/>
                  </pic:spPr>
                </pic:pic>
              </a:graphicData>
            </a:graphic>
          </wp:anchor>
        </w:drawing>
        <w:drawing>
          <wp:anchor simplePos="0" relativeHeight="251657728" behindDoc="1" locked="0" layoutInCell="0" allowOverlap="1">
            <wp:simplePos x="0" y="0"/>
            <wp:positionH relativeFrom="column">
              <wp:posOffset>439420</wp:posOffset>
            </wp:positionH>
            <wp:positionV relativeFrom="paragraph">
              <wp:posOffset>-16510</wp:posOffset>
            </wp:positionV>
            <wp:extent cx="600075" cy="762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18">
                      <a:extLst>
                        <a:ext uri="{28A0092B-C50C-407E-A947-70E740481C1C}"/>
                      </a:extLst>
                    </a:blip>
                    <a:srcRect/>
                    <a:stretch>
                      <a:fillRect/>
                    </a:stretch>
                  </pic:blipFill>
                  <pic:spPr bwMode="auto">
                    <a:xfrm>
                      <a:off x="0" y="0"/>
                      <a:ext cx="600075" cy="7620"/>
                    </a:xfrm>
                    <a:prstGeom prst="rect">
                      <a:avLst/>
                    </a:prstGeom>
                    <a:noFill/>
                  </pic:spPr>
                </pic:pic>
              </a:graphicData>
            </a:graphic>
          </wp:anchor>
        </w:drawing>
      </w:r>
    </w:p>
    <w:p>
      <w:pPr>
        <w:spacing w:after="0" w:line="3" w:lineRule="exact"/>
        <w:rPr>
          <w:sz w:val="20"/>
          <w:szCs w:val="20"/>
          <w:color w:val="auto"/>
        </w:rPr>
      </w:pPr>
    </w:p>
    <w:p>
      <w:pPr>
        <w:ind w:left="700" w:right="200" w:hanging="693"/>
        <w:spacing w:after="0" w:line="241" w:lineRule="auto"/>
        <w:tabs>
          <w:tab w:leader="none" w:pos="680" w:val="left"/>
        </w:tabs>
        <w:rPr>
          <w:rFonts w:ascii="Calibri" w:cs="Calibri" w:eastAsia="Calibri" w:hAnsi="Calibri"/>
          <w:sz w:val="15"/>
          <w:szCs w:val="15"/>
          <w:u w:val="single" w:color="auto"/>
          <w:color w:val="0000FF"/>
        </w:rPr>
      </w:pPr>
      <w:r>
        <w:rPr>
          <w:rFonts w:ascii="Calibri" w:cs="Calibri" w:eastAsia="Calibri" w:hAnsi="Calibri"/>
          <w:sz w:val="15"/>
          <w:szCs w:val="15"/>
          <w:color w:val="auto"/>
        </w:rPr>
        <w:t>10.17</w:t>
      </w:r>
      <w:r>
        <w:rPr>
          <w:sz w:val="20"/>
          <w:szCs w:val="20"/>
          <w:color w:val="auto"/>
        </w:rPr>
        <w:tab/>
      </w:r>
      <w:hyperlink r:id="rId519">
        <w:r>
          <w:rPr>
            <w:rFonts w:ascii="Calibri" w:cs="Calibri" w:eastAsia="Calibri" w:hAnsi="Calibri"/>
            <w:sz w:val="15"/>
            <w:szCs w:val="15"/>
            <w:u w:val="single" w:color="auto"/>
            <w:color w:val="0000FF"/>
          </w:rPr>
          <w:t>Lease, dated as of October 8, 2014, by and between the Registrant</w:t>
        </w:r>
      </w:hyperlink>
      <w:r>
        <w:rPr>
          <w:rFonts w:ascii="Calibri" w:cs="Calibri" w:eastAsia="Calibri" w:hAnsi="Calibri"/>
          <w:sz w:val="15"/>
          <w:szCs w:val="15"/>
          <w:u w:val="single" w:color="auto"/>
          <w:color w:val="0000FF"/>
        </w:rPr>
        <w:t xml:space="preserve"> </w:t>
      </w:r>
      <w:hyperlink r:id="rId519">
        <w:r>
          <w:rPr>
            <w:rFonts w:ascii="Calibri" w:cs="Calibri" w:eastAsia="Calibri" w:hAnsi="Calibri"/>
            <w:sz w:val="15"/>
            <w:szCs w:val="15"/>
            <w:u w:val="single" w:color="auto"/>
            <w:color w:val="0000FF"/>
          </w:rPr>
          <w:t>and BCSP Cambridge Two Property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wp:posOffset>
            </wp:positionH>
            <wp:positionV relativeFrom="paragraph">
              <wp:posOffset>-133350</wp:posOffset>
            </wp:positionV>
            <wp:extent cx="2580640" cy="762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20">
                      <a:extLst>
                        <a:ext uri="{28A0092B-C50C-407E-A947-70E740481C1C}"/>
                      </a:extLst>
                    </a:blip>
                    <a:srcRect/>
                    <a:stretch>
                      <a:fillRect/>
                    </a:stretch>
                  </pic:blipFill>
                  <pic:spPr bwMode="auto">
                    <a:xfrm>
                      <a:off x="0" y="0"/>
                      <a:ext cx="2580640" cy="7620"/>
                    </a:xfrm>
                    <a:prstGeom prst="rect">
                      <a:avLst/>
                    </a:prstGeom>
                    <a:noFill/>
                  </pic:spPr>
                </pic:pic>
              </a:graphicData>
            </a:graphic>
          </wp:anchor>
        </w:drawing>
        <w:drawing>
          <wp:anchor simplePos="0" relativeHeight="251657728" behindDoc="1" locked="0" layoutInCell="0" allowOverlap="1">
            <wp:simplePos x="0" y="0"/>
            <wp:positionH relativeFrom="column">
              <wp:posOffset>439420</wp:posOffset>
            </wp:positionH>
            <wp:positionV relativeFrom="paragraph">
              <wp:posOffset>-16510</wp:posOffset>
            </wp:positionV>
            <wp:extent cx="1513840" cy="762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21">
                      <a:extLst>
                        <a:ext uri="{28A0092B-C50C-407E-A947-70E740481C1C}"/>
                      </a:extLst>
                    </a:blip>
                    <a:srcRect/>
                    <a:stretch>
                      <a:fillRect/>
                    </a:stretch>
                  </pic:blipFill>
                  <pic:spPr bwMode="auto">
                    <a:xfrm>
                      <a:off x="0" y="0"/>
                      <a:ext cx="1513840" cy="7620"/>
                    </a:xfrm>
                    <a:prstGeom prst="rect">
                      <a:avLst/>
                    </a:prstGeom>
                    <a:noFill/>
                  </pic:spPr>
                </pic:pic>
              </a:graphicData>
            </a:graphic>
          </wp:anchor>
        </w:drawing>
      </w:r>
    </w:p>
    <w:p>
      <w:pPr>
        <w:spacing w:after="0" w:line="3" w:lineRule="exact"/>
        <w:rPr>
          <w:sz w:val="20"/>
          <w:szCs w:val="20"/>
          <w:color w:val="auto"/>
        </w:rPr>
      </w:pPr>
    </w:p>
    <w:p>
      <w:pPr>
        <w:jc w:val="center"/>
        <w:ind w:right="200"/>
        <w:spacing w:after="0" w:line="241" w:lineRule="auto"/>
        <w:rPr>
          <w:rFonts w:ascii="Calibri" w:cs="Calibri" w:eastAsia="Calibri" w:hAnsi="Calibri"/>
          <w:sz w:val="15"/>
          <w:szCs w:val="15"/>
          <w:u w:val="single" w:color="auto"/>
          <w:color w:val="0000FF"/>
        </w:rPr>
      </w:pPr>
      <w:r>
        <w:rPr>
          <w:rFonts w:ascii="Calibri" w:cs="Calibri" w:eastAsia="Calibri" w:hAnsi="Calibri"/>
          <w:sz w:val="15"/>
          <w:szCs w:val="15"/>
          <w:color w:val="auto"/>
        </w:rPr>
        <w:t xml:space="preserve">10.18     </w:t>
      </w:r>
      <w:hyperlink r:id="rId522">
        <w:r>
          <w:rPr>
            <w:rFonts w:ascii="Calibri" w:cs="Calibri" w:eastAsia="Calibri" w:hAnsi="Calibri"/>
            <w:sz w:val="15"/>
            <w:szCs w:val="15"/>
            <w:u w:val="single" w:color="auto"/>
            <w:color w:val="0000FF"/>
          </w:rPr>
          <w:t>First Amendment to Lease, dated as of October 27, 2015, between</w:t>
        </w:r>
      </w:hyperlink>
      <w:r>
        <w:rPr>
          <w:rFonts w:ascii="Calibri" w:cs="Calibri" w:eastAsia="Calibri" w:hAnsi="Calibri"/>
          <w:sz w:val="15"/>
          <w:szCs w:val="15"/>
          <w:color w:val="auto"/>
        </w:rPr>
        <w:t xml:space="preserve"> </w:t>
      </w:r>
      <w:hyperlink r:id="rId522">
        <w:r>
          <w:rPr>
            <w:rFonts w:ascii="Calibri" w:cs="Calibri" w:eastAsia="Calibri" w:hAnsi="Calibri"/>
            <w:sz w:val="15"/>
            <w:szCs w:val="15"/>
            <w:u w:val="single" w:color="auto"/>
            <w:color w:val="0000FF"/>
          </w:rPr>
          <w:t>BCSP Cambridge Two Property LLC and the Registrant.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wp:posOffset>
            </wp:positionH>
            <wp:positionV relativeFrom="paragraph">
              <wp:posOffset>-133350</wp:posOffset>
            </wp:positionV>
            <wp:extent cx="2578735" cy="762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23">
                      <a:extLst>
                        <a:ext uri="{28A0092B-C50C-407E-A947-70E740481C1C}"/>
                      </a:extLst>
                    </a:blip>
                    <a:srcRect/>
                    <a:stretch>
                      <a:fillRect/>
                    </a:stretch>
                  </pic:blipFill>
                  <pic:spPr bwMode="auto">
                    <a:xfrm>
                      <a:off x="0" y="0"/>
                      <a:ext cx="2578735" cy="7620"/>
                    </a:xfrm>
                    <a:prstGeom prst="rect">
                      <a:avLst/>
                    </a:prstGeom>
                    <a:noFill/>
                  </pic:spPr>
                </pic:pic>
              </a:graphicData>
            </a:graphic>
          </wp:anchor>
        </w:drawing>
        <w:drawing>
          <wp:anchor simplePos="0" relativeHeight="251657728" behindDoc="1" locked="0" layoutInCell="0" allowOverlap="1">
            <wp:simplePos x="0" y="0"/>
            <wp:positionH relativeFrom="column">
              <wp:posOffset>439420</wp:posOffset>
            </wp:positionH>
            <wp:positionV relativeFrom="paragraph">
              <wp:posOffset>-16510</wp:posOffset>
            </wp:positionV>
            <wp:extent cx="2074545" cy="762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24">
                      <a:extLst>
                        <a:ext uri="{28A0092B-C50C-407E-A947-70E740481C1C}"/>
                      </a:extLst>
                    </a:blip>
                    <a:srcRect/>
                    <a:stretch>
                      <a:fillRect/>
                    </a:stretch>
                  </pic:blipFill>
                  <pic:spPr bwMode="auto">
                    <a:xfrm>
                      <a:off x="0" y="0"/>
                      <a:ext cx="2074545" cy="7620"/>
                    </a:xfrm>
                    <a:prstGeom prst="rect">
                      <a:avLst/>
                    </a:prstGeom>
                    <a:noFill/>
                  </pic:spPr>
                </pic:pic>
              </a:graphicData>
            </a:graphic>
          </wp:anchor>
        </w:drawing>
      </w:r>
    </w:p>
    <w:p>
      <w:pPr>
        <w:spacing w:after="0" w:line="3" w:lineRule="exact"/>
        <w:rPr>
          <w:sz w:val="20"/>
          <w:szCs w:val="20"/>
          <w:color w:val="auto"/>
        </w:rPr>
      </w:pPr>
    </w:p>
    <w:p>
      <w:pPr>
        <w:ind w:left="700" w:right="40" w:hanging="693"/>
        <w:spacing w:after="0" w:line="241" w:lineRule="auto"/>
        <w:tabs>
          <w:tab w:leader="none" w:pos="680" w:val="left"/>
        </w:tabs>
        <w:rPr>
          <w:rFonts w:ascii="Calibri" w:cs="Calibri" w:eastAsia="Calibri" w:hAnsi="Calibri"/>
          <w:sz w:val="15"/>
          <w:szCs w:val="15"/>
          <w:u w:val="single" w:color="auto"/>
          <w:color w:val="0000FF"/>
        </w:rPr>
      </w:pPr>
      <w:r>
        <w:rPr>
          <w:rFonts w:ascii="Calibri" w:cs="Calibri" w:eastAsia="Calibri" w:hAnsi="Calibri"/>
          <w:sz w:val="15"/>
          <w:szCs w:val="15"/>
          <w:color w:val="auto"/>
        </w:rPr>
        <w:t>10.19</w:t>
      </w:r>
      <w:r>
        <w:rPr>
          <w:sz w:val="20"/>
          <w:szCs w:val="20"/>
          <w:color w:val="auto"/>
        </w:rPr>
        <w:tab/>
      </w:r>
      <w:hyperlink r:id="rId525">
        <w:r>
          <w:rPr>
            <w:rFonts w:ascii="Calibri" w:cs="Calibri" w:eastAsia="Calibri" w:hAnsi="Calibri"/>
            <w:sz w:val="15"/>
            <w:szCs w:val="15"/>
            <w:u w:val="single" w:color="auto"/>
            <w:color w:val="0000FF"/>
          </w:rPr>
          <w:t>Second Amendment to Lease, dated as of September 28, 2020,</w:t>
        </w:r>
      </w:hyperlink>
      <w:r>
        <w:rPr>
          <w:rFonts w:ascii="Calibri" w:cs="Calibri" w:eastAsia="Calibri" w:hAnsi="Calibri"/>
          <w:sz w:val="15"/>
          <w:szCs w:val="15"/>
          <w:u w:val="single" w:color="auto"/>
          <w:color w:val="0000FF"/>
        </w:rPr>
        <w:t xml:space="preserve"> </w:t>
      </w:r>
      <w:hyperlink r:id="rId525">
        <w:r>
          <w:rPr>
            <w:rFonts w:ascii="Calibri" w:cs="Calibri" w:eastAsia="Calibri" w:hAnsi="Calibri"/>
            <w:sz w:val="15"/>
            <w:szCs w:val="15"/>
            <w:u w:val="single" w:color="auto"/>
            <w:color w:val="0000FF"/>
          </w:rPr>
          <w:t>between Two Canal Park Massachusets, LLC, as successor-in-interest</w:t>
        </w:r>
      </w:hyperlink>
      <w:r>
        <w:rPr>
          <w:rFonts w:ascii="Calibri" w:cs="Calibri" w:eastAsia="Calibri" w:hAnsi="Calibri"/>
          <w:sz w:val="15"/>
          <w:szCs w:val="15"/>
          <w:u w:val="single" w:color="auto"/>
          <w:color w:val="0000FF"/>
        </w:rPr>
        <w:t xml:space="preserve"> </w:t>
      </w:r>
      <w:hyperlink r:id="rId525">
        <w:r>
          <w:rPr>
            <w:rFonts w:ascii="Calibri" w:cs="Calibri" w:eastAsia="Calibri" w:hAnsi="Calibri"/>
            <w:sz w:val="15"/>
            <w:szCs w:val="15"/>
            <w:u w:val="single" w:color="auto"/>
            <w:color w:val="0000FF"/>
          </w:rPr>
          <w:t>to BCSP Cambridge Two Property LLC, and the Registrant.</w:t>
        </w:r>
      </w:hyperlink>
    </w:p>
    <w:p>
      <w:pPr>
        <w:spacing w:after="0" w:line="20" w:lineRule="exact"/>
        <w:rPr>
          <w:rFonts w:ascii="Calibri" w:cs="Calibri" w:eastAsia="Calibri" w:hAnsi="Calibri"/>
          <w:sz w:val="15"/>
          <w:szCs w:val="15"/>
          <w:u w:val="single" w:color="auto"/>
          <w:color w:val="0000FF"/>
        </w:rPr>
      </w:pPr>
      <w:r>
        <w:rPr>
          <w:rFonts w:ascii="Calibri" w:cs="Calibri" w:eastAsia="Calibri" w:hAnsi="Calibri"/>
          <w:sz w:val="15"/>
          <w:szCs w:val="15"/>
          <w:u w:val="single" w:color="auto"/>
          <w:color w:val="0000FF"/>
        </w:rPr>
        <w:drawing>
          <wp:anchor simplePos="0" relativeHeight="251657728" behindDoc="1" locked="0" layoutInCell="0" allowOverlap="1">
            <wp:simplePos x="0" y="0"/>
            <wp:positionH relativeFrom="column">
              <wp:posOffset>439420</wp:posOffset>
            </wp:positionH>
            <wp:positionV relativeFrom="paragraph">
              <wp:posOffset>-250190</wp:posOffset>
            </wp:positionV>
            <wp:extent cx="2443480" cy="762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26">
                      <a:extLst>
                        <a:ext uri="{28A0092B-C50C-407E-A947-70E740481C1C}"/>
                      </a:extLst>
                    </a:blip>
                    <a:srcRect/>
                    <a:stretch>
                      <a:fillRect/>
                    </a:stretch>
                  </pic:blipFill>
                  <pic:spPr bwMode="auto">
                    <a:xfrm>
                      <a:off x="0" y="0"/>
                      <a:ext cx="2443480" cy="7620"/>
                    </a:xfrm>
                    <a:prstGeom prst="rect">
                      <a:avLst/>
                    </a:prstGeom>
                    <a:noFill/>
                  </pic:spPr>
                </pic:pic>
              </a:graphicData>
            </a:graphic>
          </wp:anchor>
        </w:drawing>
        <w:drawing>
          <wp:anchor simplePos="0" relativeHeight="251657728" behindDoc="1" locked="0" layoutInCell="0" allowOverlap="1">
            <wp:simplePos x="0" y="0"/>
            <wp:positionH relativeFrom="column">
              <wp:posOffset>439420</wp:posOffset>
            </wp:positionH>
            <wp:positionV relativeFrom="paragraph">
              <wp:posOffset>-133350</wp:posOffset>
            </wp:positionV>
            <wp:extent cx="2674620" cy="762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27">
                      <a:extLst>
                        <a:ext uri="{28A0092B-C50C-407E-A947-70E740481C1C}"/>
                      </a:extLst>
                    </a:blip>
                    <a:srcRect/>
                    <a:stretch>
                      <a:fillRect/>
                    </a:stretch>
                  </pic:blipFill>
                  <pic:spPr bwMode="auto">
                    <a:xfrm>
                      <a:off x="0" y="0"/>
                      <a:ext cx="2674620" cy="7620"/>
                    </a:xfrm>
                    <a:prstGeom prst="rect">
                      <a:avLst/>
                    </a:prstGeom>
                    <a:noFill/>
                  </pic:spPr>
                </pic:pic>
              </a:graphicData>
            </a:graphic>
          </wp:anchor>
        </w:drawing>
        <w:drawing>
          <wp:anchor simplePos="0" relativeHeight="251657728" behindDoc="1" locked="0" layoutInCell="0" allowOverlap="1">
            <wp:simplePos x="0" y="0"/>
            <wp:positionH relativeFrom="column">
              <wp:posOffset>439420</wp:posOffset>
            </wp:positionH>
            <wp:positionV relativeFrom="paragraph">
              <wp:posOffset>-16510</wp:posOffset>
            </wp:positionV>
            <wp:extent cx="2200275" cy="762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28">
                      <a:extLst>
                        <a:ext uri="{28A0092B-C50C-407E-A947-70E740481C1C}"/>
                      </a:extLst>
                    </a:blip>
                    <a:srcRect/>
                    <a:stretch>
                      <a:fillRect/>
                    </a:stretch>
                  </pic:blipFill>
                  <pic:spPr bwMode="auto">
                    <a:xfrm>
                      <a:off x="0" y="0"/>
                      <a:ext cx="2200275" cy="7620"/>
                    </a:xfrm>
                    <a:prstGeom prst="rect">
                      <a:avLst/>
                    </a:prstGeom>
                    <a:noFill/>
                  </pic:spPr>
                </pic:pic>
              </a:graphicData>
            </a:graphic>
          </wp:anchor>
        </w:drawing>
      </w:r>
    </w:p>
    <w:p>
      <w:pPr>
        <w:spacing w:after="0" w:line="4" w:lineRule="exact"/>
        <w:rPr>
          <w:rFonts w:ascii="Calibri" w:cs="Calibri" w:eastAsia="Calibri" w:hAnsi="Calibri"/>
          <w:sz w:val="15"/>
          <w:szCs w:val="15"/>
          <w:u w:val="single" w:color="auto"/>
          <w:color w:val="0000FF"/>
        </w:rPr>
      </w:pPr>
    </w:p>
    <w:p>
      <w:pPr>
        <w:spacing w:after="0"/>
        <w:tabs>
          <w:tab w:leader="none" w:pos="680" w:val="left"/>
        </w:tabs>
        <w:rPr>
          <w:rFonts w:ascii="Calibri" w:cs="Calibri" w:eastAsia="Calibri" w:hAnsi="Calibri"/>
          <w:sz w:val="15"/>
          <w:szCs w:val="15"/>
          <w:u w:val="single" w:color="auto"/>
          <w:color w:val="0000FF"/>
        </w:rPr>
      </w:pPr>
      <w:r>
        <w:rPr>
          <w:rFonts w:ascii="Calibri" w:cs="Calibri" w:eastAsia="Calibri" w:hAnsi="Calibri"/>
          <w:sz w:val="15"/>
          <w:szCs w:val="15"/>
          <w:color w:val="auto"/>
        </w:rPr>
        <w:t>10.20</w:t>
      </w:r>
      <w:r>
        <w:rPr>
          <w:sz w:val="20"/>
          <w:szCs w:val="20"/>
          <w:color w:val="auto"/>
        </w:rPr>
        <w:tab/>
      </w:r>
      <w:hyperlink r:id="rId529">
        <w:r>
          <w:rPr>
            <w:rFonts w:ascii="Calibri" w:cs="Calibri" w:eastAsia="Calibri" w:hAnsi="Calibri"/>
            <w:sz w:val="15"/>
            <w:szCs w:val="15"/>
            <w:u w:val="single" w:color="auto"/>
            <w:color w:val="0000FF"/>
          </w:rPr>
          <w:t>Ofce Lease Agreement, dated as of March 11, 2016, by and between</w:t>
        </w:r>
      </w:hyperlink>
    </w:p>
    <w:p>
      <w:pPr>
        <w:spacing w:after="0" w:line="20" w:lineRule="exact"/>
        <w:rPr>
          <w:rFonts w:ascii="Calibri" w:cs="Calibri" w:eastAsia="Calibri" w:hAnsi="Calibri"/>
          <w:sz w:val="15"/>
          <w:szCs w:val="15"/>
          <w:u w:val="single" w:color="auto"/>
          <w:color w:val="0000FF"/>
        </w:rPr>
      </w:pPr>
      <w:r>
        <w:rPr>
          <w:rFonts w:ascii="Calibri" w:cs="Calibri" w:eastAsia="Calibri" w:hAnsi="Calibri"/>
          <w:sz w:val="15"/>
          <w:szCs w:val="15"/>
          <w:u w:val="single" w:color="auto"/>
          <w:color w:val="0000FF"/>
        </w:rPr>
        <w:drawing>
          <wp:anchor simplePos="0" relativeHeight="251657728" behindDoc="1" locked="0" layoutInCell="0" allowOverlap="1">
            <wp:simplePos x="0" y="0"/>
            <wp:positionH relativeFrom="column">
              <wp:posOffset>439420</wp:posOffset>
            </wp:positionH>
            <wp:positionV relativeFrom="paragraph">
              <wp:posOffset>-15875</wp:posOffset>
            </wp:positionV>
            <wp:extent cx="2701925" cy="762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30">
                      <a:extLst>
                        <a:ext uri="{28A0092B-C50C-407E-A947-70E740481C1C}"/>
                      </a:extLst>
                    </a:blip>
                    <a:srcRect/>
                    <a:stretch>
                      <a:fillRect/>
                    </a:stretch>
                  </pic:blipFill>
                  <pic:spPr bwMode="auto">
                    <a:xfrm>
                      <a:off x="0" y="0"/>
                      <a:ext cx="2701925" cy="7620"/>
                    </a:xfrm>
                    <a:prstGeom prst="rect">
                      <a:avLst/>
                    </a:prstGeom>
                    <a:noFill/>
                  </pic:spPr>
                </pic:pic>
              </a:graphicData>
            </a:graphic>
          </wp:anchor>
        </w:drawing>
      </w:r>
    </w:p>
    <w:p>
      <w:pPr>
        <w:ind w:left="700"/>
        <w:spacing w:after="0"/>
        <w:rPr>
          <w:rFonts w:ascii="Calibri" w:cs="Calibri" w:eastAsia="Calibri" w:hAnsi="Calibri"/>
          <w:sz w:val="15"/>
          <w:szCs w:val="15"/>
          <w:u w:val="single" w:color="auto"/>
          <w:color w:val="0000FF"/>
        </w:rPr>
      </w:pPr>
      <w:hyperlink r:id="rId529">
        <w:r>
          <w:rPr>
            <w:rFonts w:ascii="Calibri" w:cs="Calibri" w:eastAsia="Calibri" w:hAnsi="Calibri"/>
            <w:sz w:val="15"/>
            <w:szCs w:val="15"/>
            <w:u w:val="single" w:color="auto"/>
            <w:color w:val="0000FF"/>
          </w:rPr>
          <w:t>55 Cambridge Parkway, LLC and the Registrant.</w:t>
        </w:r>
      </w:hyperlink>
    </w:p>
    <w:p>
      <w:pPr>
        <w:spacing w:after="0" w:line="20" w:lineRule="exact"/>
        <w:rPr>
          <w:rFonts w:ascii="Calibri" w:cs="Calibri" w:eastAsia="Calibri" w:hAnsi="Calibri"/>
          <w:sz w:val="15"/>
          <w:szCs w:val="15"/>
          <w:u w:val="single" w:color="auto"/>
          <w:color w:val="0000FF"/>
        </w:rPr>
      </w:pPr>
      <w:r>
        <w:rPr>
          <w:rFonts w:ascii="Calibri" w:cs="Calibri" w:eastAsia="Calibri" w:hAnsi="Calibri"/>
          <w:sz w:val="15"/>
          <w:szCs w:val="15"/>
          <w:u w:val="single" w:color="auto"/>
          <w:color w:val="0000FF"/>
        </w:rPr>
        <w:drawing>
          <wp:anchor simplePos="0" relativeHeight="251657728" behindDoc="1" locked="0" layoutInCell="0" allowOverlap="1">
            <wp:simplePos x="0" y="0"/>
            <wp:positionH relativeFrom="column">
              <wp:posOffset>439420</wp:posOffset>
            </wp:positionH>
            <wp:positionV relativeFrom="paragraph">
              <wp:posOffset>-15875</wp:posOffset>
            </wp:positionV>
            <wp:extent cx="1798320" cy="762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31">
                      <a:extLst>
                        <a:ext uri="{28A0092B-C50C-407E-A947-70E740481C1C}"/>
                      </a:extLst>
                    </a:blip>
                    <a:srcRect/>
                    <a:stretch>
                      <a:fillRect/>
                    </a:stretch>
                  </pic:blipFill>
                  <pic:spPr bwMode="auto">
                    <a:xfrm>
                      <a:off x="0" y="0"/>
                      <a:ext cx="1798320" cy="7620"/>
                    </a:xfrm>
                    <a:prstGeom prst="rect">
                      <a:avLst/>
                    </a:prstGeom>
                    <a:noFill/>
                  </pic:spPr>
                </pic:pic>
              </a:graphicData>
            </a:graphic>
          </wp:anchor>
        </w:drawing>
      </w:r>
    </w:p>
    <w:p>
      <w:pPr>
        <w:spacing w:after="0" w:line="4" w:lineRule="exact"/>
        <w:rPr>
          <w:rFonts w:ascii="Calibri" w:cs="Calibri" w:eastAsia="Calibri" w:hAnsi="Calibri"/>
          <w:sz w:val="15"/>
          <w:szCs w:val="15"/>
          <w:u w:val="single" w:color="auto"/>
          <w:color w:val="0000FF"/>
        </w:rPr>
      </w:pPr>
    </w:p>
    <w:p>
      <w:pPr>
        <w:spacing w:after="0"/>
        <w:tabs>
          <w:tab w:leader="none" w:pos="680" w:val="left"/>
        </w:tabs>
        <w:rPr>
          <w:rFonts w:ascii="Calibri" w:cs="Calibri" w:eastAsia="Calibri" w:hAnsi="Calibri"/>
          <w:sz w:val="14"/>
          <w:szCs w:val="14"/>
          <w:u w:val="single" w:color="auto"/>
          <w:color w:val="0000FF"/>
        </w:rPr>
      </w:pPr>
      <w:r>
        <w:rPr>
          <w:rFonts w:ascii="Calibri" w:cs="Calibri" w:eastAsia="Calibri" w:hAnsi="Calibri"/>
          <w:sz w:val="15"/>
          <w:szCs w:val="15"/>
          <w:color w:val="auto"/>
        </w:rPr>
        <w:t>10.21</w:t>
      </w:r>
      <w:r>
        <w:rPr>
          <w:sz w:val="20"/>
          <w:szCs w:val="20"/>
          <w:color w:val="auto"/>
        </w:rPr>
        <w:tab/>
      </w:r>
      <w:hyperlink r:id="rId532">
        <w:r>
          <w:rPr>
            <w:rFonts w:ascii="Calibri" w:cs="Calibri" w:eastAsia="Calibri" w:hAnsi="Calibri"/>
            <w:sz w:val="14"/>
            <w:szCs w:val="14"/>
            <w:u w:val="single" w:color="auto"/>
            <w:color w:val="0000FF"/>
          </w:rPr>
          <w:t>First Amendment to Lease, dated as of July 30, 2016 by and between</w:t>
        </w:r>
      </w:hyperlink>
    </w:p>
    <w:p>
      <w:pPr>
        <w:spacing w:after="0" w:line="20" w:lineRule="exact"/>
        <w:rPr>
          <w:rFonts w:ascii="Calibri" w:cs="Calibri" w:eastAsia="Calibri" w:hAnsi="Calibri"/>
          <w:sz w:val="15"/>
          <w:szCs w:val="15"/>
          <w:u w:val="single" w:color="auto"/>
          <w:color w:val="0000FF"/>
        </w:rPr>
      </w:pPr>
      <w:r>
        <w:rPr>
          <w:rFonts w:ascii="Calibri" w:cs="Calibri" w:eastAsia="Calibri" w:hAnsi="Calibri"/>
          <w:sz w:val="15"/>
          <w:szCs w:val="15"/>
          <w:u w:val="single" w:color="auto"/>
          <w:color w:val="0000FF"/>
        </w:rPr>
        <w:drawing>
          <wp:anchor simplePos="0" relativeHeight="251657728" behindDoc="1" locked="0" layoutInCell="0" allowOverlap="1">
            <wp:simplePos x="0" y="0"/>
            <wp:positionH relativeFrom="column">
              <wp:posOffset>439420</wp:posOffset>
            </wp:positionH>
            <wp:positionV relativeFrom="paragraph">
              <wp:posOffset>-15875</wp:posOffset>
            </wp:positionV>
            <wp:extent cx="2666365" cy="762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33">
                      <a:extLst>
                        <a:ext uri="{28A0092B-C50C-407E-A947-70E740481C1C}"/>
                      </a:extLst>
                    </a:blip>
                    <a:srcRect/>
                    <a:stretch>
                      <a:fillRect/>
                    </a:stretch>
                  </pic:blipFill>
                  <pic:spPr bwMode="auto">
                    <a:xfrm>
                      <a:off x="0" y="0"/>
                      <a:ext cx="2666365" cy="7620"/>
                    </a:xfrm>
                    <a:prstGeom prst="rect">
                      <a:avLst/>
                    </a:prstGeom>
                    <a:noFill/>
                  </pic:spPr>
                </pic:pic>
              </a:graphicData>
            </a:graphic>
          </wp:anchor>
        </w:drawing>
      </w:r>
    </w:p>
    <w:p>
      <w:pPr>
        <w:ind w:left="700"/>
        <w:spacing w:after="0"/>
        <w:rPr>
          <w:rFonts w:ascii="Calibri" w:cs="Calibri" w:eastAsia="Calibri" w:hAnsi="Calibri"/>
          <w:sz w:val="15"/>
          <w:szCs w:val="15"/>
          <w:u w:val="single" w:color="auto"/>
          <w:color w:val="0000FF"/>
        </w:rPr>
      </w:pPr>
      <w:hyperlink r:id="rId532">
        <w:r>
          <w:rPr>
            <w:rFonts w:ascii="Calibri" w:cs="Calibri" w:eastAsia="Calibri" w:hAnsi="Calibri"/>
            <w:sz w:val="15"/>
            <w:szCs w:val="15"/>
            <w:u w:val="single" w:color="auto"/>
            <w:color w:val="0000FF"/>
          </w:rPr>
          <w:t>55 Cambridge Parkway, LLC and the Registrant.</w:t>
        </w:r>
      </w:hyperlink>
    </w:p>
    <w:p>
      <w:pPr>
        <w:spacing w:after="0" w:line="20" w:lineRule="exact"/>
        <w:rPr>
          <w:rFonts w:ascii="Calibri" w:cs="Calibri" w:eastAsia="Calibri" w:hAnsi="Calibri"/>
          <w:sz w:val="15"/>
          <w:szCs w:val="15"/>
          <w:u w:val="single" w:color="auto"/>
          <w:color w:val="0000FF"/>
        </w:rPr>
      </w:pPr>
      <w:r>
        <w:rPr>
          <w:rFonts w:ascii="Calibri" w:cs="Calibri" w:eastAsia="Calibri" w:hAnsi="Calibri"/>
          <w:sz w:val="15"/>
          <w:szCs w:val="15"/>
          <w:u w:val="single" w:color="auto"/>
          <w:color w:val="0000FF"/>
        </w:rPr>
        <w:drawing>
          <wp:anchor simplePos="0" relativeHeight="251657728" behindDoc="1" locked="0" layoutInCell="0" allowOverlap="1">
            <wp:simplePos x="0" y="0"/>
            <wp:positionH relativeFrom="column">
              <wp:posOffset>439420</wp:posOffset>
            </wp:positionH>
            <wp:positionV relativeFrom="paragraph">
              <wp:posOffset>-15875</wp:posOffset>
            </wp:positionV>
            <wp:extent cx="1798320" cy="762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34">
                      <a:extLst>
                        <a:ext uri="{28A0092B-C50C-407E-A947-70E740481C1C}"/>
                      </a:extLst>
                    </a:blip>
                    <a:srcRect/>
                    <a:stretch>
                      <a:fillRect/>
                    </a:stretch>
                  </pic:blipFill>
                  <pic:spPr bwMode="auto">
                    <a:xfrm>
                      <a:off x="0" y="0"/>
                      <a:ext cx="1798320" cy="7620"/>
                    </a:xfrm>
                    <a:prstGeom prst="rect">
                      <a:avLst/>
                    </a:prstGeom>
                    <a:noFill/>
                  </pic:spPr>
                </pic:pic>
              </a:graphicData>
            </a:graphic>
          </wp:anchor>
        </w:drawing>
      </w:r>
    </w:p>
    <w:p>
      <w:pPr>
        <w:spacing w:after="0" w:line="4" w:lineRule="exact"/>
        <w:rPr>
          <w:rFonts w:ascii="Calibri" w:cs="Calibri" w:eastAsia="Calibri" w:hAnsi="Calibri"/>
          <w:sz w:val="15"/>
          <w:szCs w:val="15"/>
          <w:u w:val="single" w:color="auto"/>
          <w:color w:val="0000FF"/>
        </w:rPr>
      </w:pPr>
    </w:p>
    <w:p>
      <w:pPr>
        <w:ind w:left="700" w:right="260" w:hanging="693"/>
        <w:spacing w:after="0" w:line="241" w:lineRule="auto"/>
        <w:tabs>
          <w:tab w:leader="none" w:pos="680" w:val="left"/>
        </w:tabs>
        <w:rPr>
          <w:rFonts w:ascii="Calibri" w:cs="Calibri" w:eastAsia="Calibri" w:hAnsi="Calibri"/>
          <w:sz w:val="15"/>
          <w:szCs w:val="15"/>
          <w:u w:val="single" w:color="auto"/>
          <w:color w:val="0000FF"/>
        </w:rPr>
      </w:pPr>
      <w:r>
        <w:rPr>
          <w:rFonts w:ascii="Calibri" w:cs="Calibri" w:eastAsia="Calibri" w:hAnsi="Calibri"/>
          <w:sz w:val="15"/>
          <w:szCs w:val="15"/>
          <w:color w:val="auto"/>
        </w:rPr>
        <w:t>10.22</w:t>
      </w:r>
      <w:r>
        <w:rPr>
          <w:sz w:val="20"/>
          <w:szCs w:val="20"/>
          <w:color w:val="auto"/>
        </w:rPr>
        <w:tab/>
      </w:r>
      <w:hyperlink r:id="rId535">
        <w:r>
          <w:rPr>
            <w:rFonts w:ascii="Calibri" w:cs="Calibri" w:eastAsia="Calibri" w:hAnsi="Calibri"/>
            <w:sz w:val="15"/>
            <w:szCs w:val="15"/>
            <w:u w:val="single" w:color="auto"/>
            <w:color w:val="0000FF"/>
          </w:rPr>
          <w:t>Second Amendment to Lease, dated as of August 30, 2019 by and</w:t>
        </w:r>
      </w:hyperlink>
      <w:r>
        <w:rPr>
          <w:rFonts w:ascii="Calibri" w:cs="Calibri" w:eastAsia="Calibri" w:hAnsi="Calibri"/>
          <w:sz w:val="15"/>
          <w:szCs w:val="15"/>
          <w:u w:val="single" w:color="auto"/>
          <w:color w:val="0000FF"/>
        </w:rPr>
        <w:t xml:space="preserve"> </w:t>
      </w:r>
      <w:hyperlink r:id="rId535">
        <w:r>
          <w:rPr>
            <w:rFonts w:ascii="Calibri" w:cs="Calibri" w:eastAsia="Calibri" w:hAnsi="Calibri"/>
            <w:sz w:val="15"/>
            <w:szCs w:val="15"/>
            <w:u w:val="single" w:color="auto"/>
            <w:color w:val="0000FF"/>
          </w:rPr>
          <w:t>between 55 Cambridge Parkway, LLC and the Registrant.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wp:posOffset>
            </wp:positionH>
            <wp:positionV relativeFrom="paragraph">
              <wp:posOffset>-133350</wp:posOffset>
            </wp:positionV>
            <wp:extent cx="2543175" cy="762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36">
                      <a:extLst>
                        <a:ext uri="{28A0092B-C50C-407E-A947-70E740481C1C}"/>
                      </a:extLst>
                    </a:blip>
                    <a:srcRect/>
                    <a:stretch>
                      <a:fillRect/>
                    </a:stretch>
                  </pic:blipFill>
                  <pic:spPr bwMode="auto">
                    <a:xfrm>
                      <a:off x="0" y="0"/>
                      <a:ext cx="2543175" cy="7620"/>
                    </a:xfrm>
                    <a:prstGeom prst="rect">
                      <a:avLst/>
                    </a:prstGeom>
                    <a:noFill/>
                  </pic:spPr>
                </pic:pic>
              </a:graphicData>
            </a:graphic>
          </wp:anchor>
        </w:drawing>
        <w:drawing>
          <wp:anchor simplePos="0" relativeHeight="251657728" behindDoc="1" locked="0" layoutInCell="0" allowOverlap="1">
            <wp:simplePos x="0" y="0"/>
            <wp:positionH relativeFrom="column">
              <wp:posOffset>439420</wp:posOffset>
            </wp:positionH>
            <wp:positionV relativeFrom="paragraph">
              <wp:posOffset>-16510</wp:posOffset>
            </wp:positionV>
            <wp:extent cx="2136140" cy="762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37">
                      <a:extLst>
                        <a:ext uri="{28A0092B-C50C-407E-A947-70E740481C1C}"/>
                      </a:extLst>
                    </a:blip>
                    <a:srcRect/>
                    <a:stretch>
                      <a:fillRect/>
                    </a:stretch>
                  </pic:blipFill>
                  <pic:spPr bwMode="auto">
                    <a:xfrm>
                      <a:off x="0" y="0"/>
                      <a:ext cx="2136140" cy="7620"/>
                    </a:xfrm>
                    <a:prstGeom prst="rect">
                      <a:avLst/>
                    </a:prstGeom>
                    <a:noFill/>
                  </pic:spPr>
                </pic:pic>
              </a:graphicData>
            </a:graphic>
          </wp:anchor>
        </w:drawing>
      </w:r>
    </w:p>
    <w:p>
      <w:pPr>
        <w:spacing w:after="0" w:line="3" w:lineRule="exact"/>
        <w:rPr>
          <w:sz w:val="20"/>
          <w:szCs w:val="20"/>
          <w:color w:val="auto"/>
        </w:rPr>
      </w:pPr>
    </w:p>
    <w:p>
      <w:pPr>
        <w:ind w:left="700" w:right="300" w:hanging="693"/>
        <w:spacing w:after="0" w:line="241" w:lineRule="auto"/>
        <w:tabs>
          <w:tab w:leader="none" w:pos="680" w:val="left"/>
        </w:tabs>
        <w:rPr>
          <w:rFonts w:ascii="Calibri" w:cs="Calibri" w:eastAsia="Calibri" w:hAnsi="Calibri"/>
          <w:sz w:val="15"/>
          <w:szCs w:val="15"/>
          <w:u w:val="single" w:color="auto"/>
          <w:color w:val="0000FF"/>
        </w:rPr>
      </w:pPr>
      <w:r>
        <w:rPr>
          <w:rFonts w:ascii="Calibri" w:cs="Calibri" w:eastAsia="Calibri" w:hAnsi="Calibri"/>
          <w:sz w:val="15"/>
          <w:szCs w:val="15"/>
          <w:color w:val="auto"/>
        </w:rPr>
        <w:t>10.23</w:t>
      </w:r>
      <w:r>
        <w:rPr>
          <w:sz w:val="20"/>
          <w:szCs w:val="20"/>
          <w:color w:val="auto"/>
        </w:rPr>
        <w:tab/>
      </w:r>
      <w:hyperlink r:id="rId538">
        <w:r>
          <w:rPr>
            <w:rFonts w:ascii="Calibri" w:cs="Calibri" w:eastAsia="Calibri" w:hAnsi="Calibri"/>
            <w:sz w:val="15"/>
            <w:szCs w:val="15"/>
            <w:u w:val="single" w:color="auto"/>
            <w:color w:val="0000FF"/>
          </w:rPr>
          <w:t>Third Amendment to Lease, dated as of July 1, 2020, between 55</w:t>
        </w:r>
      </w:hyperlink>
      <w:r>
        <w:rPr>
          <w:rFonts w:ascii="Calibri" w:cs="Calibri" w:eastAsia="Calibri" w:hAnsi="Calibri"/>
          <w:sz w:val="15"/>
          <w:szCs w:val="15"/>
          <w:u w:val="single" w:color="auto"/>
          <w:color w:val="0000FF"/>
        </w:rPr>
        <w:t xml:space="preserve"> </w:t>
      </w:r>
      <w:hyperlink r:id="rId538">
        <w:r>
          <w:rPr>
            <w:rFonts w:ascii="Calibri" w:cs="Calibri" w:eastAsia="Calibri" w:hAnsi="Calibri"/>
            <w:sz w:val="15"/>
            <w:szCs w:val="15"/>
            <w:u w:val="single" w:color="auto"/>
            <w:color w:val="0000FF"/>
          </w:rPr>
          <w:t>Cambridge Parkway, LLC and the Registrant.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wp:posOffset>
            </wp:positionH>
            <wp:positionV relativeFrom="paragraph">
              <wp:posOffset>-133350</wp:posOffset>
            </wp:positionV>
            <wp:extent cx="2513965" cy="762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39">
                      <a:extLst>
                        <a:ext uri="{28A0092B-C50C-407E-A947-70E740481C1C}"/>
                      </a:extLst>
                    </a:blip>
                    <a:srcRect/>
                    <a:stretch>
                      <a:fillRect/>
                    </a:stretch>
                  </pic:blipFill>
                  <pic:spPr bwMode="auto">
                    <a:xfrm>
                      <a:off x="0" y="0"/>
                      <a:ext cx="2513965" cy="7620"/>
                    </a:xfrm>
                    <a:prstGeom prst="rect">
                      <a:avLst/>
                    </a:prstGeom>
                    <a:noFill/>
                  </pic:spPr>
                </pic:pic>
              </a:graphicData>
            </a:graphic>
          </wp:anchor>
        </w:drawing>
        <w:drawing>
          <wp:anchor simplePos="0" relativeHeight="251657728" behindDoc="1" locked="0" layoutInCell="0" allowOverlap="1">
            <wp:simplePos x="0" y="0"/>
            <wp:positionH relativeFrom="column">
              <wp:posOffset>439420</wp:posOffset>
            </wp:positionH>
            <wp:positionV relativeFrom="paragraph">
              <wp:posOffset>-16510</wp:posOffset>
            </wp:positionV>
            <wp:extent cx="1680845" cy="762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40">
                      <a:extLst>
                        <a:ext uri="{28A0092B-C50C-407E-A947-70E740481C1C}"/>
                      </a:extLst>
                    </a:blip>
                    <a:srcRect/>
                    <a:stretch>
                      <a:fillRect/>
                    </a:stretch>
                  </pic:blipFill>
                  <pic:spPr bwMode="auto">
                    <a:xfrm>
                      <a:off x="0" y="0"/>
                      <a:ext cx="1680845" cy="7620"/>
                    </a:xfrm>
                    <a:prstGeom prst="rect">
                      <a:avLst/>
                    </a:prstGeom>
                    <a:noFill/>
                  </pic:spPr>
                </pic:pic>
              </a:graphicData>
            </a:graphic>
          </wp:anchor>
        </w:drawing>
      </w:r>
    </w:p>
    <w:p>
      <w:pPr>
        <w:spacing w:after="0" w:line="3" w:lineRule="exact"/>
        <w:rPr>
          <w:sz w:val="20"/>
          <w:szCs w:val="20"/>
          <w:color w:val="auto"/>
        </w:rPr>
      </w:pPr>
    </w:p>
    <w:p>
      <w:pPr>
        <w:ind w:left="700" w:right="300" w:hanging="693"/>
        <w:spacing w:after="0" w:line="241" w:lineRule="auto"/>
        <w:tabs>
          <w:tab w:leader="none" w:pos="680" w:val="left"/>
        </w:tabs>
        <w:rPr>
          <w:rFonts w:ascii="Calibri" w:cs="Calibri" w:eastAsia="Calibri" w:hAnsi="Calibri"/>
          <w:sz w:val="15"/>
          <w:szCs w:val="15"/>
          <w:u w:val="single" w:color="auto"/>
          <w:color w:val="0000FF"/>
        </w:rPr>
      </w:pPr>
      <w:r>
        <w:rPr>
          <w:rFonts w:ascii="Calibri" w:cs="Calibri" w:eastAsia="Calibri" w:hAnsi="Calibri"/>
          <w:sz w:val="15"/>
          <w:szCs w:val="15"/>
          <w:color w:val="auto"/>
        </w:rPr>
        <w:t>10.24</w:t>
      </w:r>
      <w:r>
        <w:rPr>
          <w:sz w:val="20"/>
          <w:szCs w:val="20"/>
          <w:color w:val="auto"/>
        </w:rPr>
        <w:tab/>
      </w:r>
      <w:hyperlink r:id="rId541">
        <w:r>
          <w:rPr>
            <w:rFonts w:ascii="Calibri" w:cs="Calibri" w:eastAsia="Calibri" w:hAnsi="Calibri"/>
            <w:sz w:val="15"/>
            <w:szCs w:val="15"/>
            <w:u w:val="single" w:color="auto"/>
            <w:color w:val="0000FF"/>
          </w:rPr>
          <w:t>Lease Agreement, dated as of June 19, 2018, by and between US</w:t>
        </w:r>
      </w:hyperlink>
      <w:r>
        <w:rPr>
          <w:rFonts w:ascii="Calibri" w:cs="Calibri" w:eastAsia="Calibri" w:hAnsi="Calibri"/>
          <w:sz w:val="15"/>
          <w:szCs w:val="15"/>
          <w:u w:val="single" w:color="auto"/>
          <w:color w:val="0000FF"/>
        </w:rPr>
        <w:t xml:space="preserve"> </w:t>
      </w:r>
      <w:hyperlink r:id="rId541">
        <w:r>
          <w:rPr>
            <w:rFonts w:ascii="Calibri" w:cs="Calibri" w:eastAsia="Calibri" w:hAnsi="Calibri"/>
            <w:sz w:val="15"/>
            <w:szCs w:val="15"/>
            <w:u w:val="single" w:color="auto"/>
            <w:color w:val="0000FF"/>
          </w:rPr>
          <w:t>Parcel A, LLC and the Registrant.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wp:posOffset>
            </wp:positionH>
            <wp:positionV relativeFrom="paragraph">
              <wp:posOffset>-133350</wp:posOffset>
            </wp:positionV>
            <wp:extent cx="2508250" cy="762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42">
                      <a:extLst>
                        <a:ext uri="{28A0092B-C50C-407E-A947-70E740481C1C}"/>
                      </a:extLst>
                    </a:blip>
                    <a:srcRect/>
                    <a:stretch>
                      <a:fillRect/>
                    </a:stretch>
                  </pic:blipFill>
                  <pic:spPr bwMode="auto">
                    <a:xfrm>
                      <a:off x="0" y="0"/>
                      <a:ext cx="2508250" cy="7620"/>
                    </a:xfrm>
                    <a:prstGeom prst="rect">
                      <a:avLst/>
                    </a:prstGeom>
                    <a:noFill/>
                  </pic:spPr>
                </pic:pic>
              </a:graphicData>
            </a:graphic>
          </wp:anchor>
        </w:drawing>
        <w:drawing>
          <wp:anchor simplePos="0" relativeHeight="251657728" behindDoc="1" locked="0" layoutInCell="0" allowOverlap="1">
            <wp:simplePos x="0" y="0"/>
            <wp:positionH relativeFrom="column">
              <wp:posOffset>439420</wp:posOffset>
            </wp:positionH>
            <wp:positionV relativeFrom="paragraph">
              <wp:posOffset>-16510</wp:posOffset>
            </wp:positionV>
            <wp:extent cx="1236345" cy="762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43">
                      <a:extLst>
                        <a:ext uri="{28A0092B-C50C-407E-A947-70E740481C1C}"/>
                      </a:extLst>
                    </a:blip>
                    <a:srcRect/>
                    <a:stretch>
                      <a:fillRect/>
                    </a:stretch>
                  </pic:blipFill>
                  <pic:spPr bwMode="auto">
                    <a:xfrm>
                      <a:off x="0" y="0"/>
                      <a:ext cx="1236345" cy="7620"/>
                    </a:xfrm>
                    <a:prstGeom prst="rect">
                      <a:avLst/>
                    </a:prstGeom>
                    <a:noFill/>
                  </pic:spPr>
                </pic:pic>
              </a:graphicData>
            </a:graphic>
          </wp:anchor>
        </w:drawing>
      </w:r>
    </w:p>
    <w:p>
      <w:pPr>
        <w:spacing w:after="0" w:line="3" w:lineRule="exact"/>
        <w:rPr>
          <w:sz w:val="20"/>
          <w:szCs w:val="20"/>
          <w:color w:val="auto"/>
        </w:rPr>
      </w:pPr>
    </w:p>
    <w:p>
      <w:pPr>
        <w:ind w:left="700" w:right="620" w:hanging="693"/>
        <w:spacing w:after="0" w:line="241" w:lineRule="auto"/>
        <w:tabs>
          <w:tab w:leader="none" w:pos="680" w:val="left"/>
        </w:tabs>
        <w:rPr>
          <w:rFonts w:ascii="Calibri" w:cs="Calibri" w:eastAsia="Calibri" w:hAnsi="Calibri"/>
          <w:sz w:val="15"/>
          <w:szCs w:val="15"/>
          <w:u w:val="single" w:color="auto"/>
          <w:color w:val="0000FF"/>
        </w:rPr>
      </w:pPr>
      <w:r>
        <w:rPr>
          <w:rFonts w:ascii="Calibri" w:cs="Calibri" w:eastAsia="Calibri" w:hAnsi="Calibri"/>
          <w:sz w:val="15"/>
          <w:szCs w:val="15"/>
          <w:color w:val="auto"/>
        </w:rPr>
        <w:t>10.25</w:t>
      </w:r>
      <w:r>
        <w:rPr>
          <w:sz w:val="20"/>
          <w:szCs w:val="20"/>
          <w:color w:val="auto"/>
        </w:rPr>
        <w:tab/>
      </w:r>
      <w:hyperlink r:id="rId544">
        <w:r>
          <w:rPr>
            <w:rFonts w:ascii="Calibri" w:cs="Calibri" w:eastAsia="Calibri" w:hAnsi="Calibri"/>
            <w:sz w:val="15"/>
            <w:szCs w:val="15"/>
            <w:u w:val="single" w:color="auto"/>
            <w:color w:val="0000FF"/>
          </w:rPr>
          <w:t>Indenture of Lease between S&amp;A P-12 Property LLC and the</w:t>
        </w:r>
      </w:hyperlink>
      <w:r>
        <w:rPr>
          <w:rFonts w:ascii="Calibri" w:cs="Calibri" w:eastAsia="Calibri" w:hAnsi="Calibri"/>
          <w:sz w:val="15"/>
          <w:szCs w:val="15"/>
          <w:u w:val="single" w:color="auto"/>
          <w:color w:val="0000FF"/>
        </w:rPr>
        <w:t xml:space="preserve"> </w:t>
      </w:r>
      <w:hyperlink r:id="rId544">
        <w:r>
          <w:rPr>
            <w:rFonts w:ascii="Calibri" w:cs="Calibri" w:eastAsia="Calibri" w:hAnsi="Calibri"/>
            <w:sz w:val="15"/>
            <w:szCs w:val="15"/>
            <w:u w:val="single" w:color="auto"/>
            <w:color w:val="0000FF"/>
          </w:rPr>
          <w:t>Registrant, dated as of December 19,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wp:posOffset>
            </wp:positionH>
            <wp:positionV relativeFrom="paragraph">
              <wp:posOffset>-133350</wp:posOffset>
            </wp:positionV>
            <wp:extent cx="2305685" cy="762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45">
                      <a:extLst>
                        <a:ext uri="{28A0092B-C50C-407E-A947-70E740481C1C}"/>
                      </a:extLst>
                    </a:blip>
                    <a:srcRect/>
                    <a:stretch>
                      <a:fillRect/>
                    </a:stretch>
                  </pic:blipFill>
                  <pic:spPr bwMode="auto">
                    <a:xfrm>
                      <a:off x="0" y="0"/>
                      <a:ext cx="2305685" cy="7620"/>
                    </a:xfrm>
                    <a:prstGeom prst="rect">
                      <a:avLst/>
                    </a:prstGeom>
                    <a:noFill/>
                  </pic:spPr>
                </pic:pic>
              </a:graphicData>
            </a:graphic>
          </wp:anchor>
        </w:drawing>
        <w:drawing>
          <wp:anchor simplePos="0" relativeHeight="251657728" behindDoc="1" locked="0" layoutInCell="0" allowOverlap="1">
            <wp:simplePos x="0" y="0"/>
            <wp:positionH relativeFrom="column">
              <wp:posOffset>439420</wp:posOffset>
            </wp:positionH>
            <wp:positionV relativeFrom="paragraph">
              <wp:posOffset>-16510</wp:posOffset>
            </wp:positionV>
            <wp:extent cx="1661160" cy="762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46">
                      <a:extLst>
                        <a:ext uri="{28A0092B-C50C-407E-A947-70E740481C1C}"/>
                      </a:extLst>
                    </a:blip>
                    <a:srcRect/>
                    <a:stretch>
                      <a:fillRect/>
                    </a:stretch>
                  </pic:blipFill>
                  <pic:spPr bwMode="auto">
                    <a:xfrm>
                      <a:off x="0" y="0"/>
                      <a:ext cx="1661160" cy="7620"/>
                    </a:xfrm>
                    <a:prstGeom prst="rect">
                      <a:avLst/>
                    </a:prstGeom>
                    <a:noFill/>
                  </pic:spPr>
                </pic:pic>
              </a:graphicData>
            </a:graphic>
          </wp:anchor>
        </w:drawing>
      </w:r>
    </w:p>
    <w:p>
      <w:pPr>
        <w:spacing w:after="0" w:line="3" w:lineRule="exact"/>
        <w:rPr>
          <w:sz w:val="20"/>
          <w:szCs w:val="20"/>
          <w:color w:val="auto"/>
        </w:rPr>
      </w:pPr>
    </w:p>
    <w:p>
      <w:pPr>
        <w:ind w:left="700" w:right="180" w:hanging="693"/>
        <w:spacing w:after="0" w:line="241" w:lineRule="auto"/>
        <w:tabs>
          <w:tab w:leader="none" w:pos="680" w:val="left"/>
        </w:tabs>
        <w:rPr>
          <w:rFonts w:ascii="Calibri" w:cs="Calibri" w:eastAsia="Calibri" w:hAnsi="Calibri"/>
          <w:sz w:val="15"/>
          <w:szCs w:val="15"/>
          <w:u w:val="single" w:color="auto"/>
          <w:color w:val="0000FF"/>
        </w:rPr>
      </w:pPr>
      <w:r>
        <w:rPr>
          <w:rFonts w:ascii="Calibri" w:cs="Calibri" w:eastAsia="Calibri" w:hAnsi="Calibri"/>
          <w:sz w:val="15"/>
          <w:szCs w:val="15"/>
          <w:color w:val="auto"/>
        </w:rPr>
        <w:t>10.26</w:t>
      </w:r>
      <w:r>
        <w:rPr>
          <w:sz w:val="20"/>
          <w:szCs w:val="20"/>
          <w:color w:val="auto"/>
        </w:rPr>
        <w:tab/>
      </w:r>
      <w:hyperlink r:id="rId547">
        <w:r>
          <w:rPr>
            <w:rFonts w:ascii="Calibri" w:cs="Calibri" w:eastAsia="Calibri" w:hAnsi="Calibri"/>
            <w:sz w:val="15"/>
            <w:szCs w:val="15"/>
            <w:u w:val="single" w:color="auto"/>
            <w:color w:val="0000FF"/>
          </w:rPr>
          <w:t>First Amendment to Lease between S&amp;A P-12 Property LLC and the</w:t>
        </w:r>
      </w:hyperlink>
      <w:r>
        <w:rPr>
          <w:rFonts w:ascii="Calibri" w:cs="Calibri" w:eastAsia="Calibri" w:hAnsi="Calibri"/>
          <w:sz w:val="15"/>
          <w:szCs w:val="15"/>
          <w:u w:val="single" w:color="auto"/>
          <w:color w:val="0000FF"/>
        </w:rPr>
        <w:t xml:space="preserve"> </w:t>
      </w:r>
      <w:hyperlink r:id="rId547">
        <w:r>
          <w:rPr>
            <w:rFonts w:ascii="Calibri" w:cs="Calibri" w:eastAsia="Calibri" w:hAnsi="Calibri"/>
            <w:sz w:val="15"/>
            <w:szCs w:val="15"/>
            <w:u w:val="single" w:color="auto"/>
            <w:color w:val="0000FF"/>
          </w:rPr>
          <w:t>Registrant, dated as of June 12,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wp:posOffset>
            </wp:positionH>
            <wp:positionV relativeFrom="paragraph">
              <wp:posOffset>-133350</wp:posOffset>
            </wp:positionV>
            <wp:extent cx="2595245" cy="762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48">
                      <a:extLst>
                        <a:ext uri="{28A0092B-C50C-407E-A947-70E740481C1C}"/>
                      </a:extLst>
                    </a:blip>
                    <a:srcRect/>
                    <a:stretch>
                      <a:fillRect/>
                    </a:stretch>
                  </pic:blipFill>
                  <pic:spPr bwMode="auto">
                    <a:xfrm>
                      <a:off x="0" y="0"/>
                      <a:ext cx="2595245" cy="7620"/>
                    </a:xfrm>
                    <a:prstGeom prst="rect">
                      <a:avLst/>
                    </a:prstGeom>
                    <a:noFill/>
                  </pic:spPr>
                </pic:pic>
              </a:graphicData>
            </a:graphic>
          </wp:anchor>
        </w:drawing>
        <w:drawing>
          <wp:anchor simplePos="0" relativeHeight="251657728" behindDoc="1" locked="0" layoutInCell="0" allowOverlap="1">
            <wp:simplePos x="0" y="0"/>
            <wp:positionH relativeFrom="column">
              <wp:posOffset>439420</wp:posOffset>
            </wp:positionH>
            <wp:positionV relativeFrom="paragraph">
              <wp:posOffset>-16510</wp:posOffset>
            </wp:positionV>
            <wp:extent cx="1439545" cy="762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49">
                      <a:extLst>
                        <a:ext uri="{28A0092B-C50C-407E-A947-70E740481C1C}"/>
                      </a:extLst>
                    </a:blip>
                    <a:srcRect/>
                    <a:stretch>
                      <a:fillRect/>
                    </a:stretch>
                  </pic:blipFill>
                  <pic:spPr bwMode="auto">
                    <a:xfrm>
                      <a:off x="0" y="0"/>
                      <a:ext cx="1439545" cy="7620"/>
                    </a:xfrm>
                    <a:prstGeom prst="rect">
                      <a:avLst/>
                    </a:prstGeom>
                    <a:noFill/>
                  </pic:spPr>
                </pic:pic>
              </a:graphicData>
            </a:graphic>
          </wp:anchor>
        </w:drawing>
      </w:r>
    </w:p>
    <w:p>
      <w:pPr>
        <w:spacing w:after="0" w:line="3" w:lineRule="exact"/>
        <w:rPr>
          <w:sz w:val="20"/>
          <w:szCs w:val="20"/>
          <w:color w:val="auto"/>
        </w:rPr>
      </w:pPr>
    </w:p>
    <w:p>
      <w:pPr>
        <w:ind w:left="700" w:right="60" w:hanging="693"/>
        <w:spacing w:after="0" w:line="241" w:lineRule="auto"/>
        <w:tabs>
          <w:tab w:leader="none" w:pos="680" w:val="left"/>
        </w:tabs>
        <w:rPr>
          <w:rFonts w:ascii="Calibri" w:cs="Calibri" w:eastAsia="Calibri" w:hAnsi="Calibri"/>
          <w:sz w:val="15"/>
          <w:szCs w:val="15"/>
          <w:u w:val="single" w:color="auto"/>
          <w:color w:val="0000FF"/>
        </w:rPr>
      </w:pPr>
      <w:r>
        <w:rPr>
          <w:rFonts w:ascii="Calibri" w:cs="Calibri" w:eastAsia="Calibri" w:hAnsi="Calibri"/>
          <w:sz w:val="15"/>
          <w:szCs w:val="15"/>
          <w:color w:val="auto"/>
        </w:rPr>
        <w:t>10.27</w:t>
      </w:r>
      <w:r>
        <w:rPr>
          <w:sz w:val="20"/>
          <w:szCs w:val="20"/>
          <w:color w:val="auto"/>
        </w:rPr>
        <w:tab/>
      </w:r>
      <w:hyperlink r:id="rId550">
        <w:r>
          <w:rPr>
            <w:rFonts w:ascii="Calibri" w:cs="Calibri" w:eastAsia="Calibri" w:hAnsi="Calibri"/>
            <w:sz w:val="15"/>
            <w:szCs w:val="15"/>
            <w:u w:val="single" w:color="auto"/>
            <w:color w:val="0000FF"/>
          </w:rPr>
          <w:t>Sublease, dated October 6, 2021, by and between the Registrant and</w:t>
        </w:r>
      </w:hyperlink>
      <w:r>
        <w:rPr>
          <w:rFonts w:ascii="Calibri" w:cs="Calibri" w:eastAsia="Calibri" w:hAnsi="Calibri"/>
          <w:sz w:val="15"/>
          <w:szCs w:val="15"/>
          <w:u w:val="single" w:color="auto"/>
          <w:color w:val="0000FF"/>
        </w:rPr>
        <w:t xml:space="preserve"> </w:t>
      </w:r>
      <w:hyperlink r:id="rId550">
        <w:r>
          <w:rPr>
            <w:rFonts w:ascii="Calibri" w:cs="Calibri" w:eastAsia="Calibri" w:hAnsi="Calibri"/>
            <w:sz w:val="15"/>
            <w:szCs w:val="15"/>
            <w:u w:val="single" w:color="auto"/>
            <w:color w:val="0000FF"/>
          </w:rPr>
          <w:t>HubSpot,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wp:posOffset>
            </wp:positionH>
            <wp:positionV relativeFrom="paragraph">
              <wp:posOffset>-133350</wp:posOffset>
            </wp:positionV>
            <wp:extent cx="2667635" cy="762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51">
                      <a:extLst>
                        <a:ext uri="{28A0092B-C50C-407E-A947-70E740481C1C}"/>
                      </a:extLst>
                    </a:blip>
                    <a:srcRect/>
                    <a:stretch>
                      <a:fillRect/>
                    </a:stretch>
                  </pic:blipFill>
                  <pic:spPr bwMode="auto">
                    <a:xfrm>
                      <a:off x="0" y="0"/>
                      <a:ext cx="2667635" cy="7620"/>
                    </a:xfrm>
                    <a:prstGeom prst="rect">
                      <a:avLst/>
                    </a:prstGeom>
                    <a:noFill/>
                  </pic:spPr>
                </pic:pic>
              </a:graphicData>
            </a:graphic>
          </wp:anchor>
        </w:drawing>
        <w:drawing>
          <wp:anchor simplePos="0" relativeHeight="251657728" behindDoc="1" locked="0" layoutInCell="0" allowOverlap="1">
            <wp:simplePos x="0" y="0"/>
            <wp:positionH relativeFrom="column">
              <wp:posOffset>439420</wp:posOffset>
            </wp:positionH>
            <wp:positionV relativeFrom="paragraph">
              <wp:posOffset>-16510</wp:posOffset>
            </wp:positionV>
            <wp:extent cx="517525" cy="762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52">
                      <a:extLst>
                        <a:ext uri="{28A0092B-C50C-407E-A947-70E740481C1C}"/>
                      </a:extLst>
                    </a:blip>
                    <a:srcRect/>
                    <a:stretch>
                      <a:fillRect/>
                    </a:stretch>
                  </pic:blipFill>
                  <pic:spPr bwMode="auto">
                    <a:xfrm>
                      <a:off x="0" y="0"/>
                      <a:ext cx="517525" cy="7620"/>
                    </a:xfrm>
                    <a:prstGeom prst="rect">
                      <a:avLst/>
                    </a:prstGeom>
                    <a:noFill/>
                  </pic:spPr>
                </pic:pic>
              </a:graphicData>
            </a:graphic>
          </wp:anchor>
        </w:drawing>
      </w:r>
    </w:p>
    <w:p>
      <w:pPr>
        <w:spacing w:after="0" w:line="3" w:lineRule="exact"/>
        <w:rPr>
          <w:sz w:val="20"/>
          <w:szCs w:val="20"/>
          <w:color w:val="auto"/>
        </w:rPr>
      </w:pPr>
    </w:p>
    <w:p>
      <w:pPr>
        <w:ind w:left="700" w:right="140" w:hanging="693"/>
        <w:spacing w:after="0" w:line="241" w:lineRule="auto"/>
        <w:tabs>
          <w:tab w:leader="none" w:pos="680" w:val="left"/>
        </w:tabs>
        <w:rPr>
          <w:rFonts w:ascii="Calibri" w:cs="Calibri" w:eastAsia="Calibri" w:hAnsi="Calibri"/>
          <w:sz w:val="15"/>
          <w:szCs w:val="15"/>
          <w:u w:val="single" w:color="auto"/>
          <w:color w:val="0000FF"/>
        </w:rPr>
      </w:pPr>
      <w:r>
        <w:rPr>
          <w:rFonts w:ascii="Calibri" w:cs="Calibri" w:eastAsia="Calibri" w:hAnsi="Calibri"/>
          <w:sz w:val="15"/>
          <w:szCs w:val="15"/>
          <w:color w:val="auto"/>
        </w:rPr>
        <w:t>10.28</w:t>
      </w:r>
      <w:r>
        <w:rPr>
          <w:sz w:val="20"/>
          <w:szCs w:val="20"/>
          <w:color w:val="auto"/>
        </w:rPr>
        <w:tab/>
      </w:r>
      <w:hyperlink r:id="rId553">
        <w:r>
          <w:rPr>
            <w:rFonts w:ascii="Calibri" w:cs="Calibri" w:eastAsia="Calibri" w:hAnsi="Calibri"/>
            <w:sz w:val="15"/>
            <w:szCs w:val="15"/>
            <w:u w:val="single" w:color="auto"/>
            <w:color w:val="0000FF"/>
          </w:rPr>
          <w:t>First Amendment to Sublease, dated July 31, 2022, by and between</w:t>
        </w:r>
      </w:hyperlink>
      <w:r>
        <w:rPr>
          <w:rFonts w:ascii="Calibri" w:cs="Calibri" w:eastAsia="Calibri" w:hAnsi="Calibri"/>
          <w:sz w:val="15"/>
          <w:szCs w:val="15"/>
          <w:u w:val="single" w:color="auto"/>
          <w:color w:val="0000FF"/>
        </w:rPr>
        <w:t xml:space="preserve"> </w:t>
      </w:r>
      <w:hyperlink r:id="rId553">
        <w:r>
          <w:rPr>
            <w:rFonts w:ascii="Calibri" w:cs="Calibri" w:eastAsia="Calibri" w:hAnsi="Calibri"/>
            <w:sz w:val="15"/>
            <w:szCs w:val="15"/>
            <w:u w:val="single" w:color="auto"/>
            <w:color w:val="0000FF"/>
          </w:rPr>
          <w:t>the Registrant and HubSpot,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wp:posOffset>
            </wp:positionH>
            <wp:positionV relativeFrom="paragraph">
              <wp:posOffset>-133350</wp:posOffset>
            </wp:positionV>
            <wp:extent cx="2611120" cy="762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54">
                      <a:extLst>
                        <a:ext uri="{28A0092B-C50C-407E-A947-70E740481C1C}"/>
                      </a:extLst>
                    </a:blip>
                    <a:srcRect/>
                    <a:stretch>
                      <a:fillRect/>
                    </a:stretch>
                  </pic:blipFill>
                  <pic:spPr bwMode="auto">
                    <a:xfrm>
                      <a:off x="0" y="0"/>
                      <a:ext cx="2611120" cy="7620"/>
                    </a:xfrm>
                    <a:prstGeom prst="rect">
                      <a:avLst/>
                    </a:prstGeom>
                    <a:noFill/>
                  </pic:spPr>
                </pic:pic>
              </a:graphicData>
            </a:graphic>
          </wp:anchor>
        </w:drawing>
        <w:drawing>
          <wp:anchor simplePos="0" relativeHeight="251657728" behindDoc="1" locked="0" layoutInCell="0" allowOverlap="1">
            <wp:simplePos x="0" y="0"/>
            <wp:positionH relativeFrom="column">
              <wp:posOffset>439420</wp:posOffset>
            </wp:positionH>
            <wp:positionV relativeFrom="paragraph">
              <wp:posOffset>-16510</wp:posOffset>
            </wp:positionV>
            <wp:extent cx="1245235" cy="762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55">
                      <a:extLst>
                        <a:ext uri="{28A0092B-C50C-407E-A947-70E740481C1C}"/>
                      </a:extLst>
                    </a:blip>
                    <a:srcRect/>
                    <a:stretch>
                      <a:fillRect/>
                    </a:stretch>
                  </pic:blipFill>
                  <pic:spPr bwMode="auto">
                    <a:xfrm>
                      <a:off x="0" y="0"/>
                      <a:ext cx="1245235" cy="7620"/>
                    </a:xfrm>
                    <a:prstGeom prst="rect">
                      <a:avLst/>
                    </a:prstGeom>
                    <a:noFill/>
                  </pic:spPr>
                </pic:pic>
              </a:graphicData>
            </a:graphic>
          </wp:anchor>
        </w:drawing>
      </w:r>
    </w:p>
    <w:p>
      <w:pPr>
        <w:spacing w:after="0" w:line="3" w:lineRule="exact"/>
        <w:rPr>
          <w:sz w:val="20"/>
          <w:szCs w:val="20"/>
          <w:color w:val="auto"/>
        </w:rPr>
      </w:pPr>
    </w:p>
    <w:p>
      <w:pPr>
        <w:ind w:left="700" w:right="120" w:hanging="693"/>
        <w:spacing w:after="0" w:line="241" w:lineRule="auto"/>
        <w:tabs>
          <w:tab w:leader="none" w:pos="680" w:val="left"/>
        </w:tabs>
        <w:rPr>
          <w:rFonts w:ascii="Calibri" w:cs="Calibri" w:eastAsia="Calibri" w:hAnsi="Calibri"/>
          <w:sz w:val="15"/>
          <w:szCs w:val="15"/>
          <w:u w:val="single" w:color="auto"/>
          <w:color w:val="0000FF"/>
        </w:rPr>
      </w:pPr>
      <w:r>
        <w:rPr>
          <w:rFonts w:ascii="Calibri" w:cs="Calibri" w:eastAsia="Calibri" w:hAnsi="Calibri"/>
          <w:sz w:val="15"/>
          <w:szCs w:val="15"/>
          <w:color w:val="auto"/>
        </w:rPr>
        <w:t>10.29</w:t>
      </w:r>
      <w:r>
        <w:rPr>
          <w:sz w:val="20"/>
          <w:szCs w:val="20"/>
          <w:color w:val="auto"/>
        </w:rPr>
        <w:tab/>
      </w:r>
      <w:hyperlink r:id="rId556">
        <w:r>
          <w:rPr>
            <w:rFonts w:ascii="Calibri" w:cs="Calibri" w:eastAsia="Calibri" w:hAnsi="Calibri"/>
            <w:sz w:val="15"/>
            <w:szCs w:val="15"/>
            <w:u w:val="single" w:color="auto"/>
            <w:color w:val="0000FF"/>
          </w:rPr>
          <w:t>Sublease, dated December 23, 2021, by and between the Registrant</w:t>
        </w:r>
      </w:hyperlink>
      <w:r>
        <w:rPr>
          <w:rFonts w:ascii="Calibri" w:cs="Calibri" w:eastAsia="Calibri" w:hAnsi="Calibri"/>
          <w:sz w:val="15"/>
          <w:szCs w:val="15"/>
          <w:u w:val="single" w:color="auto"/>
          <w:color w:val="0000FF"/>
        </w:rPr>
        <w:t xml:space="preserve"> </w:t>
      </w:r>
      <w:hyperlink r:id="rId556">
        <w:r>
          <w:rPr>
            <w:rFonts w:ascii="Calibri" w:cs="Calibri" w:eastAsia="Calibri" w:hAnsi="Calibri"/>
            <w:sz w:val="15"/>
            <w:szCs w:val="15"/>
            <w:u w:val="single" w:color="auto"/>
            <w:color w:val="0000FF"/>
          </w:rPr>
          <w:t>and Amylyx Pharmaceutcals,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wp:posOffset>
            </wp:positionH>
            <wp:positionV relativeFrom="paragraph">
              <wp:posOffset>-133350</wp:posOffset>
            </wp:positionV>
            <wp:extent cx="2633980" cy="762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57">
                      <a:extLst>
                        <a:ext uri="{28A0092B-C50C-407E-A947-70E740481C1C}"/>
                      </a:extLst>
                    </a:blip>
                    <a:srcRect/>
                    <a:stretch>
                      <a:fillRect/>
                    </a:stretch>
                  </pic:blipFill>
                  <pic:spPr bwMode="auto">
                    <a:xfrm>
                      <a:off x="0" y="0"/>
                      <a:ext cx="2633980" cy="7620"/>
                    </a:xfrm>
                    <a:prstGeom prst="rect">
                      <a:avLst/>
                    </a:prstGeom>
                    <a:noFill/>
                  </pic:spPr>
                </pic:pic>
              </a:graphicData>
            </a:graphic>
          </wp:anchor>
        </w:drawing>
        <w:drawing>
          <wp:anchor simplePos="0" relativeHeight="251657728" behindDoc="1" locked="0" layoutInCell="0" allowOverlap="1">
            <wp:simplePos x="0" y="0"/>
            <wp:positionH relativeFrom="column">
              <wp:posOffset>439420</wp:posOffset>
            </wp:positionH>
            <wp:positionV relativeFrom="paragraph">
              <wp:posOffset>-16510</wp:posOffset>
            </wp:positionV>
            <wp:extent cx="1282065" cy="762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58">
                      <a:extLst>
                        <a:ext uri="{28A0092B-C50C-407E-A947-70E740481C1C}"/>
                      </a:extLst>
                    </a:blip>
                    <a:srcRect/>
                    <a:stretch>
                      <a:fillRect/>
                    </a:stretch>
                  </pic:blipFill>
                  <pic:spPr bwMode="auto">
                    <a:xfrm>
                      <a:off x="0" y="0"/>
                      <a:ext cx="128206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3"/>
        </w:trPr>
        <w:tc>
          <w:tcPr>
            <w:tcW w:w="640" w:type="dxa"/>
            <w:vAlign w:val="bottom"/>
          </w:tcPr>
          <w:p>
            <w:pPr>
              <w:jc w:val="center"/>
              <w:ind w:right="203"/>
              <w:spacing w:after="0"/>
              <w:rPr>
                <w:sz w:val="20"/>
                <w:szCs w:val="20"/>
                <w:color w:val="auto"/>
              </w:rPr>
            </w:pPr>
            <w:r>
              <w:rPr>
                <w:rFonts w:ascii="Calibri" w:cs="Calibri" w:eastAsia="Calibri" w:hAnsi="Calibri"/>
                <w:sz w:val="15"/>
                <w:szCs w:val="15"/>
                <w:color w:val="auto"/>
                <w:w w:val="99"/>
              </w:rPr>
              <w:t>8-K</w:t>
            </w:r>
          </w:p>
        </w:tc>
        <w:tc>
          <w:tcPr>
            <w:tcW w:w="1400" w:type="dxa"/>
            <w:vAlign w:val="bottom"/>
          </w:tcPr>
          <w:p>
            <w:pPr>
              <w:jc w:val="center"/>
              <w:spacing w:after="0"/>
              <w:rPr>
                <w:sz w:val="20"/>
                <w:szCs w:val="20"/>
                <w:color w:val="auto"/>
              </w:rPr>
            </w:pPr>
            <w:r>
              <w:rPr>
                <w:rFonts w:ascii="Calibri" w:cs="Calibri" w:eastAsia="Calibri" w:hAnsi="Calibri"/>
                <w:sz w:val="15"/>
                <w:szCs w:val="15"/>
                <w:color w:val="auto"/>
              </w:rPr>
              <w:t>001-38233</w:t>
            </w:r>
          </w:p>
        </w:tc>
        <w:tc>
          <w:tcPr>
            <w:tcW w:w="1920" w:type="dxa"/>
            <w:vAlign w:val="bottom"/>
          </w:tcPr>
          <w:p>
            <w:pPr>
              <w:jc w:val="center"/>
              <w:spacing w:after="0"/>
              <w:rPr>
                <w:sz w:val="20"/>
                <w:szCs w:val="20"/>
                <w:color w:val="auto"/>
              </w:rPr>
            </w:pPr>
            <w:r>
              <w:rPr>
                <w:rFonts w:ascii="Calibri" w:cs="Calibri" w:eastAsia="Calibri" w:hAnsi="Calibri"/>
                <w:sz w:val="15"/>
                <w:szCs w:val="15"/>
                <w:color w:val="auto"/>
              </w:rPr>
              <w:t>October 30, 2023</w:t>
            </w:r>
          </w:p>
        </w:tc>
        <w:tc>
          <w:tcPr>
            <w:tcW w:w="680" w:type="dxa"/>
            <w:vAlign w:val="bottom"/>
          </w:tcPr>
          <w:p>
            <w:pPr>
              <w:jc w:val="center"/>
              <w:ind w:left="243"/>
              <w:spacing w:after="0"/>
              <w:rPr>
                <w:sz w:val="20"/>
                <w:szCs w:val="20"/>
                <w:color w:val="auto"/>
              </w:rPr>
            </w:pPr>
            <w:r>
              <w:rPr>
                <w:rFonts w:ascii="Calibri" w:cs="Calibri" w:eastAsia="Calibri" w:hAnsi="Calibri"/>
                <w:sz w:val="15"/>
                <w:szCs w:val="15"/>
                <w:color w:val="auto"/>
              </w:rPr>
              <w:t>10.2</w:t>
            </w:r>
          </w:p>
        </w:tc>
      </w:tr>
      <w:tr>
        <w:trPr>
          <w:trHeight w:val="391"/>
        </w:trPr>
        <w:tc>
          <w:tcPr>
            <w:tcW w:w="640" w:type="dxa"/>
            <w:vAlign w:val="bottom"/>
          </w:tcPr>
          <w:p>
            <w:pPr>
              <w:jc w:val="center"/>
              <w:ind w:right="223"/>
              <w:spacing w:after="0"/>
              <w:rPr>
                <w:sz w:val="20"/>
                <w:szCs w:val="20"/>
                <w:color w:val="auto"/>
              </w:rPr>
            </w:pPr>
            <w:r>
              <w:rPr>
                <w:rFonts w:ascii="Calibri" w:cs="Calibri" w:eastAsia="Calibri" w:hAnsi="Calibri"/>
                <w:sz w:val="15"/>
                <w:szCs w:val="15"/>
                <w:color w:val="auto"/>
              </w:rPr>
              <w:t>10-Q</w:t>
            </w:r>
          </w:p>
        </w:tc>
        <w:tc>
          <w:tcPr>
            <w:tcW w:w="1400" w:type="dxa"/>
            <w:vAlign w:val="bottom"/>
          </w:tcPr>
          <w:p>
            <w:pPr>
              <w:jc w:val="center"/>
              <w:spacing w:after="0"/>
              <w:rPr>
                <w:sz w:val="20"/>
                <w:szCs w:val="20"/>
                <w:color w:val="auto"/>
              </w:rPr>
            </w:pPr>
            <w:r>
              <w:rPr>
                <w:rFonts w:ascii="Calibri" w:cs="Calibri" w:eastAsia="Calibri" w:hAnsi="Calibri"/>
                <w:sz w:val="15"/>
                <w:szCs w:val="15"/>
                <w:color w:val="auto"/>
              </w:rPr>
              <w:t>001-38233</w:t>
            </w:r>
          </w:p>
        </w:tc>
        <w:tc>
          <w:tcPr>
            <w:tcW w:w="1920" w:type="dxa"/>
            <w:vAlign w:val="bottom"/>
          </w:tcPr>
          <w:p>
            <w:pPr>
              <w:jc w:val="center"/>
              <w:spacing w:after="0"/>
              <w:rPr>
                <w:sz w:val="20"/>
                <w:szCs w:val="20"/>
                <w:color w:val="auto"/>
              </w:rPr>
            </w:pPr>
            <w:r>
              <w:rPr>
                <w:rFonts w:ascii="Calibri" w:cs="Calibri" w:eastAsia="Calibri" w:hAnsi="Calibri"/>
                <w:sz w:val="15"/>
                <w:szCs w:val="15"/>
                <w:color w:val="auto"/>
              </w:rPr>
              <w:t>May 9, 2022</w:t>
            </w:r>
          </w:p>
        </w:tc>
        <w:tc>
          <w:tcPr>
            <w:tcW w:w="680" w:type="dxa"/>
            <w:vAlign w:val="bottom"/>
          </w:tcPr>
          <w:p>
            <w:pPr>
              <w:jc w:val="center"/>
              <w:ind w:left="243"/>
              <w:spacing w:after="0"/>
              <w:rPr>
                <w:sz w:val="20"/>
                <w:szCs w:val="20"/>
                <w:color w:val="auto"/>
              </w:rPr>
            </w:pPr>
            <w:r>
              <w:rPr>
                <w:rFonts w:ascii="Calibri" w:cs="Calibri" w:eastAsia="Calibri" w:hAnsi="Calibri"/>
                <w:sz w:val="15"/>
                <w:szCs w:val="15"/>
                <w:color w:val="auto"/>
              </w:rPr>
              <w:t>10.2</w:t>
            </w:r>
          </w:p>
        </w:tc>
      </w:tr>
      <w:tr>
        <w:trPr>
          <w:trHeight w:val="391"/>
        </w:trPr>
        <w:tc>
          <w:tcPr>
            <w:tcW w:w="640" w:type="dxa"/>
            <w:vAlign w:val="bottom"/>
          </w:tcPr>
          <w:p>
            <w:pPr>
              <w:jc w:val="center"/>
              <w:ind w:right="223"/>
              <w:spacing w:after="0"/>
              <w:rPr>
                <w:sz w:val="20"/>
                <w:szCs w:val="20"/>
                <w:color w:val="auto"/>
              </w:rPr>
            </w:pPr>
            <w:r>
              <w:rPr>
                <w:rFonts w:ascii="Calibri" w:cs="Calibri" w:eastAsia="Calibri" w:hAnsi="Calibri"/>
                <w:sz w:val="15"/>
                <w:szCs w:val="15"/>
                <w:color w:val="auto"/>
              </w:rPr>
              <w:t>10-Q</w:t>
            </w:r>
          </w:p>
        </w:tc>
        <w:tc>
          <w:tcPr>
            <w:tcW w:w="1400" w:type="dxa"/>
            <w:vAlign w:val="bottom"/>
          </w:tcPr>
          <w:p>
            <w:pPr>
              <w:jc w:val="center"/>
              <w:spacing w:after="0"/>
              <w:rPr>
                <w:sz w:val="20"/>
                <w:szCs w:val="20"/>
                <w:color w:val="auto"/>
              </w:rPr>
            </w:pPr>
            <w:r>
              <w:rPr>
                <w:rFonts w:ascii="Calibri" w:cs="Calibri" w:eastAsia="Calibri" w:hAnsi="Calibri"/>
                <w:sz w:val="15"/>
                <w:szCs w:val="15"/>
                <w:color w:val="auto"/>
              </w:rPr>
              <w:t>001-38233</w:t>
            </w:r>
          </w:p>
        </w:tc>
        <w:tc>
          <w:tcPr>
            <w:tcW w:w="1920" w:type="dxa"/>
            <w:vAlign w:val="bottom"/>
          </w:tcPr>
          <w:p>
            <w:pPr>
              <w:jc w:val="center"/>
              <w:spacing w:after="0"/>
              <w:rPr>
                <w:sz w:val="20"/>
                <w:szCs w:val="20"/>
                <w:color w:val="auto"/>
              </w:rPr>
            </w:pPr>
            <w:r>
              <w:rPr>
                <w:rFonts w:ascii="Calibri" w:cs="Calibri" w:eastAsia="Calibri" w:hAnsi="Calibri"/>
                <w:sz w:val="15"/>
                <w:szCs w:val="15"/>
                <w:color w:val="auto"/>
              </w:rPr>
              <w:t>May 9, 2022</w:t>
            </w:r>
          </w:p>
        </w:tc>
        <w:tc>
          <w:tcPr>
            <w:tcW w:w="680" w:type="dxa"/>
            <w:vAlign w:val="bottom"/>
          </w:tcPr>
          <w:p>
            <w:pPr>
              <w:jc w:val="center"/>
              <w:ind w:left="243"/>
              <w:spacing w:after="0"/>
              <w:rPr>
                <w:sz w:val="20"/>
                <w:szCs w:val="20"/>
                <w:color w:val="auto"/>
              </w:rPr>
            </w:pPr>
            <w:r>
              <w:rPr>
                <w:rFonts w:ascii="Calibri" w:cs="Calibri" w:eastAsia="Calibri" w:hAnsi="Calibri"/>
                <w:sz w:val="15"/>
                <w:szCs w:val="15"/>
                <w:color w:val="auto"/>
              </w:rPr>
              <w:t>10.3</w:t>
            </w:r>
          </w:p>
        </w:tc>
      </w:tr>
      <w:tr>
        <w:trPr>
          <w:trHeight w:val="391"/>
        </w:trPr>
        <w:tc>
          <w:tcPr>
            <w:tcW w:w="640" w:type="dxa"/>
            <w:vAlign w:val="bottom"/>
          </w:tcPr>
          <w:p>
            <w:pPr>
              <w:jc w:val="center"/>
              <w:ind w:right="223"/>
              <w:spacing w:after="0"/>
              <w:rPr>
                <w:sz w:val="20"/>
                <w:szCs w:val="20"/>
                <w:color w:val="auto"/>
              </w:rPr>
            </w:pPr>
            <w:r>
              <w:rPr>
                <w:rFonts w:ascii="Calibri" w:cs="Calibri" w:eastAsia="Calibri" w:hAnsi="Calibri"/>
                <w:sz w:val="15"/>
                <w:szCs w:val="15"/>
                <w:color w:val="auto"/>
              </w:rPr>
              <w:t>10-Q</w:t>
            </w:r>
          </w:p>
        </w:tc>
        <w:tc>
          <w:tcPr>
            <w:tcW w:w="1400" w:type="dxa"/>
            <w:vAlign w:val="bottom"/>
          </w:tcPr>
          <w:p>
            <w:pPr>
              <w:jc w:val="center"/>
              <w:spacing w:after="0"/>
              <w:rPr>
                <w:sz w:val="20"/>
                <w:szCs w:val="20"/>
                <w:color w:val="auto"/>
              </w:rPr>
            </w:pPr>
            <w:r>
              <w:rPr>
                <w:rFonts w:ascii="Calibri" w:cs="Calibri" w:eastAsia="Calibri" w:hAnsi="Calibri"/>
                <w:sz w:val="15"/>
                <w:szCs w:val="15"/>
                <w:color w:val="auto"/>
              </w:rPr>
              <w:t>001-38233</w:t>
            </w:r>
          </w:p>
        </w:tc>
        <w:tc>
          <w:tcPr>
            <w:tcW w:w="1920" w:type="dxa"/>
            <w:vAlign w:val="bottom"/>
          </w:tcPr>
          <w:p>
            <w:pPr>
              <w:jc w:val="center"/>
              <w:spacing w:after="0"/>
              <w:rPr>
                <w:sz w:val="20"/>
                <w:szCs w:val="20"/>
                <w:color w:val="auto"/>
              </w:rPr>
            </w:pPr>
            <w:r>
              <w:rPr>
                <w:rFonts w:ascii="Calibri" w:cs="Calibri" w:eastAsia="Calibri" w:hAnsi="Calibri"/>
                <w:sz w:val="15"/>
                <w:szCs w:val="15"/>
                <w:color w:val="auto"/>
              </w:rPr>
              <w:t>May 9, 2023</w:t>
            </w:r>
          </w:p>
        </w:tc>
        <w:tc>
          <w:tcPr>
            <w:tcW w:w="680" w:type="dxa"/>
            <w:vAlign w:val="bottom"/>
          </w:tcPr>
          <w:p>
            <w:pPr>
              <w:jc w:val="center"/>
              <w:ind w:left="243"/>
              <w:spacing w:after="0"/>
              <w:rPr>
                <w:sz w:val="20"/>
                <w:szCs w:val="20"/>
                <w:color w:val="auto"/>
              </w:rPr>
            </w:pPr>
            <w:r>
              <w:rPr>
                <w:rFonts w:ascii="Calibri" w:cs="Calibri" w:eastAsia="Calibri" w:hAnsi="Calibri"/>
                <w:sz w:val="15"/>
                <w:szCs w:val="15"/>
                <w:color w:val="auto"/>
              </w:rPr>
              <w:t>10.1</w:t>
            </w:r>
          </w:p>
        </w:tc>
      </w:tr>
      <w:tr>
        <w:trPr>
          <w:trHeight w:val="391"/>
        </w:trPr>
        <w:tc>
          <w:tcPr>
            <w:tcW w:w="640" w:type="dxa"/>
            <w:vAlign w:val="bottom"/>
          </w:tcPr>
          <w:p>
            <w:pPr>
              <w:jc w:val="center"/>
              <w:ind w:right="203"/>
              <w:spacing w:after="0"/>
              <w:rPr>
                <w:sz w:val="20"/>
                <w:szCs w:val="20"/>
                <w:color w:val="auto"/>
              </w:rPr>
            </w:pPr>
            <w:r>
              <w:rPr>
                <w:rFonts w:ascii="Calibri" w:cs="Calibri" w:eastAsia="Calibri" w:hAnsi="Calibri"/>
                <w:sz w:val="15"/>
                <w:szCs w:val="15"/>
                <w:color w:val="auto"/>
              </w:rPr>
              <w:t>10-K</w:t>
            </w:r>
          </w:p>
        </w:tc>
        <w:tc>
          <w:tcPr>
            <w:tcW w:w="1400" w:type="dxa"/>
            <w:vAlign w:val="bottom"/>
          </w:tcPr>
          <w:p>
            <w:pPr>
              <w:jc w:val="center"/>
              <w:spacing w:after="0"/>
              <w:rPr>
                <w:sz w:val="20"/>
                <w:szCs w:val="20"/>
                <w:color w:val="auto"/>
              </w:rPr>
            </w:pPr>
            <w:r>
              <w:rPr>
                <w:rFonts w:ascii="Calibri" w:cs="Calibri" w:eastAsia="Calibri" w:hAnsi="Calibri"/>
                <w:sz w:val="15"/>
                <w:szCs w:val="15"/>
                <w:color w:val="auto"/>
              </w:rPr>
              <w:t>001-38233</w:t>
            </w:r>
          </w:p>
        </w:tc>
        <w:tc>
          <w:tcPr>
            <w:tcW w:w="1920" w:type="dxa"/>
            <w:vAlign w:val="bottom"/>
          </w:tcPr>
          <w:p>
            <w:pPr>
              <w:jc w:val="center"/>
              <w:spacing w:after="0"/>
              <w:rPr>
                <w:sz w:val="20"/>
                <w:szCs w:val="20"/>
                <w:color w:val="auto"/>
              </w:rPr>
            </w:pPr>
            <w:r>
              <w:rPr>
                <w:rFonts w:ascii="Calibri" w:cs="Calibri" w:eastAsia="Calibri" w:hAnsi="Calibri"/>
                <w:sz w:val="15"/>
                <w:szCs w:val="15"/>
                <w:color w:val="auto"/>
                <w:w w:val="99"/>
              </w:rPr>
              <w:t>February 28, 2019</w:t>
            </w:r>
          </w:p>
        </w:tc>
        <w:tc>
          <w:tcPr>
            <w:tcW w:w="680" w:type="dxa"/>
            <w:vAlign w:val="bottom"/>
          </w:tcPr>
          <w:p>
            <w:pPr>
              <w:jc w:val="center"/>
              <w:ind w:left="243"/>
              <w:spacing w:after="0"/>
              <w:rPr>
                <w:sz w:val="20"/>
                <w:szCs w:val="20"/>
                <w:color w:val="auto"/>
              </w:rPr>
            </w:pPr>
            <w:r>
              <w:rPr>
                <w:rFonts w:ascii="Calibri" w:cs="Calibri" w:eastAsia="Calibri" w:hAnsi="Calibri"/>
                <w:sz w:val="15"/>
                <w:szCs w:val="15"/>
                <w:color w:val="auto"/>
              </w:rPr>
              <w:t>10.8</w:t>
            </w:r>
          </w:p>
        </w:tc>
      </w:tr>
      <w:tr>
        <w:trPr>
          <w:trHeight w:val="391"/>
        </w:trPr>
        <w:tc>
          <w:tcPr>
            <w:tcW w:w="640" w:type="dxa"/>
            <w:vAlign w:val="bottom"/>
          </w:tcPr>
          <w:p>
            <w:pPr>
              <w:jc w:val="center"/>
              <w:ind w:right="223"/>
              <w:spacing w:after="0"/>
              <w:rPr>
                <w:sz w:val="20"/>
                <w:szCs w:val="20"/>
                <w:color w:val="auto"/>
              </w:rPr>
            </w:pPr>
            <w:r>
              <w:rPr>
                <w:rFonts w:ascii="Calibri" w:cs="Calibri" w:eastAsia="Calibri" w:hAnsi="Calibri"/>
                <w:sz w:val="15"/>
                <w:szCs w:val="15"/>
                <w:color w:val="auto"/>
              </w:rPr>
              <w:t>10-Q</w:t>
            </w:r>
          </w:p>
        </w:tc>
        <w:tc>
          <w:tcPr>
            <w:tcW w:w="1400" w:type="dxa"/>
            <w:vAlign w:val="bottom"/>
          </w:tcPr>
          <w:p>
            <w:pPr>
              <w:jc w:val="center"/>
              <w:spacing w:after="0"/>
              <w:rPr>
                <w:sz w:val="20"/>
                <w:szCs w:val="20"/>
                <w:color w:val="auto"/>
              </w:rPr>
            </w:pPr>
            <w:r>
              <w:rPr>
                <w:rFonts w:ascii="Calibri" w:cs="Calibri" w:eastAsia="Calibri" w:hAnsi="Calibri"/>
                <w:sz w:val="15"/>
                <w:szCs w:val="15"/>
                <w:color w:val="auto"/>
              </w:rPr>
              <w:t>001-38233</w:t>
            </w:r>
          </w:p>
        </w:tc>
        <w:tc>
          <w:tcPr>
            <w:tcW w:w="1920" w:type="dxa"/>
            <w:vAlign w:val="bottom"/>
          </w:tcPr>
          <w:p>
            <w:pPr>
              <w:jc w:val="center"/>
              <w:spacing w:after="0"/>
              <w:rPr>
                <w:sz w:val="20"/>
                <w:szCs w:val="20"/>
                <w:color w:val="auto"/>
              </w:rPr>
            </w:pPr>
            <w:r>
              <w:rPr>
                <w:rFonts w:ascii="Calibri" w:cs="Calibri" w:eastAsia="Calibri" w:hAnsi="Calibri"/>
                <w:sz w:val="15"/>
                <w:szCs w:val="15"/>
                <w:color w:val="auto"/>
                <w:w w:val="98"/>
              </w:rPr>
              <w:t>August 9, 2023</w:t>
            </w:r>
          </w:p>
        </w:tc>
        <w:tc>
          <w:tcPr>
            <w:tcW w:w="680" w:type="dxa"/>
            <w:vAlign w:val="bottom"/>
          </w:tcPr>
          <w:p>
            <w:pPr>
              <w:jc w:val="center"/>
              <w:ind w:left="243"/>
              <w:spacing w:after="0"/>
              <w:rPr>
                <w:sz w:val="20"/>
                <w:szCs w:val="20"/>
                <w:color w:val="auto"/>
              </w:rPr>
            </w:pPr>
            <w:r>
              <w:rPr>
                <w:rFonts w:ascii="Calibri" w:cs="Calibri" w:eastAsia="Calibri" w:hAnsi="Calibri"/>
                <w:sz w:val="15"/>
                <w:szCs w:val="15"/>
                <w:color w:val="auto"/>
              </w:rPr>
              <w:t>10.1</w:t>
            </w:r>
          </w:p>
        </w:tc>
      </w:tr>
      <w:tr>
        <w:trPr>
          <w:trHeight w:val="391"/>
        </w:trPr>
        <w:tc>
          <w:tcPr>
            <w:tcW w:w="640" w:type="dxa"/>
            <w:vAlign w:val="bottom"/>
          </w:tcPr>
          <w:p>
            <w:pPr>
              <w:jc w:val="center"/>
              <w:ind w:right="203"/>
              <w:spacing w:after="0"/>
              <w:rPr>
                <w:sz w:val="20"/>
                <w:szCs w:val="20"/>
                <w:color w:val="auto"/>
              </w:rPr>
            </w:pPr>
            <w:r>
              <w:rPr>
                <w:rFonts w:ascii="Calibri" w:cs="Calibri" w:eastAsia="Calibri" w:hAnsi="Calibri"/>
                <w:sz w:val="15"/>
                <w:szCs w:val="15"/>
                <w:color w:val="auto"/>
              </w:rPr>
              <w:t>10-K</w:t>
            </w:r>
          </w:p>
        </w:tc>
        <w:tc>
          <w:tcPr>
            <w:tcW w:w="1400" w:type="dxa"/>
            <w:vAlign w:val="bottom"/>
          </w:tcPr>
          <w:p>
            <w:pPr>
              <w:jc w:val="center"/>
              <w:spacing w:after="0"/>
              <w:rPr>
                <w:sz w:val="20"/>
                <w:szCs w:val="20"/>
                <w:color w:val="auto"/>
              </w:rPr>
            </w:pPr>
            <w:r>
              <w:rPr>
                <w:rFonts w:ascii="Calibri" w:cs="Calibri" w:eastAsia="Calibri" w:hAnsi="Calibri"/>
                <w:sz w:val="15"/>
                <w:szCs w:val="15"/>
                <w:color w:val="auto"/>
              </w:rPr>
              <w:t>001-38233</w:t>
            </w:r>
          </w:p>
        </w:tc>
        <w:tc>
          <w:tcPr>
            <w:tcW w:w="1920" w:type="dxa"/>
            <w:vAlign w:val="bottom"/>
          </w:tcPr>
          <w:p>
            <w:pPr>
              <w:jc w:val="center"/>
              <w:spacing w:after="0"/>
              <w:rPr>
                <w:sz w:val="20"/>
                <w:szCs w:val="20"/>
                <w:color w:val="auto"/>
              </w:rPr>
            </w:pPr>
            <w:r>
              <w:rPr>
                <w:rFonts w:ascii="Calibri" w:cs="Calibri" w:eastAsia="Calibri" w:hAnsi="Calibri"/>
                <w:sz w:val="15"/>
                <w:szCs w:val="15"/>
                <w:color w:val="auto"/>
                <w:w w:val="99"/>
              </w:rPr>
              <w:t>February 12, 2021</w:t>
            </w:r>
          </w:p>
        </w:tc>
        <w:tc>
          <w:tcPr>
            <w:tcW w:w="680" w:type="dxa"/>
            <w:vAlign w:val="bottom"/>
          </w:tcPr>
          <w:p>
            <w:pPr>
              <w:jc w:val="center"/>
              <w:ind w:left="243"/>
              <w:spacing w:after="0"/>
              <w:rPr>
                <w:sz w:val="20"/>
                <w:szCs w:val="20"/>
                <w:color w:val="auto"/>
              </w:rPr>
            </w:pPr>
            <w:r>
              <w:rPr>
                <w:rFonts w:ascii="Calibri" w:cs="Calibri" w:eastAsia="Calibri" w:hAnsi="Calibri"/>
                <w:sz w:val="15"/>
                <w:szCs w:val="15"/>
                <w:color w:val="auto"/>
              </w:rPr>
              <w:t>10.10</w:t>
            </w:r>
          </w:p>
        </w:tc>
      </w:tr>
      <w:tr>
        <w:trPr>
          <w:trHeight w:val="391"/>
        </w:trPr>
        <w:tc>
          <w:tcPr>
            <w:tcW w:w="640" w:type="dxa"/>
            <w:vAlign w:val="bottom"/>
          </w:tcPr>
          <w:p>
            <w:pPr>
              <w:jc w:val="center"/>
              <w:ind w:right="223"/>
              <w:spacing w:after="0"/>
              <w:rPr>
                <w:sz w:val="20"/>
                <w:szCs w:val="20"/>
                <w:color w:val="auto"/>
              </w:rPr>
            </w:pPr>
            <w:r>
              <w:rPr>
                <w:rFonts w:ascii="Calibri" w:cs="Calibri" w:eastAsia="Calibri" w:hAnsi="Calibri"/>
                <w:sz w:val="15"/>
                <w:szCs w:val="15"/>
                <w:color w:val="auto"/>
                <w:w w:val="94"/>
              </w:rPr>
              <w:t>S-1</w:t>
            </w:r>
          </w:p>
        </w:tc>
        <w:tc>
          <w:tcPr>
            <w:tcW w:w="1400" w:type="dxa"/>
            <w:vAlign w:val="bottom"/>
          </w:tcPr>
          <w:p>
            <w:pPr>
              <w:jc w:val="center"/>
              <w:spacing w:after="0"/>
              <w:rPr>
                <w:sz w:val="20"/>
                <w:szCs w:val="20"/>
                <w:color w:val="auto"/>
              </w:rPr>
            </w:pPr>
            <w:r>
              <w:rPr>
                <w:rFonts w:ascii="Calibri" w:cs="Calibri" w:eastAsia="Calibri" w:hAnsi="Calibri"/>
                <w:sz w:val="15"/>
                <w:szCs w:val="15"/>
                <w:color w:val="auto"/>
              </w:rPr>
              <w:t>333-220495</w:t>
            </w:r>
          </w:p>
        </w:tc>
        <w:tc>
          <w:tcPr>
            <w:tcW w:w="1920" w:type="dxa"/>
            <w:vAlign w:val="bottom"/>
          </w:tcPr>
          <w:p>
            <w:pPr>
              <w:jc w:val="center"/>
              <w:spacing w:after="0"/>
              <w:rPr>
                <w:sz w:val="20"/>
                <w:szCs w:val="20"/>
                <w:color w:val="auto"/>
              </w:rPr>
            </w:pPr>
            <w:r>
              <w:rPr>
                <w:rFonts w:ascii="Calibri" w:cs="Calibri" w:eastAsia="Calibri" w:hAnsi="Calibri"/>
                <w:sz w:val="15"/>
                <w:szCs w:val="15"/>
                <w:color w:val="auto"/>
              </w:rPr>
              <w:t>September 15, 2017</w:t>
            </w:r>
          </w:p>
        </w:tc>
        <w:tc>
          <w:tcPr>
            <w:tcW w:w="680" w:type="dxa"/>
            <w:vAlign w:val="bottom"/>
          </w:tcPr>
          <w:p>
            <w:pPr>
              <w:jc w:val="center"/>
              <w:ind w:left="243"/>
              <w:spacing w:after="0"/>
              <w:rPr>
                <w:sz w:val="20"/>
                <w:szCs w:val="20"/>
                <w:color w:val="auto"/>
              </w:rPr>
            </w:pPr>
            <w:r>
              <w:rPr>
                <w:rFonts w:ascii="Calibri" w:cs="Calibri" w:eastAsia="Calibri" w:hAnsi="Calibri"/>
                <w:sz w:val="15"/>
                <w:szCs w:val="15"/>
                <w:color w:val="auto"/>
              </w:rPr>
              <w:t>10.8</w:t>
            </w:r>
          </w:p>
        </w:tc>
      </w:tr>
      <w:tr>
        <w:trPr>
          <w:trHeight w:val="391"/>
        </w:trPr>
        <w:tc>
          <w:tcPr>
            <w:tcW w:w="640" w:type="dxa"/>
            <w:vAlign w:val="bottom"/>
          </w:tcPr>
          <w:p>
            <w:pPr>
              <w:jc w:val="center"/>
              <w:ind w:right="223"/>
              <w:spacing w:after="0"/>
              <w:rPr>
                <w:sz w:val="20"/>
                <w:szCs w:val="20"/>
                <w:color w:val="auto"/>
              </w:rPr>
            </w:pPr>
            <w:r>
              <w:rPr>
                <w:rFonts w:ascii="Calibri" w:cs="Calibri" w:eastAsia="Calibri" w:hAnsi="Calibri"/>
                <w:sz w:val="15"/>
                <w:szCs w:val="15"/>
                <w:color w:val="auto"/>
              </w:rPr>
              <w:t>10-Q</w:t>
            </w:r>
          </w:p>
        </w:tc>
        <w:tc>
          <w:tcPr>
            <w:tcW w:w="1400" w:type="dxa"/>
            <w:vAlign w:val="bottom"/>
          </w:tcPr>
          <w:p>
            <w:pPr>
              <w:jc w:val="center"/>
              <w:spacing w:after="0"/>
              <w:rPr>
                <w:sz w:val="20"/>
                <w:szCs w:val="20"/>
                <w:color w:val="auto"/>
              </w:rPr>
            </w:pPr>
            <w:r>
              <w:rPr>
                <w:rFonts w:ascii="Calibri" w:cs="Calibri" w:eastAsia="Calibri" w:hAnsi="Calibri"/>
                <w:sz w:val="15"/>
                <w:szCs w:val="15"/>
                <w:color w:val="auto"/>
              </w:rPr>
              <w:t>001-38233</w:t>
            </w:r>
          </w:p>
        </w:tc>
        <w:tc>
          <w:tcPr>
            <w:tcW w:w="1920" w:type="dxa"/>
            <w:vAlign w:val="bottom"/>
          </w:tcPr>
          <w:p>
            <w:pPr>
              <w:jc w:val="center"/>
              <w:spacing w:after="0"/>
              <w:rPr>
                <w:sz w:val="20"/>
                <w:szCs w:val="20"/>
                <w:color w:val="auto"/>
              </w:rPr>
            </w:pPr>
            <w:r>
              <w:rPr>
                <w:rFonts w:ascii="Calibri" w:cs="Calibri" w:eastAsia="Calibri" w:hAnsi="Calibri"/>
                <w:sz w:val="15"/>
                <w:szCs w:val="15"/>
                <w:color w:val="auto"/>
                <w:w w:val="99"/>
              </w:rPr>
              <w:t>November 5, 2020</w:t>
            </w:r>
          </w:p>
        </w:tc>
        <w:tc>
          <w:tcPr>
            <w:tcW w:w="680" w:type="dxa"/>
            <w:vAlign w:val="bottom"/>
          </w:tcPr>
          <w:p>
            <w:pPr>
              <w:jc w:val="center"/>
              <w:ind w:left="243"/>
              <w:spacing w:after="0"/>
              <w:rPr>
                <w:sz w:val="20"/>
                <w:szCs w:val="20"/>
                <w:color w:val="auto"/>
              </w:rPr>
            </w:pPr>
            <w:r>
              <w:rPr>
                <w:rFonts w:ascii="Calibri" w:cs="Calibri" w:eastAsia="Calibri" w:hAnsi="Calibri"/>
                <w:sz w:val="15"/>
                <w:szCs w:val="15"/>
                <w:color w:val="auto"/>
              </w:rPr>
              <w:t>10.2</w:t>
            </w:r>
          </w:p>
        </w:tc>
      </w:tr>
      <w:tr>
        <w:trPr>
          <w:trHeight w:val="391"/>
        </w:trPr>
        <w:tc>
          <w:tcPr>
            <w:tcW w:w="640" w:type="dxa"/>
            <w:vAlign w:val="bottom"/>
          </w:tcPr>
          <w:p>
            <w:pPr>
              <w:jc w:val="center"/>
              <w:ind w:right="223"/>
              <w:spacing w:after="0"/>
              <w:rPr>
                <w:sz w:val="20"/>
                <w:szCs w:val="20"/>
                <w:color w:val="auto"/>
              </w:rPr>
            </w:pPr>
            <w:r>
              <w:rPr>
                <w:rFonts w:ascii="Calibri" w:cs="Calibri" w:eastAsia="Calibri" w:hAnsi="Calibri"/>
                <w:sz w:val="15"/>
                <w:szCs w:val="15"/>
                <w:color w:val="auto"/>
              </w:rPr>
              <w:t>10-Q</w:t>
            </w:r>
          </w:p>
        </w:tc>
        <w:tc>
          <w:tcPr>
            <w:tcW w:w="1400" w:type="dxa"/>
            <w:vAlign w:val="bottom"/>
          </w:tcPr>
          <w:p>
            <w:pPr>
              <w:jc w:val="center"/>
              <w:spacing w:after="0"/>
              <w:rPr>
                <w:sz w:val="20"/>
                <w:szCs w:val="20"/>
                <w:color w:val="auto"/>
              </w:rPr>
            </w:pPr>
            <w:r>
              <w:rPr>
                <w:rFonts w:ascii="Calibri" w:cs="Calibri" w:eastAsia="Calibri" w:hAnsi="Calibri"/>
                <w:sz w:val="15"/>
                <w:szCs w:val="15"/>
                <w:color w:val="auto"/>
              </w:rPr>
              <w:t>001-38233</w:t>
            </w:r>
          </w:p>
        </w:tc>
        <w:tc>
          <w:tcPr>
            <w:tcW w:w="1920" w:type="dxa"/>
            <w:vAlign w:val="bottom"/>
          </w:tcPr>
          <w:p>
            <w:pPr>
              <w:jc w:val="center"/>
              <w:spacing w:after="0"/>
              <w:rPr>
                <w:sz w:val="20"/>
                <w:szCs w:val="20"/>
                <w:color w:val="auto"/>
              </w:rPr>
            </w:pPr>
            <w:r>
              <w:rPr>
                <w:rFonts w:ascii="Calibri" w:cs="Calibri" w:eastAsia="Calibri" w:hAnsi="Calibri"/>
                <w:sz w:val="15"/>
                <w:szCs w:val="15"/>
                <w:color w:val="auto"/>
                <w:w w:val="99"/>
              </w:rPr>
              <w:t>November 5, 2020</w:t>
            </w:r>
          </w:p>
        </w:tc>
        <w:tc>
          <w:tcPr>
            <w:tcW w:w="680" w:type="dxa"/>
            <w:vAlign w:val="bottom"/>
          </w:tcPr>
          <w:p>
            <w:pPr>
              <w:jc w:val="center"/>
              <w:ind w:left="243"/>
              <w:spacing w:after="0"/>
              <w:rPr>
                <w:sz w:val="20"/>
                <w:szCs w:val="20"/>
                <w:color w:val="auto"/>
              </w:rPr>
            </w:pPr>
            <w:r>
              <w:rPr>
                <w:rFonts w:ascii="Calibri" w:cs="Calibri" w:eastAsia="Calibri" w:hAnsi="Calibri"/>
                <w:sz w:val="15"/>
                <w:szCs w:val="15"/>
                <w:color w:val="auto"/>
              </w:rPr>
              <w:t>10.3</w:t>
            </w:r>
          </w:p>
        </w:tc>
      </w:tr>
      <w:tr>
        <w:trPr>
          <w:trHeight w:val="575"/>
        </w:trPr>
        <w:tc>
          <w:tcPr>
            <w:tcW w:w="640" w:type="dxa"/>
            <w:vAlign w:val="bottom"/>
          </w:tcPr>
          <w:p>
            <w:pPr>
              <w:jc w:val="center"/>
              <w:ind w:right="223"/>
              <w:spacing w:after="0"/>
              <w:rPr>
                <w:sz w:val="20"/>
                <w:szCs w:val="20"/>
                <w:color w:val="auto"/>
              </w:rPr>
            </w:pPr>
            <w:r>
              <w:rPr>
                <w:rFonts w:ascii="Calibri" w:cs="Calibri" w:eastAsia="Calibri" w:hAnsi="Calibri"/>
                <w:sz w:val="15"/>
                <w:szCs w:val="15"/>
                <w:color w:val="auto"/>
                <w:w w:val="94"/>
              </w:rPr>
              <w:t>S-1</w:t>
            </w:r>
          </w:p>
        </w:tc>
        <w:tc>
          <w:tcPr>
            <w:tcW w:w="1400" w:type="dxa"/>
            <w:vAlign w:val="bottom"/>
          </w:tcPr>
          <w:p>
            <w:pPr>
              <w:jc w:val="center"/>
              <w:spacing w:after="0"/>
              <w:rPr>
                <w:sz w:val="20"/>
                <w:szCs w:val="20"/>
                <w:color w:val="auto"/>
              </w:rPr>
            </w:pPr>
            <w:r>
              <w:rPr>
                <w:rFonts w:ascii="Calibri" w:cs="Calibri" w:eastAsia="Calibri" w:hAnsi="Calibri"/>
                <w:sz w:val="15"/>
                <w:szCs w:val="15"/>
                <w:color w:val="auto"/>
              </w:rPr>
              <w:t>333-220495</w:t>
            </w:r>
          </w:p>
        </w:tc>
        <w:tc>
          <w:tcPr>
            <w:tcW w:w="1920" w:type="dxa"/>
            <w:vAlign w:val="bottom"/>
          </w:tcPr>
          <w:p>
            <w:pPr>
              <w:jc w:val="center"/>
              <w:spacing w:after="0"/>
              <w:rPr>
                <w:sz w:val="20"/>
                <w:szCs w:val="20"/>
                <w:color w:val="auto"/>
              </w:rPr>
            </w:pPr>
            <w:r>
              <w:rPr>
                <w:rFonts w:ascii="Calibri" w:cs="Calibri" w:eastAsia="Calibri" w:hAnsi="Calibri"/>
                <w:sz w:val="15"/>
                <w:szCs w:val="15"/>
                <w:color w:val="auto"/>
              </w:rPr>
              <w:t>September 15, 2017</w:t>
            </w:r>
          </w:p>
        </w:tc>
        <w:tc>
          <w:tcPr>
            <w:tcW w:w="680" w:type="dxa"/>
            <w:vAlign w:val="bottom"/>
          </w:tcPr>
          <w:p>
            <w:pPr>
              <w:jc w:val="center"/>
              <w:ind w:left="243"/>
              <w:spacing w:after="0"/>
              <w:rPr>
                <w:sz w:val="20"/>
                <w:szCs w:val="20"/>
                <w:color w:val="auto"/>
              </w:rPr>
            </w:pPr>
            <w:r>
              <w:rPr>
                <w:rFonts w:ascii="Calibri" w:cs="Calibri" w:eastAsia="Calibri" w:hAnsi="Calibri"/>
                <w:sz w:val="15"/>
                <w:szCs w:val="15"/>
                <w:color w:val="auto"/>
              </w:rPr>
              <w:t>10.9</w:t>
            </w:r>
          </w:p>
        </w:tc>
      </w:tr>
      <w:tr>
        <w:trPr>
          <w:trHeight w:val="391"/>
        </w:trPr>
        <w:tc>
          <w:tcPr>
            <w:tcW w:w="640" w:type="dxa"/>
            <w:vAlign w:val="bottom"/>
          </w:tcPr>
          <w:p>
            <w:pPr>
              <w:jc w:val="center"/>
              <w:ind w:right="223"/>
              <w:spacing w:after="0"/>
              <w:rPr>
                <w:sz w:val="20"/>
                <w:szCs w:val="20"/>
                <w:color w:val="auto"/>
              </w:rPr>
            </w:pPr>
            <w:r>
              <w:rPr>
                <w:rFonts w:ascii="Calibri" w:cs="Calibri" w:eastAsia="Calibri" w:hAnsi="Calibri"/>
                <w:sz w:val="15"/>
                <w:szCs w:val="15"/>
                <w:color w:val="auto"/>
                <w:w w:val="94"/>
              </w:rPr>
              <w:t>S-1</w:t>
            </w:r>
          </w:p>
        </w:tc>
        <w:tc>
          <w:tcPr>
            <w:tcW w:w="1400" w:type="dxa"/>
            <w:vAlign w:val="bottom"/>
          </w:tcPr>
          <w:p>
            <w:pPr>
              <w:jc w:val="center"/>
              <w:spacing w:after="0"/>
              <w:rPr>
                <w:sz w:val="20"/>
                <w:szCs w:val="20"/>
                <w:color w:val="auto"/>
              </w:rPr>
            </w:pPr>
            <w:r>
              <w:rPr>
                <w:rFonts w:ascii="Calibri" w:cs="Calibri" w:eastAsia="Calibri" w:hAnsi="Calibri"/>
                <w:sz w:val="15"/>
                <w:szCs w:val="15"/>
                <w:color w:val="auto"/>
              </w:rPr>
              <w:t>333-220495</w:t>
            </w:r>
          </w:p>
        </w:tc>
        <w:tc>
          <w:tcPr>
            <w:tcW w:w="1920" w:type="dxa"/>
            <w:vAlign w:val="bottom"/>
          </w:tcPr>
          <w:p>
            <w:pPr>
              <w:jc w:val="center"/>
              <w:spacing w:after="0"/>
              <w:rPr>
                <w:sz w:val="20"/>
                <w:szCs w:val="20"/>
                <w:color w:val="auto"/>
              </w:rPr>
            </w:pPr>
            <w:r>
              <w:rPr>
                <w:rFonts w:ascii="Calibri" w:cs="Calibri" w:eastAsia="Calibri" w:hAnsi="Calibri"/>
                <w:sz w:val="15"/>
                <w:szCs w:val="15"/>
                <w:color w:val="auto"/>
              </w:rPr>
              <w:t>September 15, 2017</w:t>
            </w:r>
          </w:p>
        </w:tc>
        <w:tc>
          <w:tcPr>
            <w:tcW w:w="680" w:type="dxa"/>
            <w:vAlign w:val="bottom"/>
          </w:tcPr>
          <w:p>
            <w:pPr>
              <w:jc w:val="center"/>
              <w:ind w:left="243"/>
              <w:spacing w:after="0"/>
              <w:rPr>
                <w:sz w:val="20"/>
                <w:szCs w:val="20"/>
                <w:color w:val="auto"/>
              </w:rPr>
            </w:pPr>
            <w:r>
              <w:rPr>
                <w:rFonts w:ascii="Calibri" w:cs="Calibri" w:eastAsia="Calibri" w:hAnsi="Calibri"/>
                <w:sz w:val="15"/>
                <w:szCs w:val="15"/>
                <w:color w:val="auto"/>
              </w:rPr>
              <w:t>10.10</w:t>
            </w:r>
          </w:p>
        </w:tc>
      </w:tr>
      <w:tr>
        <w:trPr>
          <w:trHeight w:val="391"/>
        </w:trPr>
        <w:tc>
          <w:tcPr>
            <w:tcW w:w="640" w:type="dxa"/>
            <w:vAlign w:val="bottom"/>
          </w:tcPr>
          <w:p>
            <w:pPr>
              <w:jc w:val="center"/>
              <w:ind w:right="223"/>
              <w:spacing w:after="0"/>
              <w:rPr>
                <w:sz w:val="20"/>
                <w:szCs w:val="20"/>
                <w:color w:val="auto"/>
              </w:rPr>
            </w:pPr>
            <w:r>
              <w:rPr>
                <w:rFonts w:ascii="Calibri" w:cs="Calibri" w:eastAsia="Calibri" w:hAnsi="Calibri"/>
                <w:sz w:val="15"/>
                <w:szCs w:val="15"/>
                <w:color w:val="auto"/>
              </w:rPr>
              <w:t>10-Q</w:t>
            </w:r>
          </w:p>
        </w:tc>
        <w:tc>
          <w:tcPr>
            <w:tcW w:w="1400" w:type="dxa"/>
            <w:vAlign w:val="bottom"/>
          </w:tcPr>
          <w:p>
            <w:pPr>
              <w:jc w:val="center"/>
              <w:spacing w:after="0"/>
              <w:rPr>
                <w:sz w:val="20"/>
                <w:szCs w:val="20"/>
                <w:color w:val="auto"/>
              </w:rPr>
            </w:pPr>
            <w:r>
              <w:rPr>
                <w:rFonts w:ascii="Calibri" w:cs="Calibri" w:eastAsia="Calibri" w:hAnsi="Calibri"/>
                <w:sz w:val="15"/>
                <w:szCs w:val="15"/>
                <w:color w:val="auto"/>
              </w:rPr>
              <w:t>001-38233</w:t>
            </w:r>
          </w:p>
        </w:tc>
        <w:tc>
          <w:tcPr>
            <w:tcW w:w="1920" w:type="dxa"/>
            <w:vAlign w:val="bottom"/>
          </w:tcPr>
          <w:p>
            <w:pPr>
              <w:jc w:val="center"/>
              <w:spacing w:after="0"/>
              <w:rPr>
                <w:sz w:val="20"/>
                <w:szCs w:val="20"/>
                <w:color w:val="auto"/>
              </w:rPr>
            </w:pPr>
            <w:r>
              <w:rPr>
                <w:rFonts w:ascii="Calibri" w:cs="Calibri" w:eastAsia="Calibri" w:hAnsi="Calibri"/>
                <w:sz w:val="15"/>
                <w:szCs w:val="15"/>
                <w:color w:val="auto"/>
                <w:w w:val="99"/>
              </w:rPr>
              <w:t>November 5, 2019</w:t>
            </w:r>
          </w:p>
        </w:tc>
        <w:tc>
          <w:tcPr>
            <w:tcW w:w="680" w:type="dxa"/>
            <w:vAlign w:val="bottom"/>
          </w:tcPr>
          <w:p>
            <w:pPr>
              <w:jc w:val="center"/>
              <w:ind w:left="243"/>
              <w:spacing w:after="0"/>
              <w:rPr>
                <w:sz w:val="20"/>
                <w:szCs w:val="20"/>
                <w:color w:val="auto"/>
              </w:rPr>
            </w:pPr>
            <w:r>
              <w:rPr>
                <w:rFonts w:ascii="Calibri" w:cs="Calibri" w:eastAsia="Calibri" w:hAnsi="Calibri"/>
                <w:sz w:val="15"/>
                <w:szCs w:val="15"/>
                <w:color w:val="auto"/>
              </w:rPr>
              <w:t>10.1</w:t>
            </w:r>
          </w:p>
        </w:tc>
      </w:tr>
      <w:tr>
        <w:trPr>
          <w:trHeight w:val="391"/>
        </w:trPr>
        <w:tc>
          <w:tcPr>
            <w:tcW w:w="640" w:type="dxa"/>
            <w:vAlign w:val="bottom"/>
          </w:tcPr>
          <w:p>
            <w:pPr>
              <w:jc w:val="center"/>
              <w:ind w:right="223"/>
              <w:spacing w:after="0"/>
              <w:rPr>
                <w:sz w:val="20"/>
                <w:szCs w:val="20"/>
                <w:color w:val="auto"/>
              </w:rPr>
            </w:pPr>
            <w:r>
              <w:rPr>
                <w:rFonts w:ascii="Calibri" w:cs="Calibri" w:eastAsia="Calibri" w:hAnsi="Calibri"/>
                <w:sz w:val="15"/>
                <w:szCs w:val="15"/>
                <w:color w:val="auto"/>
              </w:rPr>
              <w:t>10-Q</w:t>
            </w:r>
          </w:p>
        </w:tc>
        <w:tc>
          <w:tcPr>
            <w:tcW w:w="1400" w:type="dxa"/>
            <w:vAlign w:val="bottom"/>
          </w:tcPr>
          <w:p>
            <w:pPr>
              <w:jc w:val="center"/>
              <w:spacing w:after="0"/>
              <w:rPr>
                <w:sz w:val="20"/>
                <w:szCs w:val="20"/>
                <w:color w:val="auto"/>
              </w:rPr>
            </w:pPr>
            <w:r>
              <w:rPr>
                <w:rFonts w:ascii="Calibri" w:cs="Calibri" w:eastAsia="Calibri" w:hAnsi="Calibri"/>
                <w:sz w:val="15"/>
                <w:szCs w:val="15"/>
                <w:color w:val="auto"/>
              </w:rPr>
              <w:t>001-38233</w:t>
            </w:r>
          </w:p>
        </w:tc>
        <w:tc>
          <w:tcPr>
            <w:tcW w:w="1920" w:type="dxa"/>
            <w:vAlign w:val="bottom"/>
          </w:tcPr>
          <w:p>
            <w:pPr>
              <w:jc w:val="center"/>
              <w:spacing w:after="0"/>
              <w:rPr>
                <w:sz w:val="20"/>
                <w:szCs w:val="20"/>
                <w:color w:val="auto"/>
              </w:rPr>
            </w:pPr>
            <w:r>
              <w:rPr>
                <w:rFonts w:ascii="Calibri" w:cs="Calibri" w:eastAsia="Calibri" w:hAnsi="Calibri"/>
                <w:sz w:val="15"/>
                <w:szCs w:val="15"/>
                <w:color w:val="auto"/>
                <w:w w:val="99"/>
              </w:rPr>
              <w:t>November 5, 2020</w:t>
            </w:r>
          </w:p>
        </w:tc>
        <w:tc>
          <w:tcPr>
            <w:tcW w:w="680" w:type="dxa"/>
            <w:vAlign w:val="bottom"/>
          </w:tcPr>
          <w:p>
            <w:pPr>
              <w:jc w:val="center"/>
              <w:ind w:left="243"/>
              <w:spacing w:after="0"/>
              <w:rPr>
                <w:sz w:val="20"/>
                <w:szCs w:val="20"/>
                <w:color w:val="auto"/>
              </w:rPr>
            </w:pPr>
            <w:r>
              <w:rPr>
                <w:rFonts w:ascii="Calibri" w:cs="Calibri" w:eastAsia="Calibri" w:hAnsi="Calibri"/>
                <w:sz w:val="15"/>
                <w:szCs w:val="15"/>
                <w:color w:val="auto"/>
              </w:rPr>
              <w:t>10.1</w:t>
            </w:r>
          </w:p>
        </w:tc>
      </w:tr>
      <w:tr>
        <w:trPr>
          <w:trHeight w:val="391"/>
        </w:trPr>
        <w:tc>
          <w:tcPr>
            <w:tcW w:w="640" w:type="dxa"/>
            <w:vAlign w:val="bottom"/>
          </w:tcPr>
          <w:p>
            <w:pPr>
              <w:jc w:val="center"/>
              <w:ind w:right="203"/>
              <w:spacing w:after="0"/>
              <w:rPr>
                <w:sz w:val="20"/>
                <w:szCs w:val="20"/>
                <w:color w:val="auto"/>
              </w:rPr>
            </w:pPr>
            <w:r>
              <w:rPr>
                <w:rFonts w:ascii="Calibri" w:cs="Calibri" w:eastAsia="Calibri" w:hAnsi="Calibri"/>
                <w:sz w:val="15"/>
                <w:szCs w:val="15"/>
                <w:color w:val="auto"/>
                <w:w w:val="99"/>
              </w:rPr>
              <w:t>8-K</w:t>
            </w:r>
          </w:p>
        </w:tc>
        <w:tc>
          <w:tcPr>
            <w:tcW w:w="1400" w:type="dxa"/>
            <w:vAlign w:val="bottom"/>
          </w:tcPr>
          <w:p>
            <w:pPr>
              <w:jc w:val="center"/>
              <w:spacing w:after="0"/>
              <w:rPr>
                <w:sz w:val="20"/>
                <w:szCs w:val="20"/>
                <w:color w:val="auto"/>
              </w:rPr>
            </w:pPr>
            <w:r>
              <w:rPr>
                <w:rFonts w:ascii="Calibri" w:cs="Calibri" w:eastAsia="Calibri" w:hAnsi="Calibri"/>
                <w:sz w:val="15"/>
                <w:szCs w:val="15"/>
                <w:color w:val="auto"/>
              </w:rPr>
              <w:t>001-38233</w:t>
            </w:r>
          </w:p>
        </w:tc>
        <w:tc>
          <w:tcPr>
            <w:tcW w:w="1920" w:type="dxa"/>
            <w:vAlign w:val="bottom"/>
          </w:tcPr>
          <w:p>
            <w:pPr>
              <w:jc w:val="center"/>
              <w:spacing w:after="0"/>
              <w:rPr>
                <w:sz w:val="20"/>
                <w:szCs w:val="20"/>
                <w:color w:val="auto"/>
              </w:rPr>
            </w:pPr>
            <w:r>
              <w:rPr>
                <w:rFonts w:ascii="Calibri" w:cs="Calibri" w:eastAsia="Calibri" w:hAnsi="Calibri"/>
                <w:sz w:val="15"/>
                <w:szCs w:val="15"/>
                <w:color w:val="auto"/>
                <w:w w:val="99"/>
              </w:rPr>
              <w:t>June 20, 2018</w:t>
            </w:r>
          </w:p>
        </w:tc>
        <w:tc>
          <w:tcPr>
            <w:tcW w:w="680" w:type="dxa"/>
            <w:vAlign w:val="bottom"/>
          </w:tcPr>
          <w:p>
            <w:pPr>
              <w:jc w:val="center"/>
              <w:ind w:left="243"/>
              <w:spacing w:after="0"/>
              <w:rPr>
                <w:sz w:val="20"/>
                <w:szCs w:val="20"/>
                <w:color w:val="auto"/>
              </w:rPr>
            </w:pPr>
            <w:r>
              <w:rPr>
                <w:rFonts w:ascii="Calibri" w:cs="Calibri" w:eastAsia="Calibri" w:hAnsi="Calibri"/>
                <w:sz w:val="15"/>
                <w:szCs w:val="15"/>
                <w:color w:val="auto"/>
              </w:rPr>
              <w:t>10.1</w:t>
            </w:r>
          </w:p>
        </w:tc>
      </w:tr>
      <w:tr>
        <w:trPr>
          <w:trHeight w:val="391"/>
        </w:trPr>
        <w:tc>
          <w:tcPr>
            <w:tcW w:w="640" w:type="dxa"/>
            <w:vAlign w:val="bottom"/>
          </w:tcPr>
          <w:p>
            <w:pPr>
              <w:jc w:val="center"/>
              <w:ind w:right="203"/>
              <w:spacing w:after="0"/>
              <w:rPr>
                <w:sz w:val="20"/>
                <w:szCs w:val="20"/>
                <w:color w:val="auto"/>
              </w:rPr>
            </w:pPr>
            <w:r>
              <w:rPr>
                <w:rFonts w:ascii="Calibri" w:cs="Calibri" w:eastAsia="Calibri" w:hAnsi="Calibri"/>
                <w:sz w:val="15"/>
                <w:szCs w:val="15"/>
                <w:color w:val="auto"/>
                <w:w w:val="99"/>
              </w:rPr>
              <w:t>8-K</w:t>
            </w:r>
          </w:p>
        </w:tc>
        <w:tc>
          <w:tcPr>
            <w:tcW w:w="1400" w:type="dxa"/>
            <w:vAlign w:val="bottom"/>
          </w:tcPr>
          <w:p>
            <w:pPr>
              <w:jc w:val="center"/>
              <w:spacing w:after="0"/>
              <w:rPr>
                <w:sz w:val="20"/>
                <w:szCs w:val="20"/>
                <w:color w:val="auto"/>
              </w:rPr>
            </w:pPr>
            <w:r>
              <w:rPr>
                <w:rFonts w:ascii="Calibri" w:cs="Calibri" w:eastAsia="Calibri" w:hAnsi="Calibri"/>
                <w:sz w:val="15"/>
                <w:szCs w:val="15"/>
                <w:color w:val="auto"/>
              </w:rPr>
              <w:t>001-38233</w:t>
            </w:r>
          </w:p>
        </w:tc>
        <w:tc>
          <w:tcPr>
            <w:tcW w:w="1920" w:type="dxa"/>
            <w:vAlign w:val="bottom"/>
          </w:tcPr>
          <w:p>
            <w:pPr>
              <w:jc w:val="center"/>
              <w:spacing w:after="0"/>
              <w:rPr>
                <w:sz w:val="20"/>
                <w:szCs w:val="20"/>
                <w:color w:val="auto"/>
              </w:rPr>
            </w:pPr>
            <w:r>
              <w:rPr>
                <w:rFonts w:ascii="Calibri" w:cs="Calibri" w:eastAsia="Calibri" w:hAnsi="Calibri"/>
                <w:sz w:val="15"/>
                <w:szCs w:val="15"/>
                <w:color w:val="auto"/>
              </w:rPr>
              <w:t>December 20, 2019</w:t>
            </w:r>
          </w:p>
        </w:tc>
        <w:tc>
          <w:tcPr>
            <w:tcW w:w="680" w:type="dxa"/>
            <w:vAlign w:val="bottom"/>
          </w:tcPr>
          <w:p>
            <w:pPr>
              <w:jc w:val="center"/>
              <w:ind w:left="243"/>
              <w:spacing w:after="0"/>
              <w:rPr>
                <w:sz w:val="20"/>
                <w:szCs w:val="20"/>
                <w:color w:val="auto"/>
              </w:rPr>
            </w:pPr>
            <w:r>
              <w:rPr>
                <w:rFonts w:ascii="Calibri" w:cs="Calibri" w:eastAsia="Calibri" w:hAnsi="Calibri"/>
                <w:sz w:val="15"/>
                <w:szCs w:val="15"/>
                <w:color w:val="auto"/>
              </w:rPr>
              <w:t>10.1</w:t>
            </w:r>
          </w:p>
        </w:tc>
      </w:tr>
      <w:tr>
        <w:trPr>
          <w:trHeight w:val="391"/>
        </w:trPr>
        <w:tc>
          <w:tcPr>
            <w:tcW w:w="640" w:type="dxa"/>
            <w:vAlign w:val="bottom"/>
          </w:tcPr>
          <w:p>
            <w:pPr>
              <w:jc w:val="center"/>
              <w:ind w:right="223"/>
              <w:spacing w:after="0"/>
              <w:rPr>
                <w:sz w:val="20"/>
                <w:szCs w:val="20"/>
                <w:color w:val="auto"/>
              </w:rPr>
            </w:pPr>
            <w:r>
              <w:rPr>
                <w:rFonts w:ascii="Calibri" w:cs="Calibri" w:eastAsia="Calibri" w:hAnsi="Calibri"/>
                <w:sz w:val="15"/>
                <w:szCs w:val="15"/>
                <w:color w:val="auto"/>
              </w:rPr>
              <w:t>10-Q</w:t>
            </w:r>
          </w:p>
        </w:tc>
        <w:tc>
          <w:tcPr>
            <w:tcW w:w="1400" w:type="dxa"/>
            <w:vAlign w:val="bottom"/>
          </w:tcPr>
          <w:p>
            <w:pPr>
              <w:jc w:val="center"/>
              <w:spacing w:after="0"/>
              <w:rPr>
                <w:sz w:val="20"/>
                <w:szCs w:val="20"/>
                <w:color w:val="auto"/>
              </w:rPr>
            </w:pPr>
            <w:r>
              <w:rPr>
                <w:rFonts w:ascii="Calibri" w:cs="Calibri" w:eastAsia="Calibri" w:hAnsi="Calibri"/>
                <w:sz w:val="15"/>
                <w:szCs w:val="15"/>
                <w:color w:val="auto"/>
              </w:rPr>
              <w:t>001-38233</w:t>
            </w:r>
          </w:p>
        </w:tc>
        <w:tc>
          <w:tcPr>
            <w:tcW w:w="1920" w:type="dxa"/>
            <w:vAlign w:val="bottom"/>
          </w:tcPr>
          <w:p>
            <w:pPr>
              <w:jc w:val="center"/>
              <w:spacing w:after="0"/>
              <w:rPr>
                <w:sz w:val="20"/>
                <w:szCs w:val="20"/>
                <w:color w:val="auto"/>
              </w:rPr>
            </w:pPr>
            <w:r>
              <w:rPr>
                <w:rFonts w:ascii="Calibri" w:cs="Calibri" w:eastAsia="Calibri" w:hAnsi="Calibri"/>
                <w:sz w:val="15"/>
                <w:szCs w:val="15"/>
                <w:color w:val="auto"/>
                <w:w w:val="98"/>
              </w:rPr>
              <w:t>August 6, 2020</w:t>
            </w:r>
          </w:p>
        </w:tc>
        <w:tc>
          <w:tcPr>
            <w:tcW w:w="680" w:type="dxa"/>
            <w:vAlign w:val="bottom"/>
          </w:tcPr>
          <w:p>
            <w:pPr>
              <w:jc w:val="center"/>
              <w:ind w:left="243"/>
              <w:spacing w:after="0"/>
              <w:rPr>
                <w:sz w:val="20"/>
                <w:szCs w:val="20"/>
                <w:color w:val="auto"/>
              </w:rPr>
            </w:pPr>
            <w:r>
              <w:rPr>
                <w:rFonts w:ascii="Calibri" w:cs="Calibri" w:eastAsia="Calibri" w:hAnsi="Calibri"/>
                <w:sz w:val="15"/>
                <w:szCs w:val="15"/>
                <w:color w:val="auto"/>
              </w:rPr>
              <w:t>10.3</w:t>
            </w:r>
          </w:p>
        </w:tc>
      </w:tr>
      <w:tr>
        <w:trPr>
          <w:trHeight w:val="391"/>
        </w:trPr>
        <w:tc>
          <w:tcPr>
            <w:tcW w:w="640" w:type="dxa"/>
            <w:vAlign w:val="bottom"/>
          </w:tcPr>
          <w:p>
            <w:pPr>
              <w:jc w:val="center"/>
              <w:ind w:right="203"/>
              <w:spacing w:after="0"/>
              <w:rPr>
                <w:sz w:val="20"/>
                <w:szCs w:val="20"/>
                <w:color w:val="auto"/>
              </w:rPr>
            </w:pPr>
            <w:r>
              <w:rPr>
                <w:rFonts w:ascii="Calibri" w:cs="Calibri" w:eastAsia="Calibri" w:hAnsi="Calibri"/>
                <w:sz w:val="15"/>
                <w:szCs w:val="15"/>
                <w:color w:val="auto"/>
              </w:rPr>
              <w:t>10-K</w:t>
            </w:r>
          </w:p>
        </w:tc>
        <w:tc>
          <w:tcPr>
            <w:tcW w:w="1400" w:type="dxa"/>
            <w:vAlign w:val="bottom"/>
          </w:tcPr>
          <w:p>
            <w:pPr>
              <w:jc w:val="center"/>
              <w:spacing w:after="0"/>
              <w:rPr>
                <w:sz w:val="20"/>
                <w:szCs w:val="20"/>
                <w:color w:val="auto"/>
              </w:rPr>
            </w:pPr>
            <w:r>
              <w:rPr>
                <w:rFonts w:ascii="Calibri" w:cs="Calibri" w:eastAsia="Calibri" w:hAnsi="Calibri"/>
                <w:sz w:val="15"/>
                <w:szCs w:val="15"/>
                <w:color w:val="auto"/>
              </w:rPr>
              <w:t>001-38233</w:t>
            </w:r>
          </w:p>
        </w:tc>
        <w:tc>
          <w:tcPr>
            <w:tcW w:w="1920" w:type="dxa"/>
            <w:vAlign w:val="bottom"/>
          </w:tcPr>
          <w:p>
            <w:pPr>
              <w:jc w:val="center"/>
              <w:spacing w:after="0"/>
              <w:rPr>
                <w:sz w:val="20"/>
                <w:szCs w:val="20"/>
                <w:color w:val="auto"/>
              </w:rPr>
            </w:pPr>
            <w:r>
              <w:rPr>
                <w:rFonts w:ascii="Calibri" w:cs="Calibri" w:eastAsia="Calibri" w:hAnsi="Calibri"/>
                <w:sz w:val="15"/>
                <w:szCs w:val="15"/>
                <w:color w:val="auto"/>
                <w:w w:val="99"/>
              </w:rPr>
              <w:t>February 25, 2022</w:t>
            </w:r>
          </w:p>
        </w:tc>
        <w:tc>
          <w:tcPr>
            <w:tcW w:w="680" w:type="dxa"/>
            <w:vAlign w:val="bottom"/>
          </w:tcPr>
          <w:p>
            <w:pPr>
              <w:jc w:val="center"/>
              <w:ind w:left="243"/>
              <w:spacing w:after="0"/>
              <w:rPr>
                <w:sz w:val="20"/>
                <w:szCs w:val="20"/>
                <w:color w:val="auto"/>
              </w:rPr>
            </w:pPr>
            <w:r>
              <w:rPr>
                <w:rFonts w:ascii="Calibri" w:cs="Calibri" w:eastAsia="Calibri" w:hAnsi="Calibri"/>
                <w:sz w:val="15"/>
                <w:szCs w:val="15"/>
                <w:color w:val="auto"/>
              </w:rPr>
              <w:t>10.29</w:t>
            </w:r>
          </w:p>
        </w:tc>
      </w:tr>
      <w:tr>
        <w:trPr>
          <w:trHeight w:val="391"/>
        </w:trPr>
        <w:tc>
          <w:tcPr>
            <w:tcW w:w="640" w:type="dxa"/>
            <w:vAlign w:val="bottom"/>
          </w:tcPr>
          <w:p>
            <w:pPr>
              <w:jc w:val="center"/>
              <w:ind w:right="223"/>
              <w:spacing w:after="0"/>
              <w:rPr>
                <w:sz w:val="20"/>
                <w:szCs w:val="20"/>
                <w:color w:val="auto"/>
              </w:rPr>
            </w:pPr>
            <w:r>
              <w:rPr>
                <w:rFonts w:ascii="Calibri" w:cs="Calibri" w:eastAsia="Calibri" w:hAnsi="Calibri"/>
                <w:sz w:val="15"/>
                <w:szCs w:val="15"/>
                <w:color w:val="auto"/>
              </w:rPr>
              <w:t>10-Q</w:t>
            </w:r>
          </w:p>
        </w:tc>
        <w:tc>
          <w:tcPr>
            <w:tcW w:w="1400" w:type="dxa"/>
            <w:vAlign w:val="bottom"/>
          </w:tcPr>
          <w:p>
            <w:pPr>
              <w:jc w:val="center"/>
              <w:spacing w:after="0"/>
              <w:rPr>
                <w:sz w:val="20"/>
                <w:szCs w:val="20"/>
                <w:color w:val="auto"/>
              </w:rPr>
            </w:pPr>
            <w:r>
              <w:rPr>
                <w:rFonts w:ascii="Calibri" w:cs="Calibri" w:eastAsia="Calibri" w:hAnsi="Calibri"/>
                <w:sz w:val="15"/>
                <w:szCs w:val="15"/>
                <w:color w:val="auto"/>
              </w:rPr>
              <w:t>001-38233</w:t>
            </w:r>
          </w:p>
        </w:tc>
        <w:tc>
          <w:tcPr>
            <w:tcW w:w="1920" w:type="dxa"/>
            <w:vAlign w:val="bottom"/>
          </w:tcPr>
          <w:p>
            <w:pPr>
              <w:jc w:val="center"/>
              <w:spacing w:after="0"/>
              <w:rPr>
                <w:sz w:val="20"/>
                <w:szCs w:val="20"/>
                <w:color w:val="auto"/>
              </w:rPr>
            </w:pPr>
            <w:r>
              <w:rPr>
                <w:rFonts w:ascii="Calibri" w:cs="Calibri" w:eastAsia="Calibri" w:hAnsi="Calibri"/>
                <w:sz w:val="15"/>
                <w:szCs w:val="15"/>
                <w:color w:val="auto"/>
                <w:w w:val="99"/>
              </w:rPr>
              <w:t>November 8, 2022</w:t>
            </w:r>
          </w:p>
        </w:tc>
        <w:tc>
          <w:tcPr>
            <w:tcW w:w="680" w:type="dxa"/>
            <w:vAlign w:val="bottom"/>
          </w:tcPr>
          <w:p>
            <w:pPr>
              <w:jc w:val="center"/>
              <w:ind w:left="243"/>
              <w:spacing w:after="0"/>
              <w:rPr>
                <w:sz w:val="20"/>
                <w:szCs w:val="20"/>
                <w:color w:val="auto"/>
              </w:rPr>
            </w:pPr>
            <w:r>
              <w:rPr>
                <w:rFonts w:ascii="Calibri" w:cs="Calibri" w:eastAsia="Calibri" w:hAnsi="Calibri"/>
                <w:sz w:val="15"/>
                <w:szCs w:val="15"/>
                <w:color w:val="auto"/>
              </w:rPr>
              <w:t>10.2</w:t>
            </w:r>
          </w:p>
        </w:tc>
      </w:tr>
      <w:tr>
        <w:trPr>
          <w:trHeight w:val="391"/>
        </w:trPr>
        <w:tc>
          <w:tcPr>
            <w:tcW w:w="640" w:type="dxa"/>
            <w:vAlign w:val="bottom"/>
          </w:tcPr>
          <w:p>
            <w:pPr>
              <w:jc w:val="center"/>
              <w:ind w:right="203"/>
              <w:spacing w:after="0"/>
              <w:rPr>
                <w:sz w:val="20"/>
                <w:szCs w:val="20"/>
                <w:color w:val="auto"/>
              </w:rPr>
            </w:pPr>
            <w:r>
              <w:rPr>
                <w:rFonts w:ascii="Calibri" w:cs="Calibri" w:eastAsia="Calibri" w:hAnsi="Calibri"/>
                <w:sz w:val="15"/>
                <w:szCs w:val="15"/>
                <w:color w:val="auto"/>
              </w:rPr>
              <w:t>10-K</w:t>
            </w:r>
          </w:p>
        </w:tc>
        <w:tc>
          <w:tcPr>
            <w:tcW w:w="1400" w:type="dxa"/>
            <w:vAlign w:val="bottom"/>
          </w:tcPr>
          <w:p>
            <w:pPr>
              <w:jc w:val="center"/>
              <w:spacing w:after="0"/>
              <w:rPr>
                <w:sz w:val="20"/>
                <w:szCs w:val="20"/>
                <w:color w:val="auto"/>
              </w:rPr>
            </w:pPr>
            <w:r>
              <w:rPr>
                <w:rFonts w:ascii="Calibri" w:cs="Calibri" w:eastAsia="Calibri" w:hAnsi="Calibri"/>
                <w:sz w:val="15"/>
                <w:szCs w:val="15"/>
                <w:color w:val="auto"/>
              </w:rPr>
              <w:t>001-38233</w:t>
            </w:r>
          </w:p>
        </w:tc>
        <w:tc>
          <w:tcPr>
            <w:tcW w:w="1920" w:type="dxa"/>
            <w:vAlign w:val="bottom"/>
          </w:tcPr>
          <w:p>
            <w:pPr>
              <w:jc w:val="center"/>
              <w:spacing w:after="0"/>
              <w:rPr>
                <w:sz w:val="20"/>
                <w:szCs w:val="20"/>
                <w:color w:val="auto"/>
              </w:rPr>
            </w:pPr>
            <w:r>
              <w:rPr>
                <w:rFonts w:ascii="Calibri" w:cs="Calibri" w:eastAsia="Calibri" w:hAnsi="Calibri"/>
                <w:sz w:val="15"/>
                <w:szCs w:val="15"/>
                <w:color w:val="auto"/>
                <w:w w:val="99"/>
              </w:rPr>
              <w:t>February 25, 2022</w:t>
            </w:r>
          </w:p>
        </w:tc>
        <w:tc>
          <w:tcPr>
            <w:tcW w:w="680" w:type="dxa"/>
            <w:vAlign w:val="bottom"/>
          </w:tcPr>
          <w:p>
            <w:pPr>
              <w:jc w:val="center"/>
              <w:ind w:left="243"/>
              <w:spacing w:after="0"/>
              <w:rPr>
                <w:sz w:val="20"/>
                <w:szCs w:val="20"/>
                <w:color w:val="auto"/>
              </w:rPr>
            </w:pPr>
            <w:r>
              <w:rPr>
                <w:rFonts w:ascii="Calibri" w:cs="Calibri" w:eastAsia="Calibri" w:hAnsi="Calibri"/>
                <w:sz w:val="15"/>
                <w:szCs w:val="15"/>
                <w:color w:val="auto"/>
              </w:rPr>
              <w:t>10.30</w:t>
            </w:r>
          </w:p>
        </w:tc>
      </w:tr>
      <w:tr>
        <w:trPr>
          <w:trHeight w:val="564"/>
        </w:trPr>
        <w:tc>
          <w:tcPr>
            <w:tcW w:w="640" w:type="dxa"/>
            <w:vAlign w:val="bottom"/>
          </w:tcPr>
          <w:p>
            <w:pPr>
              <w:jc w:val="right"/>
              <w:ind w:right="343"/>
              <w:spacing w:after="0"/>
              <w:rPr>
                <w:sz w:val="20"/>
                <w:szCs w:val="20"/>
                <w:color w:val="auto"/>
              </w:rPr>
            </w:pPr>
            <w:r>
              <w:rPr>
                <w:rFonts w:ascii="Calibri" w:cs="Calibri" w:eastAsia="Calibri" w:hAnsi="Calibri"/>
                <w:sz w:val="15"/>
                <w:szCs w:val="15"/>
                <w:color w:val="auto"/>
                <w:w w:val="87"/>
              </w:rPr>
              <w:t>141</w:t>
            </w:r>
          </w:p>
        </w:tc>
        <w:tc>
          <w:tcPr>
            <w:tcW w:w="14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-3522345</wp:posOffset>
            </wp:positionH>
            <wp:positionV relativeFrom="paragraph">
              <wp:posOffset>408940</wp:posOffset>
            </wp:positionV>
            <wp:extent cx="7178040" cy="4000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59">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2">
            <w:col w:w="4920" w:space="380"/>
            <w:col w:w="4640"/>
          </w:cols>
          <w:pgMar w:left="540" w:top="961" w:right="1419" w:bottom="1440" w:gutter="0" w:footer="0" w:header="0"/>
        </w:sectPr>
      </w:pPr>
    </w:p>
    <w:bookmarkStart w:id="143" w:name="page144"/>
    <w:bookmarkEnd w:id="143"/>
    <w:tbl>
      <w:tblPr>
        <w:tblLayout w:type="fixed"/>
        <w:tblInd w:w="0" w:type="dxa"/>
        <w:tblCellMar>
          <w:top w:w="0" w:type="dxa"/>
          <w:left w:w="0" w:type="dxa"/>
          <w:bottom w:w="0" w:type="dxa"/>
          <w:right w:w="0" w:type="dxa"/>
        </w:tblCellMar>
      </w:tblPr>
      <w:tr>
        <w:trPr>
          <w:trHeight w:val="183"/>
        </w:trPr>
        <w:tc>
          <w:tcPr>
            <w:tcW w:w="940" w:type="dxa"/>
            <w:vAlign w:val="bottom"/>
          </w:tcPr>
          <w:p>
            <w:pPr>
              <w:jc w:val="center"/>
              <w:ind w:right="83"/>
              <w:spacing w:after="0"/>
              <w:rPr>
                <w:sz w:val="20"/>
                <w:szCs w:val="20"/>
                <w:color w:val="auto"/>
              </w:rPr>
            </w:pPr>
            <w:r>
              <w:rPr>
                <w:rFonts w:ascii="Calibri" w:cs="Calibri" w:eastAsia="Calibri" w:hAnsi="Calibri"/>
                <w:sz w:val="15"/>
                <w:szCs w:val="15"/>
                <w:color w:val="auto"/>
                <w:w w:val="99"/>
              </w:rPr>
              <w:t>10.30</w:t>
            </w:r>
          </w:p>
        </w:tc>
        <w:tc>
          <w:tcPr>
            <w:tcW w:w="4200" w:type="dxa"/>
            <w:vAlign w:val="bottom"/>
            <w:gridSpan w:val="18"/>
          </w:tcPr>
          <w:p>
            <w:pPr>
              <w:spacing w:after="0"/>
              <w:rPr>
                <w:rFonts w:ascii="Calibri" w:cs="Calibri" w:eastAsia="Calibri" w:hAnsi="Calibri"/>
                <w:sz w:val="15"/>
                <w:szCs w:val="15"/>
                <w:color w:val="0000FF"/>
                <w:w w:val="97"/>
              </w:rPr>
            </w:pPr>
            <w:hyperlink r:id="rId560">
              <w:r>
                <w:rPr>
                  <w:rFonts w:ascii="Calibri" w:cs="Calibri" w:eastAsia="Calibri" w:hAnsi="Calibri"/>
                  <w:sz w:val="15"/>
                  <w:szCs w:val="15"/>
                  <w:color w:val="0000FF"/>
                  <w:w w:val="97"/>
                </w:rPr>
                <w:t>First Amendment to Sublease, dated March 23, 2022, by and between</w:t>
              </w:r>
            </w:hyperlink>
          </w:p>
        </w:tc>
        <w:tc>
          <w:tcPr>
            <w:tcW w:w="1040" w:type="dxa"/>
            <w:vAlign w:val="bottom"/>
          </w:tcPr>
          <w:p>
            <w:pPr>
              <w:jc w:val="center"/>
              <w:spacing w:after="0"/>
              <w:rPr>
                <w:sz w:val="20"/>
                <w:szCs w:val="20"/>
                <w:color w:val="auto"/>
              </w:rPr>
            </w:pPr>
            <w:r>
              <w:rPr>
                <w:rFonts w:ascii="Calibri" w:cs="Calibri" w:eastAsia="Calibri" w:hAnsi="Calibri"/>
                <w:sz w:val="15"/>
                <w:szCs w:val="15"/>
                <w:color w:val="auto"/>
              </w:rPr>
              <w:t>10-Q</w:t>
            </w:r>
          </w:p>
        </w:tc>
        <w:tc>
          <w:tcPr>
            <w:tcW w:w="1360" w:type="dxa"/>
            <w:vAlign w:val="bottom"/>
          </w:tcPr>
          <w:p>
            <w:pPr>
              <w:jc w:val="right"/>
              <w:ind w:right="303"/>
              <w:spacing w:after="0"/>
              <w:rPr>
                <w:sz w:val="20"/>
                <w:szCs w:val="20"/>
                <w:color w:val="auto"/>
              </w:rPr>
            </w:pPr>
            <w:r>
              <w:rPr>
                <w:rFonts w:ascii="Calibri" w:cs="Calibri" w:eastAsia="Calibri" w:hAnsi="Calibri"/>
                <w:sz w:val="15"/>
                <w:szCs w:val="15"/>
                <w:color w:val="auto"/>
              </w:rPr>
              <w:t>001-38233</w:t>
            </w:r>
          </w:p>
        </w:tc>
        <w:tc>
          <w:tcPr>
            <w:tcW w:w="1940" w:type="dxa"/>
            <w:vAlign w:val="bottom"/>
          </w:tcPr>
          <w:p>
            <w:pPr>
              <w:jc w:val="center"/>
              <w:spacing w:after="0"/>
              <w:rPr>
                <w:sz w:val="20"/>
                <w:szCs w:val="20"/>
                <w:color w:val="auto"/>
              </w:rPr>
            </w:pPr>
            <w:r>
              <w:rPr>
                <w:rFonts w:ascii="Calibri" w:cs="Calibri" w:eastAsia="Calibri" w:hAnsi="Calibri"/>
                <w:sz w:val="15"/>
                <w:szCs w:val="15"/>
                <w:color w:val="auto"/>
              </w:rPr>
              <w:t>May 9, 2022</w:t>
            </w:r>
          </w:p>
        </w:tc>
        <w:tc>
          <w:tcPr>
            <w:tcW w:w="1780" w:type="dxa"/>
            <w:vAlign w:val="bottom"/>
          </w:tcPr>
          <w:p>
            <w:pPr>
              <w:jc w:val="center"/>
              <w:ind w:right="703"/>
              <w:spacing w:after="0"/>
              <w:rPr>
                <w:sz w:val="20"/>
                <w:szCs w:val="20"/>
                <w:color w:val="auto"/>
              </w:rPr>
            </w:pPr>
            <w:r>
              <w:rPr>
                <w:rFonts w:ascii="Calibri" w:cs="Calibri" w:eastAsia="Calibri" w:hAnsi="Calibri"/>
                <w:sz w:val="15"/>
                <w:szCs w:val="15"/>
                <w:color w:val="auto"/>
              </w:rPr>
              <w:t>10.1</w:t>
            </w:r>
          </w:p>
        </w:tc>
      </w:tr>
      <w:tr>
        <w:trPr>
          <w:trHeight w:val="20"/>
        </w:trPr>
        <w:tc>
          <w:tcPr>
            <w:tcW w:w="940" w:type="dxa"/>
            <w:vAlign w:val="bottom"/>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40" w:type="dxa"/>
            <w:vAlign w:val="bottom"/>
            <w:tcBorders>
              <w:left w:val="single" w:sz="8" w:color="0000FF"/>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64"/>
        </w:trPr>
        <w:tc>
          <w:tcPr>
            <w:tcW w:w="940" w:type="dxa"/>
            <w:vAlign w:val="bottom"/>
          </w:tcPr>
          <w:p>
            <w:pPr>
              <w:spacing w:after="0"/>
              <w:rPr>
                <w:sz w:val="14"/>
                <w:szCs w:val="14"/>
                <w:color w:val="auto"/>
              </w:rPr>
            </w:pPr>
          </w:p>
        </w:tc>
        <w:tc>
          <w:tcPr>
            <w:tcW w:w="4200" w:type="dxa"/>
            <w:vAlign w:val="bottom"/>
            <w:gridSpan w:val="18"/>
          </w:tcPr>
          <w:p>
            <w:pPr>
              <w:spacing w:after="0" w:line="165" w:lineRule="exact"/>
              <w:rPr>
                <w:rFonts w:ascii="Calibri" w:cs="Calibri" w:eastAsia="Calibri" w:hAnsi="Calibri"/>
                <w:sz w:val="15"/>
                <w:szCs w:val="15"/>
                <w:color w:val="0000FF"/>
              </w:rPr>
            </w:pPr>
            <w:hyperlink r:id="rId560">
              <w:r>
                <w:rPr>
                  <w:rFonts w:ascii="Calibri" w:cs="Calibri" w:eastAsia="Calibri" w:hAnsi="Calibri"/>
                  <w:sz w:val="15"/>
                  <w:szCs w:val="15"/>
                  <w:color w:val="0000FF"/>
                </w:rPr>
                <w:t>the Registrant and Amylyx Pharmaceutcals, Inc.</w:t>
              </w:r>
            </w:hyperlink>
          </w:p>
        </w:tc>
        <w:tc>
          <w:tcPr>
            <w:tcW w:w="1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87"/>
        </w:trPr>
        <w:tc>
          <w:tcPr>
            <w:tcW w:w="940" w:type="dxa"/>
            <w:vAlign w:val="bottom"/>
          </w:tcPr>
          <w:p>
            <w:pPr>
              <w:jc w:val="center"/>
              <w:ind w:right="83"/>
              <w:spacing w:after="0"/>
              <w:rPr>
                <w:sz w:val="20"/>
                <w:szCs w:val="20"/>
                <w:color w:val="auto"/>
              </w:rPr>
            </w:pPr>
            <w:r>
              <w:rPr>
                <w:rFonts w:ascii="Calibri" w:cs="Calibri" w:eastAsia="Calibri" w:hAnsi="Calibri"/>
                <w:sz w:val="15"/>
                <w:szCs w:val="15"/>
                <w:color w:val="auto"/>
                <w:w w:val="99"/>
              </w:rPr>
              <w:t>10.31</w:t>
            </w:r>
          </w:p>
        </w:tc>
        <w:tc>
          <w:tcPr>
            <w:tcW w:w="4200" w:type="dxa"/>
            <w:vAlign w:val="bottom"/>
            <w:gridSpan w:val="18"/>
          </w:tcPr>
          <w:p>
            <w:pPr>
              <w:spacing w:after="0"/>
              <w:rPr>
                <w:sz w:val="20"/>
                <w:szCs w:val="20"/>
                <w:color w:val="auto"/>
              </w:rPr>
            </w:pPr>
            <w:r>
              <w:rPr>
                <w:rFonts w:ascii="Calibri" w:cs="Calibri" w:eastAsia="Calibri" w:hAnsi="Calibri"/>
                <w:sz w:val="15"/>
                <w:szCs w:val="15"/>
                <w:color w:val="0000FF"/>
              </w:rPr>
              <w:t>Ofce Lease Agreement, dated April 28, 2022, by and between FSP</w:t>
            </w:r>
          </w:p>
        </w:tc>
        <w:tc>
          <w:tcPr>
            <w:tcW w:w="10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780" w:type="dxa"/>
            <w:vAlign w:val="bottom"/>
          </w:tcPr>
          <w:p>
            <w:pPr>
              <w:ind w:left="1340"/>
              <w:spacing w:after="0"/>
              <w:rPr>
                <w:sz w:val="20"/>
                <w:szCs w:val="20"/>
                <w:color w:val="auto"/>
              </w:rPr>
            </w:pPr>
            <w:r>
              <w:rPr>
                <w:rFonts w:ascii="Calibri" w:cs="Calibri" w:eastAsia="Calibri" w:hAnsi="Calibri"/>
                <w:sz w:val="15"/>
                <w:szCs w:val="15"/>
                <w:color w:val="auto"/>
              </w:rPr>
              <w:t>X</w:t>
            </w:r>
          </w:p>
        </w:tc>
      </w:tr>
      <w:tr>
        <w:trPr>
          <w:trHeight w:val="20"/>
        </w:trPr>
        <w:tc>
          <w:tcPr>
            <w:tcW w:w="940" w:type="dxa"/>
            <w:vAlign w:val="bottom"/>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64"/>
        </w:trPr>
        <w:tc>
          <w:tcPr>
            <w:tcW w:w="940" w:type="dxa"/>
            <w:vAlign w:val="bottom"/>
          </w:tcPr>
          <w:p>
            <w:pPr>
              <w:spacing w:after="0"/>
              <w:rPr>
                <w:sz w:val="14"/>
                <w:szCs w:val="14"/>
                <w:color w:val="auto"/>
              </w:rPr>
            </w:pPr>
          </w:p>
        </w:tc>
        <w:tc>
          <w:tcPr>
            <w:tcW w:w="4200" w:type="dxa"/>
            <w:vAlign w:val="bottom"/>
            <w:gridSpan w:val="18"/>
          </w:tcPr>
          <w:p>
            <w:pPr>
              <w:spacing w:after="0" w:line="165" w:lineRule="exact"/>
              <w:rPr>
                <w:sz w:val="20"/>
                <w:szCs w:val="20"/>
                <w:color w:val="auto"/>
              </w:rPr>
            </w:pPr>
            <w:r>
              <w:rPr>
                <w:rFonts w:ascii="Calibri" w:cs="Calibri" w:eastAsia="Calibri" w:hAnsi="Calibri"/>
                <w:sz w:val="15"/>
                <w:szCs w:val="15"/>
                <w:color w:val="0000FF"/>
              </w:rPr>
              <w:t>Addison Circle Limited Partnership and CarOfer, LLC.</w:t>
            </w:r>
            <w:r>
              <w:rPr>
                <w:rFonts w:ascii="Calibri" w:cs="Calibri" w:eastAsia="Calibri" w:hAnsi="Calibri"/>
                <w:sz w:val="15"/>
                <w:szCs w:val="15"/>
                <w:color w:val="000000"/>
              </w:rPr>
              <w:t>*</w:t>
            </w:r>
          </w:p>
        </w:tc>
        <w:tc>
          <w:tcPr>
            <w:tcW w:w="1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87"/>
        </w:trPr>
        <w:tc>
          <w:tcPr>
            <w:tcW w:w="940" w:type="dxa"/>
            <w:vAlign w:val="bottom"/>
          </w:tcPr>
          <w:p>
            <w:pPr>
              <w:jc w:val="center"/>
              <w:ind w:right="83"/>
              <w:spacing w:after="0"/>
              <w:rPr>
                <w:sz w:val="20"/>
                <w:szCs w:val="20"/>
                <w:color w:val="auto"/>
              </w:rPr>
            </w:pPr>
            <w:r>
              <w:rPr>
                <w:rFonts w:ascii="Calibri" w:cs="Calibri" w:eastAsia="Calibri" w:hAnsi="Calibri"/>
                <w:sz w:val="15"/>
                <w:szCs w:val="15"/>
                <w:color w:val="auto"/>
                <w:w w:val="99"/>
              </w:rPr>
              <w:t>10.32</w:t>
            </w:r>
          </w:p>
        </w:tc>
        <w:tc>
          <w:tcPr>
            <w:tcW w:w="4200" w:type="dxa"/>
            <w:vAlign w:val="bottom"/>
            <w:gridSpan w:val="18"/>
          </w:tcPr>
          <w:p>
            <w:pPr>
              <w:spacing w:after="0"/>
              <w:rPr>
                <w:sz w:val="20"/>
                <w:szCs w:val="20"/>
                <w:color w:val="auto"/>
              </w:rPr>
            </w:pPr>
            <w:r>
              <w:rPr>
                <w:rFonts w:ascii="Calibri" w:cs="Calibri" w:eastAsia="Calibri" w:hAnsi="Calibri"/>
                <w:sz w:val="15"/>
                <w:szCs w:val="15"/>
                <w:color w:val="0000FF"/>
              </w:rPr>
              <w:t>First Amendment to Ofce Lease Agreement, dated November 1,</w:t>
            </w:r>
          </w:p>
        </w:tc>
        <w:tc>
          <w:tcPr>
            <w:tcW w:w="10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780" w:type="dxa"/>
            <w:vAlign w:val="bottom"/>
          </w:tcPr>
          <w:p>
            <w:pPr>
              <w:ind w:left="1340"/>
              <w:spacing w:after="0"/>
              <w:rPr>
                <w:sz w:val="20"/>
                <w:szCs w:val="20"/>
                <w:color w:val="auto"/>
              </w:rPr>
            </w:pPr>
            <w:r>
              <w:rPr>
                <w:rFonts w:ascii="Calibri" w:cs="Calibri" w:eastAsia="Calibri" w:hAnsi="Calibri"/>
                <w:sz w:val="15"/>
                <w:szCs w:val="15"/>
                <w:color w:val="auto"/>
              </w:rPr>
              <w:t>X</w:t>
            </w:r>
          </w:p>
        </w:tc>
      </w:tr>
      <w:tr>
        <w:trPr>
          <w:trHeight w:val="20"/>
        </w:trPr>
        <w:tc>
          <w:tcPr>
            <w:tcW w:w="940" w:type="dxa"/>
            <w:vAlign w:val="bottom"/>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64"/>
        </w:trPr>
        <w:tc>
          <w:tcPr>
            <w:tcW w:w="940" w:type="dxa"/>
            <w:vAlign w:val="bottom"/>
          </w:tcPr>
          <w:p>
            <w:pPr>
              <w:spacing w:after="0"/>
              <w:rPr>
                <w:sz w:val="14"/>
                <w:szCs w:val="14"/>
                <w:color w:val="auto"/>
              </w:rPr>
            </w:pPr>
          </w:p>
        </w:tc>
        <w:tc>
          <w:tcPr>
            <w:tcW w:w="4200" w:type="dxa"/>
            <w:vAlign w:val="bottom"/>
            <w:gridSpan w:val="18"/>
          </w:tcPr>
          <w:p>
            <w:pPr>
              <w:spacing w:after="0" w:line="165" w:lineRule="exact"/>
              <w:rPr>
                <w:sz w:val="20"/>
                <w:szCs w:val="20"/>
                <w:color w:val="auto"/>
              </w:rPr>
            </w:pPr>
            <w:r>
              <w:rPr>
                <w:rFonts w:ascii="Calibri" w:cs="Calibri" w:eastAsia="Calibri" w:hAnsi="Calibri"/>
                <w:sz w:val="15"/>
                <w:szCs w:val="15"/>
                <w:color w:val="0000FF"/>
              </w:rPr>
              <w:t>2023, by and between FSP Addison Circle Limited Partnership and</w:t>
            </w:r>
          </w:p>
        </w:tc>
        <w:tc>
          <w:tcPr>
            <w:tcW w:w="1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20"/>
        </w:trPr>
        <w:tc>
          <w:tcPr>
            <w:tcW w:w="940" w:type="dxa"/>
            <w:vAlign w:val="bottom"/>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64"/>
        </w:trPr>
        <w:tc>
          <w:tcPr>
            <w:tcW w:w="940" w:type="dxa"/>
            <w:vAlign w:val="bottom"/>
          </w:tcPr>
          <w:p>
            <w:pPr>
              <w:spacing w:after="0"/>
              <w:rPr>
                <w:sz w:val="14"/>
                <w:szCs w:val="14"/>
                <w:color w:val="auto"/>
              </w:rPr>
            </w:pPr>
          </w:p>
        </w:tc>
        <w:tc>
          <w:tcPr>
            <w:tcW w:w="4200" w:type="dxa"/>
            <w:vAlign w:val="bottom"/>
            <w:gridSpan w:val="18"/>
          </w:tcPr>
          <w:p>
            <w:pPr>
              <w:spacing w:after="0" w:line="165" w:lineRule="exact"/>
              <w:rPr>
                <w:sz w:val="20"/>
                <w:szCs w:val="20"/>
                <w:color w:val="auto"/>
              </w:rPr>
            </w:pPr>
            <w:r>
              <w:rPr>
                <w:rFonts w:ascii="Calibri" w:cs="Calibri" w:eastAsia="Calibri" w:hAnsi="Calibri"/>
                <w:sz w:val="15"/>
                <w:szCs w:val="15"/>
                <w:color w:val="0000FF"/>
              </w:rPr>
              <w:t>CarOfer, LLC.</w:t>
            </w:r>
          </w:p>
        </w:tc>
        <w:tc>
          <w:tcPr>
            <w:tcW w:w="1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87"/>
        </w:trPr>
        <w:tc>
          <w:tcPr>
            <w:tcW w:w="940" w:type="dxa"/>
            <w:vAlign w:val="bottom"/>
          </w:tcPr>
          <w:p>
            <w:pPr>
              <w:jc w:val="center"/>
              <w:ind w:right="83"/>
              <w:spacing w:after="0"/>
              <w:rPr>
                <w:sz w:val="20"/>
                <w:szCs w:val="20"/>
                <w:color w:val="auto"/>
              </w:rPr>
            </w:pPr>
            <w:r>
              <w:rPr>
                <w:rFonts w:ascii="Calibri" w:cs="Calibri" w:eastAsia="Calibri" w:hAnsi="Calibri"/>
                <w:sz w:val="15"/>
                <w:szCs w:val="15"/>
                <w:color w:val="auto"/>
                <w:w w:val="99"/>
              </w:rPr>
              <w:t>10.33</w:t>
            </w:r>
          </w:p>
        </w:tc>
        <w:tc>
          <w:tcPr>
            <w:tcW w:w="4200" w:type="dxa"/>
            <w:vAlign w:val="bottom"/>
            <w:gridSpan w:val="18"/>
          </w:tcPr>
          <w:p>
            <w:pPr>
              <w:spacing w:after="0"/>
              <w:rPr>
                <w:rFonts w:ascii="Calibri" w:cs="Calibri" w:eastAsia="Calibri" w:hAnsi="Calibri"/>
                <w:sz w:val="15"/>
                <w:szCs w:val="15"/>
                <w:color w:val="0000FF"/>
              </w:rPr>
            </w:pPr>
            <w:hyperlink r:id="rId561">
              <w:r>
                <w:rPr>
                  <w:rFonts w:ascii="Calibri" w:cs="Calibri" w:eastAsia="Calibri" w:hAnsi="Calibri"/>
                  <w:sz w:val="15"/>
                  <w:szCs w:val="15"/>
                  <w:color w:val="0000FF"/>
                </w:rPr>
                <w:t>Third Amended and Restated Limited Liability Company Agreement,</w:t>
              </w:r>
            </w:hyperlink>
          </w:p>
        </w:tc>
        <w:tc>
          <w:tcPr>
            <w:tcW w:w="1040" w:type="dxa"/>
            <w:vAlign w:val="bottom"/>
          </w:tcPr>
          <w:p>
            <w:pPr>
              <w:jc w:val="center"/>
              <w:ind w:left="3"/>
              <w:spacing w:after="0"/>
              <w:rPr>
                <w:sz w:val="20"/>
                <w:szCs w:val="20"/>
                <w:color w:val="auto"/>
              </w:rPr>
            </w:pPr>
            <w:r>
              <w:rPr>
                <w:rFonts w:ascii="Calibri" w:cs="Calibri" w:eastAsia="Calibri" w:hAnsi="Calibri"/>
                <w:sz w:val="15"/>
                <w:szCs w:val="15"/>
                <w:color w:val="auto"/>
              </w:rPr>
              <w:t>10-K</w:t>
            </w:r>
          </w:p>
        </w:tc>
        <w:tc>
          <w:tcPr>
            <w:tcW w:w="1360" w:type="dxa"/>
            <w:vAlign w:val="bottom"/>
          </w:tcPr>
          <w:p>
            <w:pPr>
              <w:jc w:val="right"/>
              <w:ind w:right="303"/>
              <w:spacing w:after="0"/>
              <w:rPr>
                <w:sz w:val="20"/>
                <w:szCs w:val="20"/>
                <w:color w:val="auto"/>
              </w:rPr>
            </w:pPr>
            <w:r>
              <w:rPr>
                <w:rFonts w:ascii="Calibri" w:cs="Calibri" w:eastAsia="Calibri" w:hAnsi="Calibri"/>
                <w:sz w:val="15"/>
                <w:szCs w:val="15"/>
                <w:color w:val="auto"/>
              </w:rPr>
              <w:t>001-38233</w:t>
            </w:r>
          </w:p>
        </w:tc>
        <w:tc>
          <w:tcPr>
            <w:tcW w:w="1940" w:type="dxa"/>
            <w:vAlign w:val="bottom"/>
          </w:tcPr>
          <w:p>
            <w:pPr>
              <w:jc w:val="center"/>
              <w:spacing w:after="0"/>
              <w:rPr>
                <w:sz w:val="20"/>
                <w:szCs w:val="20"/>
                <w:color w:val="auto"/>
              </w:rPr>
            </w:pPr>
            <w:r>
              <w:rPr>
                <w:rFonts w:ascii="Calibri" w:cs="Calibri" w:eastAsia="Calibri" w:hAnsi="Calibri"/>
                <w:sz w:val="15"/>
                <w:szCs w:val="15"/>
                <w:color w:val="auto"/>
                <w:w w:val="99"/>
              </w:rPr>
              <w:t>February 25, 2022</w:t>
            </w:r>
          </w:p>
        </w:tc>
        <w:tc>
          <w:tcPr>
            <w:tcW w:w="1780" w:type="dxa"/>
            <w:vAlign w:val="bottom"/>
          </w:tcPr>
          <w:p>
            <w:pPr>
              <w:jc w:val="center"/>
              <w:ind w:right="703"/>
              <w:spacing w:after="0"/>
              <w:rPr>
                <w:sz w:val="20"/>
                <w:szCs w:val="20"/>
                <w:color w:val="auto"/>
              </w:rPr>
            </w:pPr>
            <w:r>
              <w:rPr>
                <w:rFonts w:ascii="Calibri" w:cs="Calibri" w:eastAsia="Calibri" w:hAnsi="Calibri"/>
                <w:sz w:val="15"/>
                <w:szCs w:val="15"/>
                <w:color w:val="auto"/>
              </w:rPr>
              <w:t>10.27</w:t>
            </w:r>
          </w:p>
        </w:tc>
      </w:tr>
      <w:tr>
        <w:trPr>
          <w:trHeight w:val="20"/>
        </w:trPr>
        <w:tc>
          <w:tcPr>
            <w:tcW w:w="940" w:type="dxa"/>
            <w:vAlign w:val="bottom"/>
          </w:tcPr>
          <w:p>
            <w:pPr>
              <w:spacing w:after="0" w:line="20" w:lineRule="exact"/>
              <w:rPr>
                <w:sz w:val="1"/>
                <w:szCs w:val="1"/>
                <w:color w:val="auto"/>
              </w:rPr>
            </w:pPr>
          </w:p>
        </w:tc>
        <w:tc>
          <w:tcPr>
            <w:tcW w:w="10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64"/>
        </w:trPr>
        <w:tc>
          <w:tcPr>
            <w:tcW w:w="940" w:type="dxa"/>
            <w:vAlign w:val="bottom"/>
          </w:tcPr>
          <w:p>
            <w:pPr>
              <w:spacing w:after="0"/>
              <w:rPr>
                <w:sz w:val="14"/>
                <w:szCs w:val="14"/>
                <w:color w:val="auto"/>
              </w:rPr>
            </w:pPr>
          </w:p>
        </w:tc>
        <w:tc>
          <w:tcPr>
            <w:tcW w:w="4200" w:type="dxa"/>
            <w:vAlign w:val="bottom"/>
            <w:gridSpan w:val="18"/>
          </w:tcPr>
          <w:p>
            <w:pPr>
              <w:spacing w:after="0" w:line="165" w:lineRule="exact"/>
              <w:rPr>
                <w:rFonts w:ascii="Calibri" w:cs="Calibri" w:eastAsia="Calibri" w:hAnsi="Calibri"/>
                <w:sz w:val="15"/>
                <w:szCs w:val="15"/>
                <w:color w:val="0000FF"/>
                <w:w w:val="99"/>
              </w:rPr>
            </w:pPr>
            <w:hyperlink r:id="rId561">
              <w:r>
                <w:rPr>
                  <w:rFonts w:ascii="Calibri" w:cs="Calibri" w:eastAsia="Calibri" w:hAnsi="Calibri"/>
                  <w:sz w:val="15"/>
                  <w:szCs w:val="15"/>
                  <w:color w:val="0000FF"/>
                  <w:w w:val="99"/>
                </w:rPr>
                <w:t>dated November 23, 2021, by and among the Registrant, TopCo, the</w:t>
              </w:r>
            </w:hyperlink>
          </w:p>
        </w:tc>
        <w:tc>
          <w:tcPr>
            <w:tcW w:w="1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20"/>
        </w:trPr>
        <w:tc>
          <w:tcPr>
            <w:tcW w:w="940" w:type="dxa"/>
            <w:vAlign w:val="bottom"/>
          </w:tcPr>
          <w:p>
            <w:pPr>
              <w:spacing w:after="0" w:line="20" w:lineRule="exact"/>
              <w:rPr>
                <w:sz w:val="1"/>
                <w:szCs w:val="1"/>
                <w:color w:val="auto"/>
              </w:rPr>
            </w:pPr>
          </w:p>
        </w:tc>
        <w:tc>
          <w:tcPr>
            <w:tcW w:w="10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64"/>
        </w:trPr>
        <w:tc>
          <w:tcPr>
            <w:tcW w:w="940" w:type="dxa"/>
            <w:vAlign w:val="bottom"/>
          </w:tcPr>
          <w:p>
            <w:pPr>
              <w:spacing w:after="0"/>
              <w:rPr>
                <w:sz w:val="14"/>
                <w:szCs w:val="14"/>
                <w:color w:val="auto"/>
              </w:rPr>
            </w:pPr>
          </w:p>
        </w:tc>
        <w:tc>
          <w:tcPr>
            <w:tcW w:w="4200" w:type="dxa"/>
            <w:vAlign w:val="bottom"/>
            <w:gridSpan w:val="18"/>
          </w:tcPr>
          <w:p>
            <w:pPr>
              <w:spacing w:after="0" w:line="165" w:lineRule="exact"/>
              <w:rPr>
                <w:rFonts w:ascii="Calibri" w:cs="Calibri" w:eastAsia="Calibri" w:hAnsi="Calibri"/>
                <w:sz w:val="15"/>
                <w:szCs w:val="15"/>
                <w:color w:val="0000FF"/>
              </w:rPr>
            </w:pPr>
            <w:hyperlink r:id="rId561">
              <w:r>
                <w:rPr>
                  <w:rFonts w:ascii="Calibri" w:cs="Calibri" w:eastAsia="Calibri" w:hAnsi="Calibri"/>
                  <w:sz w:val="15"/>
                  <w:szCs w:val="15"/>
                  <w:color w:val="0000FF"/>
                </w:rPr>
                <w:t>Members of TopCo, and CarOfer MidCo, LLC.</w:t>
              </w:r>
            </w:hyperlink>
          </w:p>
        </w:tc>
        <w:tc>
          <w:tcPr>
            <w:tcW w:w="1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0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87"/>
        </w:trPr>
        <w:tc>
          <w:tcPr>
            <w:tcW w:w="940" w:type="dxa"/>
            <w:vAlign w:val="bottom"/>
          </w:tcPr>
          <w:p>
            <w:pPr>
              <w:jc w:val="center"/>
              <w:ind w:right="83"/>
              <w:spacing w:after="0"/>
              <w:rPr>
                <w:sz w:val="20"/>
                <w:szCs w:val="20"/>
                <w:color w:val="auto"/>
              </w:rPr>
            </w:pPr>
            <w:r>
              <w:rPr>
                <w:rFonts w:ascii="Calibri" w:cs="Calibri" w:eastAsia="Calibri" w:hAnsi="Calibri"/>
                <w:sz w:val="15"/>
                <w:szCs w:val="15"/>
                <w:color w:val="auto"/>
                <w:w w:val="99"/>
              </w:rPr>
              <w:t>10.34</w:t>
            </w:r>
          </w:p>
        </w:tc>
        <w:tc>
          <w:tcPr>
            <w:tcW w:w="4200" w:type="dxa"/>
            <w:vAlign w:val="bottom"/>
            <w:gridSpan w:val="18"/>
          </w:tcPr>
          <w:p>
            <w:pPr>
              <w:spacing w:after="0"/>
              <w:rPr>
                <w:rFonts w:ascii="Calibri" w:cs="Calibri" w:eastAsia="Calibri" w:hAnsi="Calibri"/>
                <w:sz w:val="15"/>
                <w:szCs w:val="15"/>
                <w:color w:val="0000FF"/>
              </w:rPr>
            </w:pPr>
            <w:hyperlink r:id="rId562">
              <w:r>
                <w:rPr>
                  <w:rFonts w:ascii="Calibri" w:cs="Calibri" w:eastAsia="Calibri" w:hAnsi="Calibri"/>
                  <w:sz w:val="15"/>
                  <w:szCs w:val="15"/>
                  <w:color w:val="0000FF"/>
                </w:rPr>
                <w:t>Correctve Amendment, dated May 6, 2022, to Third Amended and</w:t>
              </w:r>
            </w:hyperlink>
          </w:p>
        </w:tc>
        <w:tc>
          <w:tcPr>
            <w:tcW w:w="1040" w:type="dxa"/>
            <w:vAlign w:val="bottom"/>
          </w:tcPr>
          <w:p>
            <w:pPr>
              <w:jc w:val="center"/>
              <w:spacing w:after="0"/>
              <w:rPr>
                <w:sz w:val="20"/>
                <w:szCs w:val="20"/>
                <w:color w:val="auto"/>
              </w:rPr>
            </w:pPr>
            <w:r>
              <w:rPr>
                <w:rFonts w:ascii="Calibri" w:cs="Calibri" w:eastAsia="Calibri" w:hAnsi="Calibri"/>
                <w:sz w:val="15"/>
                <w:szCs w:val="15"/>
                <w:color w:val="auto"/>
              </w:rPr>
              <w:t>10-Q</w:t>
            </w:r>
          </w:p>
        </w:tc>
        <w:tc>
          <w:tcPr>
            <w:tcW w:w="1360" w:type="dxa"/>
            <w:vAlign w:val="bottom"/>
          </w:tcPr>
          <w:p>
            <w:pPr>
              <w:jc w:val="right"/>
              <w:ind w:right="303"/>
              <w:spacing w:after="0"/>
              <w:rPr>
                <w:sz w:val="20"/>
                <w:szCs w:val="20"/>
                <w:color w:val="auto"/>
              </w:rPr>
            </w:pPr>
            <w:r>
              <w:rPr>
                <w:rFonts w:ascii="Calibri" w:cs="Calibri" w:eastAsia="Calibri" w:hAnsi="Calibri"/>
                <w:sz w:val="15"/>
                <w:szCs w:val="15"/>
                <w:color w:val="auto"/>
              </w:rPr>
              <w:t>001-38233</w:t>
            </w:r>
          </w:p>
        </w:tc>
        <w:tc>
          <w:tcPr>
            <w:tcW w:w="1940" w:type="dxa"/>
            <w:vAlign w:val="bottom"/>
          </w:tcPr>
          <w:p>
            <w:pPr>
              <w:jc w:val="center"/>
              <w:spacing w:after="0"/>
              <w:rPr>
                <w:sz w:val="20"/>
                <w:szCs w:val="20"/>
                <w:color w:val="auto"/>
              </w:rPr>
            </w:pPr>
            <w:r>
              <w:rPr>
                <w:rFonts w:ascii="Calibri" w:cs="Calibri" w:eastAsia="Calibri" w:hAnsi="Calibri"/>
                <w:sz w:val="15"/>
                <w:szCs w:val="15"/>
                <w:color w:val="auto"/>
              </w:rPr>
              <w:t>May 9, 2022</w:t>
            </w:r>
          </w:p>
        </w:tc>
        <w:tc>
          <w:tcPr>
            <w:tcW w:w="1780" w:type="dxa"/>
            <w:vAlign w:val="bottom"/>
          </w:tcPr>
          <w:p>
            <w:pPr>
              <w:jc w:val="center"/>
              <w:ind w:right="703"/>
              <w:spacing w:after="0"/>
              <w:rPr>
                <w:sz w:val="20"/>
                <w:szCs w:val="20"/>
                <w:color w:val="auto"/>
              </w:rPr>
            </w:pPr>
            <w:r>
              <w:rPr>
                <w:rFonts w:ascii="Calibri" w:cs="Calibri" w:eastAsia="Calibri" w:hAnsi="Calibri"/>
                <w:sz w:val="15"/>
                <w:szCs w:val="15"/>
                <w:color w:val="auto"/>
              </w:rPr>
              <w:t>10.5</w:t>
            </w:r>
          </w:p>
        </w:tc>
      </w:tr>
      <w:tr>
        <w:trPr>
          <w:trHeight w:val="20"/>
        </w:trPr>
        <w:tc>
          <w:tcPr>
            <w:tcW w:w="940" w:type="dxa"/>
            <w:vAlign w:val="bottom"/>
          </w:tcPr>
          <w:p>
            <w:pPr>
              <w:spacing w:after="0" w:line="20" w:lineRule="exact"/>
              <w:rPr>
                <w:sz w:val="1"/>
                <w:szCs w:val="1"/>
                <w:color w:val="auto"/>
              </w:rPr>
            </w:pPr>
          </w:p>
        </w:tc>
        <w:tc>
          <w:tcPr>
            <w:tcW w:w="10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64"/>
        </w:trPr>
        <w:tc>
          <w:tcPr>
            <w:tcW w:w="940" w:type="dxa"/>
            <w:vAlign w:val="bottom"/>
          </w:tcPr>
          <w:p>
            <w:pPr>
              <w:spacing w:after="0"/>
              <w:rPr>
                <w:sz w:val="14"/>
                <w:szCs w:val="14"/>
                <w:color w:val="auto"/>
              </w:rPr>
            </w:pPr>
          </w:p>
        </w:tc>
        <w:tc>
          <w:tcPr>
            <w:tcW w:w="4200" w:type="dxa"/>
            <w:vAlign w:val="bottom"/>
            <w:gridSpan w:val="18"/>
          </w:tcPr>
          <w:p>
            <w:pPr>
              <w:spacing w:after="0" w:line="165" w:lineRule="exact"/>
              <w:rPr>
                <w:rFonts w:ascii="Calibri" w:cs="Calibri" w:eastAsia="Calibri" w:hAnsi="Calibri"/>
                <w:sz w:val="15"/>
                <w:szCs w:val="15"/>
                <w:color w:val="0000FF"/>
                <w:w w:val="98"/>
              </w:rPr>
            </w:pPr>
            <w:hyperlink r:id="rId562">
              <w:r>
                <w:rPr>
                  <w:rFonts w:ascii="Calibri" w:cs="Calibri" w:eastAsia="Calibri" w:hAnsi="Calibri"/>
                  <w:sz w:val="15"/>
                  <w:szCs w:val="15"/>
                  <w:color w:val="0000FF"/>
                  <w:w w:val="98"/>
                </w:rPr>
                <w:t>Restated Limited Liability Company Agreement of CarOfer, LLC, dated</w:t>
              </w:r>
            </w:hyperlink>
          </w:p>
        </w:tc>
        <w:tc>
          <w:tcPr>
            <w:tcW w:w="1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20"/>
        </w:trPr>
        <w:tc>
          <w:tcPr>
            <w:tcW w:w="940" w:type="dxa"/>
            <w:vAlign w:val="bottom"/>
          </w:tcPr>
          <w:p>
            <w:pPr>
              <w:spacing w:after="0" w:line="20" w:lineRule="exact"/>
              <w:rPr>
                <w:sz w:val="1"/>
                <w:szCs w:val="1"/>
                <w:color w:val="auto"/>
              </w:rPr>
            </w:pPr>
          </w:p>
        </w:tc>
        <w:tc>
          <w:tcPr>
            <w:tcW w:w="10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040" w:type="dxa"/>
            <w:vAlign w:val="bottom"/>
            <w:tcBorders>
              <w:left w:val="single" w:sz="8" w:color="0000FF"/>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64"/>
        </w:trPr>
        <w:tc>
          <w:tcPr>
            <w:tcW w:w="940" w:type="dxa"/>
            <w:vAlign w:val="bottom"/>
          </w:tcPr>
          <w:p>
            <w:pPr>
              <w:spacing w:after="0"/>
              <w:rPr>
                <w:sz w:val="14"/>
                <w:szCs w:val="14"/>
                <w:color w:val="auto"/>
              </w:rPr>
            </w:pPr>
          </w:p>
        </w:tc>
        <w:tc>
          <w:tcPr>
            <w:tcW w:w="4200" w:type="dxa"/>
            <w:vAlign w:val="bottom"/>
            <w:gridSpan w:val="18"/>
          </w:tcPr>
          <w:p>
            <w:pPr>
              <w:spacing w:after="0" w:line="165" w:lineRule="exact"/>
              <w:rPr>
                <w:rFonts w:ascii="Calibri" w:cs="Calibri" w:eastAsia="Calibri" w:hAnsi="Calibri"/>
                <w:sz w:val="15"/>
                <w:szCs w:val="15"/>
                <w:color w:val="0000FF"/>
              </w:rPr>
            </w:pPr>
            <w:hyperlink r:id="rId562">
              <w:r>
                <w:rPr>
                  <w:rFonts w:ascii="Calibri" w:cs="Calibri" w:eastAsia="Calibri" w:hAnsi="Calibri"/>
                  <w:sz w:val="15"/>
                  <w:szCs w:val="15"/>
                  <w:color w:val="0000FF"/>
                </w:rPr>
                <w:t>November 23, 2021, by and among the Registrant, CarOfer, LLC,</w:t>
              </w:r>
            </w:hyperlink>
          </w:p>
        </w:tc>
        <w:tc>
          <w:tcPr>
            <w:tcW w:w="1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20"/>
        </w:trPr>
        <w:tc>
          <w:tcPr>
            <w:tcW w:w="940" w:type="dxa"/>
            <w:vAlign w:val="bottom"/>
          </w:tcPr>
          <w:p>
            <w:pPr>
              <w:spacing w:after="0" w:line="20" w:lineRule="exact"/>
              <w:rPr>
                <w:sz w:val="1"/>
                <w:szCs w:val="1"/>
                <w:color w:val="auto"/>
              </w:rPr>
            </w:pPr>
          </w:p>
        </w:tc>
        <w:tc>
          <w:tcPr>
            <w:tcW w:w="10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64"/>
        </w:trPr>
        <w:tc>
          <w:tcPr>
            <w:tcW w:w="940" w:type="dxa"/>
            <w:vAlign w:val="bottom"/>
          </w:tcPr>
          <w:p>
            <w:pPr>
              <w:spacing w:after="0"/>
              <w:rPr>
                <w:sz w:val="14"/>
                <w:szCs w:val="14"/>
                <w:color w:val="auto"/>
              </w:rPr>
            </w:pPr>
          </w:p>
        </w:tc>
        <w:tc>
          <w:tcPr>
            <w:tcW w:w="4200" w:type="dxa"/>
            <w:vAlign w:val="bottom"/>
            <w:gridSpan w:val="18"/>
          </w:tcPr>
          <w:p>
            <w:pPr>
              <w:spacing w:after="0" w:line="165" w:lineRule="exact"/>
              <w:rPr>
                <w:rFonts w:ascii="Calibri" w:cs="Calibri" w:eastAsia="Calibri" w:hAnsi="Calibri"/>
                <w:sz w:val="15"/>
                <w:szCs w:val="15"/>
                <w:color w:val="0000FF"/>
              </w:rPr>
            </w:pPr>
            <w:hyperlink r:id="rId562">
              <w:r>
                <w:rPr>
                  <w:rFonts w:ascii="Calibri" w:cs="Calibri" w:eastAsia="Calibri" w:hAnsi="Calibri"/>
                  <w:sz w:val="15"/>
                  <w:szCs w:val="15"/>
                  <w:color w:val="0000FF"/>
                </w:rPr>
                <w:t>TopCo, and CarOfer Midco, LLC</w:t>
              </w:r>
            </w:hyperlink>
          </w:p>
        </w:tc>
        <w:tc>
          <w:tcPr>
            <w:tcW w:w="1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0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87"/>
        </w:trPr>
        <w:tc>
          <w:tcPr>
            <w:tcW w:w="940" w:type="dxa"/>
            <w:vAlign w:val="bottom"/>
          </w:tcPr>
          <w:p>
            <w:pPr>
              <w:jc w:val="center"/>
              <w:ind w:right="83"/>
              <w:spacing w:after="0"/>
              <w:rPr>
                <w:sz w:val="20"/>
                <w:szCs w:val="20"/>
                <w:color w:val="auto"/>
              </w:rPr>
            </w:pPr>
            <w:r>
              <w:rPr>
                <w:rFonts w:ascii="Calibri" w:cs="Calibri" w:eastAsia="Calibri" w:hAnsi="Calibri"/>
                <w:sz w:val="15"/>
                <w:szCs w:val="15"/>
                <w:color w:val="auto"/>
                <w:w w:val="99"/>
              </w:rPr>
              <w:t>10.35</w:t>
            </w:r>
          </w:p>
        </w:tc>
        <w:tc>
          <w:tcPr>
            <w:tcW w:w="4200" w:type="dxa"/>
            <w:vAlign w:val="bottom"/>
            <w:gridSpan w:val="18"/>
          </w:tcPr>
          <w:p>
            <w:pPr>
              <w:spacing w:after="0"/>
              <w:rPr>
                <w:rFonts w:ascii="Calibri" w:cs="Calibri" w:eastAsia="Calibri" w:hAnsi="Calibri"/>
                <w:sz w:val="15"/>
                <w:szCs w:val="15"/>
                <w:color w:val="0000FF"/>
              </w:rPr>
            </w:pPr>
            <w:hyperlink r:id="rId563">
              <w:r>
                <w:rPr>
                  <w:rFonts w:ascii="Calibri" w:cs="Calibri" w:eastAsia="Calibri" w:hAnsi="Calibri"/>
                  <w:sz w:val="15"/>
                  <w:szCs w:val="15"/>
                  <w:color w:val="0000FF"/>
                </w:rPr>
                <w:t>Credit Agreement, dated September 26, 2022, by and among the</w:t>
              </w:r>
            </w:hyperlink>
          </w:p>
        </w:tc>
        <w:tc>
          <w:tcPr>
            <w:tcW w:w="1040" w:type="dxa"/>
            <w:vAlign w:val="bottom"/>
          </w:tcPr>
          <w:p>
            <w:pPr>
              <w:jc w:val="center"/>
              <w:ind w:left="3"/>
              <w:spacing w:after="0"/>
              <w:rPr>
                <w:sz w:val="20"/>
                <w:szCs w:val="20"/>
                <w:color w:val="auto"/>
              </w:rPr>
            </w:pPr>
            <w:r>
              <w:rPr>
                <w:rFonts w:ascii="Calibri" w:cs="Calibri" w:eastAsia="Calibri" w:hAnsi="Calibri"/>
                <w:sz w:val="15"/>
                <w:szCs w:val="15"/>
                <w:color w:val="auto"/>
                <w:w w:val="99"/>
              </w:rPr>
              <w:t>8-K</w:t>
            </w:r>
          </w:p>
        </w:tc>
        <w:tc>
          <w:tcPr>
            <w:tcW w:w="1360" w:type="dxa"/>
            <w:vAlign w:val="bottom"/>
          </w:tcPr>
          <w:p>
            <w:pPr>
              <w:jc w:val="right"/>
              <w:ind w:right="303"/>
              <w:spacing w:after="0"/>
              <w:rPr>
                <w:sz w:val="20"/>
                <w:szCs w:val="20"/>
                <w:color w:val="auto"/>
              </w:rPr>
            </w:pPr>
            <w:r>
              <w:rPr>
                <w:rFonts w:ascii="Calibri" w:cs="Calibri" w:eastAsia="Calibri" w:hAnsi="Calibri"/>
                <w:sz w:val="15"/>
                <w:szCs w:val="15"/>
                <w:color w:val="auto"/>
              </w:rPr>
              <w:t>001-38233</w:t>
            </w:r>
          </w:p>
        </w:tc>
        <w:tc>
          <w:tcPr>
            <w:tcW w:w="1940" w:type="dxa"/>
            <w:vAlign w:val="bottom"/>
          </w:tcPr>
          <w:p>
            <w:pPr>
              <w:jc w:val="center"/>
              <w:spacing w:after="0"/>
              <w:rPr>
                <w:sz w:val="20"/>
                <w:szCs w:val="20"/>
                <w:color w:val="auto"/>
              </w:rPr>
            </w:pPr>
            <w:r>
              <w:rPr>
                <w:rFonts w:ascii="Calibri" w:cs="Calibri" w:eastAsia="Calibri" w:hAnsi="Calibri"/>
                <w:sz w:val="15"/>
                <w:szCs w:val="15"/>
                <w:color w:val="auto"/>
              </w:rPr>
              <w:t>September 29, 2022</w:t>
            </w:r>
          </w:p>
        </w:tc>
        <w:tc>
          <w:tcPr>
            <w:tcW w:w="1780" w:type="dxa"/>
            <w:vAlign w:val="bottom"/>
          </w:tcPr>
          <w:p>
            <w:pPr>
              <w:jc w:val="center"/>
              <w:ind w:right="703"/>
              <w:spacing w:after="0"/>
              <w:rPr>
                <w:sz w:val="20"/>
                <w:szCs w:val="20"/>
                <w:color w:val="auto"/>
              </w:rPr>
            </w:pPr>
            <w:r>
              <w:rPr>
                <w:rFonts w:ascii="Calibri" w:cs="Calibri" w:eastAsia="Calibri" w:hAnsi="Calibri"/>
                <w:sz w:val="15"/>
                <w:szCs w:val="15"/>
                <w:color w:val="auto"/>
              </w:rPr>
              <w:t>10.1</w:t>
            </w:r>
          </w:p>
        </w:tc>
      </w:tr>
      <w:tr>
        <w:trPr>
          <w:trHeight w:val="20"/>
        </w:trPr>
        <w:tc>
          <w:tcPr>
            <w:tcW w:w="940" w:type="dxa"/>
            <w:vAlign w:val="bottom"/>
          </w:tcPr>
          <w:p>
            <w:pPr>
              <w:spacing w:after="0" w:line="20" w:lineRule="exact"/>
              <w:rPr>
                <w:sz w:val="1"/>
                <w:szCs w:val="1"/>
                <w:color w:val="auto"/>
              </w:rPr>
            </w:pPr>
          </w:p>
        </w:tc>
        <w:tc>
          <w:tcPr>
            <w:tcW w:w="10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FF"/>
            </w:tcBorders>
            <w:gridSpan w:val="2"/>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64"/>
        </w:trPr>
        <w:tc>
          <w:tcPr>
            <w:tcW w:w="940" w:type="dxa"/>
            <w:vAlign w:val="bottom"/>
          </w:tcPr>
          <w:p>
            <w:pPr>
              <w:spacing w:after="0"/>
              <w:rPr>
                <w:sz w:val="14"/>
                <w:szCs w:val="14"/>
                <w:color w:val="auto"/>
              </w:rPr>
            </w:pPr>
          </w:p>
        </w:tc>
        <w:tc>
          <w:tcPr>
            <w:tcW w:w="4200" w:type="dxa"/>
            <w:vAlign w:val="bottom"/>
            <w:gridSpan w:val="18"/>
          </w:tcPr>
          <w:p>
            <w:pPr>
              <w:spacing w:after="0" w:line="165" w:lineRule="exact"/>
              <w:rPr>
                <w:rFonts w:ascii="Calibri" w:cs="Calibri" w:eastAsia="Calibri" w:hAnsi="Calibri"/>
                <w:sz w:val="15"/>
                <w:szCs w:val="15"/>
                <w:color w:val="0000FF"/>
              </w:rPr>
            </w:pPr>
            <w:hyperlink r:id="rId563">
              <w:r>
                <w:rPr>
                  <w:rFonts w:ascii="Calibri" w:cs="Calibri" w:eastAsia="Calibri" w:hAnsi="Calibri"/>
                  <w:sz w:val="15"/>
                  <w:szCs w:val="15"/>
                  <w:color w:val="0000FF"/>
                </w:rPr>
                <w:t>Registrant, as borrower, PNC Bank, Natonal Associaton, as</w:t>
              </w:r>
            </w:hyperlink>
          </w:p>
        </w:tc>
        <w:tc>
          <w:tcPr>
            <w:tcW w:w="1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20"/>
        </w:trPr>
        <w:tc>
          <w:tcPr>
            <w:tcW w:w="940" w:type="dxa"/>
            <w:vAlign w:val="bottom"/>
          </w:tcPr>
          <w:p>
            <w:pPr>
              <w:spacing w:after="0" w:line="20" w:lineRule="exact"/>
              <w:rPr>
                <w:sz w:val="1"/>
                <w:szCs w:val="1"/>
                <w:color w:val="auto"/>
              </w:rPr>
            </w:pPr>
          </w:p>
        </w:tc>
        <w:tc>
          <w:tcPr>
            <w:tcW w:w="10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FF"/>
            </w:tcBorders>
            <w:gridSpan w:val="2"/>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64"/>
        </w:trPr>
        <w:tc>
          <w:tcPr>
            <w:tcW w:w="940" w:type="dxa"/>
            <w:vAlign w:val="bottom"/>
          </w:tcPr>
          <w:p>
            <w:pPr>
              <w:spacing w:after="0"/>
              <w:rPr>
                <w:sz w:val="14"/>
                <w:szCs w:val="14"/>
                <w:color w:val="auto"/>
              </w:rPr>
            </w:pPr>
          </w:p>
        </w:tc>
        <w:tc>
          <w:tcPr>
            <w:tcW w:w="4200" w:type="dxa"/>
            <w:vAlign w:val="bottom"/>
            <w:gridSpan w:val="18"/>
          </w:tcPr>
          <w:p>
            <w:pPr>
              <w:spacing w:after="0" w:line="165" w:lineRule="exact"/>
              <w:rPr>
                <w:rFonts w:ascii="Calibri" w:cs="Calibri" w:eastAsia="Calibri" w:hAnsi="Calibri"/>
                <w:sz w:val="15"/>
                <w:szCs w:val="15"/>
                <w:color w:val="0000FF"/>
                <w:w w:val="98"/>
              </w:rPr>
            </w:pPr>
            <w:hyperlink r:id="rId563">
              <w:r>
                <w:rPr>
                  <w:rFonts w:ascii="Calibri" w:cs="Calibri" w:eastAsia="Calibri" w:hAnsi="Calibri"/>
                  <w:sz w:val="15"/>
                  <w:szCs w:val="15"/>
                  <w:color w:val="0000FF"/>
                  <w:w w:val="98"/>
                </w:rPr>
                <w:t>administratve agent, collateral agent and an L/C Issuer, and the other</w:t>
              </w:r>
            </w:hyperlink>
          </w:p>
        </w:tc>
        <w:tc>
          <w:tcPr>
            <w:tcW w:w="1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20"/>
        </w:trPr>
        <w:tc>
          <w:tcPr>
            <w:tcW w:w="940" w:type="dxa"/>
            <w:vAlign w:val="bottom"/>
          </w:tcPr>
          <w:p>
            <w:pPr>
              <w:spacing w:after="0" w:line="20" w:lineRule="exact"/>
              <w:rPr>
                <w:sz w:val="1"/>
                <w:szCs w:val="1"/>
                <w:color w:val="auto"/>
              </w:rPr>
            </w:pPr>
          </w:p>
        </w:tc>
        <w:tc>
          <w:tcPr>
            <w:tcW w:w="10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FF"/>
            </w:tcBorders>
            <w:gridSpan w:val="2"/>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040" w:type="dxa"/>
            <w:vAlign w:val="bottom"/>
            <w:tcBorders>
              <w:left w:val="single" w:sz="8" w:color="0000FF"/>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64"/>
        </w:trPr>
        <w:tc>
          <w:tcPr>
            <w:tcW w:w="940" w:type="dxa"/>
            <w:vAlign w:val="bottom"/>
          </w:tcPr>
          <w:p>
            <w:pPr>
              <w:spacing w:after="0"/>
              <w:rPr>
                <w:sz w:val="14"/>
                <w:szCs w:val="14"/>
                <w:color w:val="auto"/>
              </w:rPr>
            </w:pPr>
          </w:p>
        </w:tc>
        <w:tc>
          <w:tcPr>
            <w:tcW w:w="4200" w:type="dxa"/>
            <w:vAlign w:val="bottom"/>
            <w:gridSpan w:val="18"/>
          </w:tcPr>
          <w:p>
            <w:pPr>
              <w:spacing w:after="0" w:line="165" w:lineRule="exact"/>
              <w:rPr>
                <w:rFonts w:ascii="Calibri" w:cs="Calibri" w:eastAsia="Calibri" w:hAnsi="Calibri"/>
                <w:sz w:val="15"/>
                <w:szCs w:val="15"/>
                <w:color w:val="0000FF"/>
              </w:rPr>
            </w:pPr>
            <w:hyperlink r:id="rId563">
              <w:r>
                <w:rPr>
                  <w:rFonts w:ascii="Calibri" w:cs="Calibri" w:eastAsia="Calibri" w:hAnsi="Calibri"/>
                  <w:sz w:val="15"/>
                  <w:szCs w:val="15"/>
                  <w:color w:val="0000FF"/>
                </w:rPr>
                <w:t>lenders, L/C Issuers and other partes party thereto</w:t>
              </w:r>
              <w:r>
                <w:rPr>
                  <w:rFonts w:ascii="Calibri" w:cs="Calibri" w:eastAsia="Calibri" w:hAnsi="Calibri"/>
                  <w:sz w:val="15"/>
                  <w:szCs w:val="15"/>
                  <w:color w:val="000000"/>
                </w:rPr>
                <w:t>*</w:t>
              </w:r>
            </w:hyperlink>
          </w:p>
        </w:tc>
        <w:tc>
          <w:tcPr>
            <w:tcW w:w="1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0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FF"/>
            </w:tcBorders>
            <w:gridSpan w:val="2"/>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87"/>
        </w:trPr>
        <w:tc>
          <w:tcPr>
            <w:tcW w:w="940" w:type="dxa"/>
            <w:vAlign w:val="bottom"/>
          </w:tcPr>
          <w:p>
            <w:pPr>
              <w:jc w:val="center"/>
              <w:ind w:right="83"/>
              <w:spacing w:after="0"/>
              <w:rPr>
                <w:sz w:val="20"/>
                <w:szCs w:val="20"/>
                <w:color w:val="auto"/>
              </w:rPr>
            </w:pPr>
            <w:r>
              <w:rPr>
                <w:rFonts w:ascii="Calibri" w:cs="Calibri" w:eastAsia="Calibri" w:hAnsi="Calibri"/>
                <w:sz w:val="15"/>
                <w:szCs w:val="15"/>
                <w:color w:val="auto"/>
                <w:w w:val="97"/>
              </w:rPr>
              <w:t>21.1</w:t>
            </w:r>
          </w:p>
        </w:tc>
        <w:tc>
          <w:tcPr>
            <w:tcW w:w="4200" w:type="dxa"/>
            <w:vAlign w:val="bottom"/>
            <w:gridSpan w:val="18"/>
          </w:tcPr>
          <w:p>
            <w:pPr>
              <w:spacing w:after="0"/>
              <w:rPr>
                <w:sz w:val="20"/>
                <w:szCs w:val="20"/>
                <w:color w:val="auto"/>
              </w:rPr>
            </w:pPr>
            <w:r>
              <w:rPr>
                <w:rFonts w:ascii="Calibri" w:cs="Calibri" w:eastAsia="Calibri" w:hAnsi="Calibri"/>
                <w:sz w:val="15"/>
                <w:szCs w:val="15"/>
                <w:color w:val="0000FF"/>
              </w:rPr>
              <w:t>List of Subsidiaries of the Registrant.</w:t>
            </w:r>
          </w:p>
        </w:tc>
        <w:tc>
          <w:tcPr>
            <w:tcW w:w="10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780" w:type="dxa"/>
            <w:vAlign w:val="bottom"/>
          </w:tcPr>
          <w:p>
            <w:pPr>
              <w:ind w:left="1340"/>
              <w:spacing w:after="0"/>
              <w:rPr>
                <w:sz w:val="20"/>
                <w:szCs w:val="20"/>
                <w:color w:val="auto"/>
              </w:rPr>
            </w:pPr>
            <w:r>
              <w:rPr>
                <w:rFonts w:ascii="Calibri" w:cs="Calibri" w:eastAsia="Calibri" w:hAnsi="Calibri"/>
                <w:sz w:val="15"/>
                <w:szCs w:val="15"/>
                <w:color w:val="auto"/>
              </w:rPr>
              <w:t>X</w:t>
            </w: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0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EE"/>
            </w:tcBorders>
            <w:gridSpan w:val="2"/>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87"/>
        </w:trPr>
        <w:tc>
          <w:tcPr>
            <w:tcW w:w="940" w:type="dxa"/>
            <w:vAlign w:val="bottom"/>
          </w:tcPr>
          <w:p>
            <w:pPr>
              <w:jc w:val="center"/>
              <w:ind w:right="83"/>
              <w:spacing w:after="0"/>
              <w:rPr>
                <w:sz w:val="20"/>
                <w:szCs w:val="20"/>
                <w:color w:val="auto"/>
              </w:rPr>
            </w:pPr>
            <w:r>
              <w:rPr>
                <w:rFonts w:ascii="Calibri" w:cs="Calibri" w:eastAsia="Calibri" w:hAnsi="Calibri"/>
                <w:sz w:val="15"/>
                <w:szCs w:val="15"/>
                <w:color w:val="auto"/>
                <w:w w:val="97"/>
              </w:rPr>
              <w:t>23.1</w:t>
            </w:r>
          </w:p>
        </w:tc>
        <w:tc>
          <w:tcPr>
            <w:tcW w:w="4200" w:type="dxa"/>
            <w:vAlign w:val="bottom"/>
            <w:gridSpan w:val="18"/>
          </w:tcPr>
          <w:p>
            <w:pPr>
              <w:spacing w:after="0"/>
              <w:rPr>
                <w:sz w:val="20"/>
                <w:szCs w:val="20"/>
                <w:color w:val="auto"/>
              </w:rPr>
            </w:pPr>
            <w:r>
              <w:rPr>
                <w:rFonts w:ascii="Calibri" w:cs="Calibri" w:eastAsia="Calibri" w:hAnsi="Calibri"/>
                <w:sz w:val="15"/>
                <w:szCs w:val="15"/>
                <w:color w:val="0000FF"/>
              </w:rPr>
              <w:t>Consent of Ernst &amp; Young LLP, Independent Registered Public</w:t>
            </w:r>
          </w:p>
        </w:tc>
        <w:tc>
          <w:tcPr>
            <w:tcW w:w="10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780" w:type="dxa"/>
            <w:vAlign w:val="bottom"/>
          </w:tcPr>
          <w:p>
            <w:pPr>
              <w:ind w:left="1340"/>
              <w:spacing w:after="0"/>
              <w:rPr>
                <w:sz w:val="20"/>
                <w:szCs w:val="20"/>
                <w:color w:val="auto"/>
              </w:rPr>
            </w:pPr>
            <w:r>
              <w:rPr>
                <w:rFonts w:ascii="Calibri" w:cs="Calibri" w:eastAsia="Calibri" w:hAnsi="Calibri"/>
                <w:sz w:val="15"/>
                <w:szCs w:val="15"/>
                <w:color w:val="auto"/>
              </w:rPr>
              <w:t>X</w:t>
            </w:r>
          </w:p>
        </w:tc>
      </w:tr>
      <w:tr>
        <w:trPr>
          <w:trHeight w:val="20"/>
        </w:trPr>
        <w:tc>
          <w:tcPr>
            <w:tcW w:w="940" w:type="dxa"/>
            <w:vAlign w:val="bottom"/>
          </w:tcPr>
          <w:p>
            <w:pPr>
              <w:spacing w:after="0" w:line="20" w:lineRule="exact"/>
              <w:rPr>
                <w:sz w:val="1"/>
                <w:szCs w:val="1"/>
                <w:color w:val="auto"/>
              </w:rPr>
            </w:pPr>
          </w:p>
        </w:tc>
        <w:tc>
          <w:tcPr>
            <w:tcW w:w="10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80" w:type="dxa"/>
            <w:vAlign w:val="bottom"/>
            <w:tcBorders>
              <w:right w:val="single" w:sz="8" w:color="0000FF"/>
            </w:tcBorders>
            <w:gridSpan w:val="4"/>
            <w:shd w:val="clear" w:color="auto" w:fill="0000FF"/>
          </w:tcPr>
          <w:p>
            <w:pPr>
              <w:spacing w:after="0" w:line="20" w:lineRule="exact"/>
              <w:rPr>
                <w:sz w:val="1"/>
                <w:szCs w:val="1"/>
                <w:color w:val="auto"/>
              </w:rPr>
            </w:pPr>
          </w:p>
        </w:tc>
        <w:tc>
          <w:tcPr>
            <w:tcW w:w="780" w:type="dxa"/>
            <w:vAlign w:val="bottom"/>
            <w:tcBorders>
              <w:left w:val="single" w:sz="8" w:color="0000FF"/>
            </w:tcBorders>
            <w:gridSpan w:val="4"/>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64"/>
        </w:trPr>
        <w:tc>
          <w:tcPr>
            <w:tcW w:w="940" w:type="dxa"/>
            <w:vAlign w:val="bottom"/>
          </w:tcPr>
          <w:p>
            <w:pPr>
              <w:spacing w:after="0"/>
              <w:rPr>
                <w:sz w:val="14"/>
                <w:szCs w:val="14"/>
                <w:color w:val="auto"/>
              </w:rPr>
            </w:pPr>
          </w:p>
        </w:tc>
        <w:tc>
          <w:tcPr>
            <w:tcW w:w="4200" w:type="dxa"/>
            <w:vAlign w:val="bottom"/>
            <w:gridSpan w:val="18"/>
          </w:tcPr>
          <w:p>
            <w:pPr>
              <w:spacing w:after="0" w:line="165" w:lineRule="exact"/>
              <w:rPr>
                <w:sz w:val="20"/>
                <w:szCs w:val="20"/>
                <w:color w:val="auto"/>
              </w:rPr>
            </w:pPr>
            <w:r>
              <w:rPr>
                <w:rFonts w:ascii="Calibri" w:cs="Calibri" w:eastAsia="Calibri" w:hAnsi="Calibri"/>
                <w:sz w:val="15"/>
                <w:szCs w:val="15"/>
                <w:color w:val="0000FF"/>
              </w:rPr>
              <w:t>Accountng Firm.</w:t>
            </w:r>
          </w:p>
        </w:tc>
        <w:tc>
          <w:tcPr>
            <w:tcW w:w="1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020" w:type="dxa"/>
            <w:vAlign w:val="bottom"/>
            <w:tcBorders>
              <w:right w:val="single" w:sz="8" w:color="0000EE"/>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87"/>
        </w:trPr>
        <w:tc>
          <w:tcPr>
            <w:tcW w:w="940" w:type="dxa"/>
            <w:vAlign w:val="bottom"/>
          </w:tcPr>
          <w:p>
            <w:pPr>
              <w:jc w:val="center"/>
              <w:ind w:right="83"/>
              <w:spacing w:after="0"/>
              <w:rPr>
                <w:sz w:val="20"/>
                <w:szCs w:val="20"/>
                <w:color w:val="auto"/>
              </w:rPr>
            </w:pPr>
            <w:r>
              <w:rPr>
                <w:rFonts w:ascii="Calibri" w:cs="Calibri" w:eastAsia="Calibri" w:hAnsi="Calibri"/>
                <w:sz w:val="15"/>
                <w:szCs w:val="15"/>
                <w:color w:val="auto"/>
                <w:w w:val="97"/>
              </w:rPr>
              <w:t>31.1</w:t>
            </w:r>
          </w:p>
        </w:tc>
        <w:tc>
          <w:tcPr>
            <w:tcW w:w="4200" w:type="dxa"/>
            <w:vAlign w:val="bottom"/>
            <w:gridSpan w:val="18"/>
          </w:tcPr>
          <w:p>
            <w:pPr>
              <w:spacing w:after="0"/>
              <w:rPr>
                <w:sz w:val="20"/>
                <w:szCs w:val="20"/>
                <w:color w:val="auto"/>
              </w:rPr>
            </w:pPr>
            <w:r>
              <w:rPr>
                <w:rFonts w:ascii="Calibri" w:cs="Calibri" w:eastAsia="Calibri" w:hAnsi="Calibri"/>
                <w:sz w:val="15"/>
                <w:szCs w:val="15"/>
                <w:color w:val="0000FF"/>
              </w:rPr>
              <w:t>Certfcaton of Principal Executve Ofcer Pursuant to Rules 13a-14(a)</w:t>
            </w:r>
          </w:p>
        </w:tc>
        <w:tc>
          <w:tcPr>
            <w:tcW w:w="10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780" w:type="dxa"/>
            <w:vAlign w:val="bottom"/>
          </w:tcPr>
          <w:p>
            <w:pPr>
              <w:ind w:left="1340"/>
              <w:spacing w:after="0"/>
              <w:rPr>
                <w:sz w:val="20"/>
                <w:szCs w:val="20"/>
                <w:color w:val="auto"/>
              </w:rPr>
            </w:pPr>
            <w:r>
              <w:rPr>
                <w:rFonts w:ascii="Calibri" w:cs="Calibri" w:eastAsia="Calibri" w:hAnsi="Calibri"/>
                <w:sz w:val="15"/>
                <w:szCs w:val="15"/>
                <w:color w:val="auto"/>
              </w:rPr>
              <w:t>X</w:t>
            </w:r>
          </w:p>
        </w:tc>
      </w:tr>
      <w:tr>
        <w:trPr>
          <w:trHeight w:val="20"/>
        </w:trPr>
        <w:tc>
          <w:tcPr>
            <w:tcW w:w="940" w:type="dxa"/>
            <w:vAlign w:val="bottom"/>
          </w:tcPr>
          <w:p>
            <w:pPr>
              <w:spacing w:after="0" w:line="20" w:lineRule="exact"/>
              <w:rPr>
                <w:sz w:val="1"/>
                <w:szCs w:val="1"/>
                <w:color w:val="auto"/>
              </w:rPr>
            </w:pPr>
          </w:p>
        </w:tc>
        <w:tc>
          <w:tcPr>
            <w:tcW w:w="1100" w:type="dxa"/>
            <w:vAlign w:val="bottom"/>
            <w:tcBorders>
              <w:right w:val="single" w:sz="8" w:color="0000FF"/>
            </w:tcBorders>
            <w:gridSpan w:val="3"/>
            <w:shd w:val="clear" w:color="auto" w:fill="0000FF"/>
          </w:tcPr>
          <w:p>
            <w:pPr>
              <w:spacing w:after="0" w:line="20" w:lineRule="exact"/>
              <w:rPr>
                <w:sz w:val="1"/>
                <w:szCs w:val="1"/>
                <w:color w:val="auto"/>
              </w:rPr>
            </w:pPr>
          </w:p>
        </w:tc>
        <w:tc>
          <w:tcPr>
            <w:tcW w:w="1680" w:type="dxa"/>
            <w:vAlign w:val="bottom"/>
            <w:tcBorders>
              <w:right w:val="single" w:sz="8" w:color="0000FF"/>
            </w:tcBorders>
            <w:gridSpan w:val="4"/>
            <w:shd w:val="clear" w:color="auto" w:fill="0000FF"/>
          </w:tcPr>
          <w:p>
            <w:pPr>
              <w:spacing w:after="0" w:line="20" w:lineRule="exact"/>
              <w:rPr>
                <w:sz w:val="1"/>
                <w:szCs w:val="1"/>
                <w:color w:val="auto"/>
              </w:rPr>
            </w:pPr>
          </w:p>
        </w:tc>
        <w:tc>
          <w:tcPr>
            <w:tcW w:w="780" w:type="dxa"/>
            <w:vAlign w:val="bottom"/>
            <w:tcBorders>
              <w:lef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040" w:type="dxa"/>
            <w:vAlign w:val="bottom"/>
            <w:tcBorders>
              <w:left w:val="single" w:sz="8" w:color="0000FF"/>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64"/>
        </w:trPr>
        <w:tc>
          <w:tcPr>
            <w:tcW w:w="940" w:type="dxa"/>
            <w:vAlign w:val="bottom"/>
          </w:tcPr>
          <w:p>
            <w:pPr>
              <w:spacing w:after="0"/>
              <w:rPr>
                <w:sz w:val="14"/>
                <w:szCs w:val="14"/>
                <w:color w:val="auto"/>
              </w:rPr>
            </w:pPr>
          </w:p>
        </w:tc>
        <w:tc>
          <w:tcPr>
            <w:tcW w:w="4200" w:type="dxa"/>
            <w:vAlign w:val="bottom"/>
            <w:gridSpan w:val="18"/>
          </w:tcPr>
          <w:p>
            <w:pPr>
              <w:spacing w:after="0" w:line="165" w:lineRule="exact"/>
              <w:rPr>
                <w:sz w:val="20"/>
                <w:szCs w:val="20"/>
                <w:color w:val="auto"/>
              </w:rPr>
            </w:pPr>
            <w:r>
              <w:rPr>
                <w:rFonts w:ascii="Calibri" w:cs="Calibri" w:eastAsia="Calibri" w:hAnsi="Calibri"/>
                <w:sz w:val="15"/>
                <w:szCs w:val="15"/>
                <w:color w:val="0000FF"/>
                <w:w w:val="99"/>
              </w:rPr>
              <w:t>and 15d-14(a) under the Securites Exchange Act of 1934, as Adopted</w:t>
            </w:r>
          </w:p>
        </w:tc>
        <w:tc>
          <w:tcPr>
            <w:tcW w:w="1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20"/>
        </w:trPr>
        <w:tc>
          <w:tcPr>
            <w:tcW w:w="940" w:type="dxa"/>
            <w:vAlign w:val="bottom"/>
          </w:tcPr>
          <w:p>
            <w:pPr>
              <w:spacing w:after="0" w:line="20" w:lineRule="exact"/>
              <w:rPr>
                <w:sz w:val="1"/>
                <w:szCs w:val="1"/>
                <w:color w:val="auto"/>
              </w:rPr>
            </w:pPr>
          </w:p>
        </w:tc>
        <w:tc>
          <w:tcPr>
            <w:tcW w:w="1100" w:type="dxa"/>
            <w:vAlign w:val="bottom"/>
            <w:tcBorders>
              <w:right w:val="single" w:sz="8" w:color="0000FF"/>
            </w:tcBorders>
            <w:gridSpan w:val="3"/>
            <w:shd w:val="clear" w:color="auto" w:fill="0000FF"/>
          </w:tcPr>
          <w:p>
            <w:pPr>
              <w:spacing w:after="0" w:line="20" w:lineRule="exact"/>
              <w:rPr>
                <w:sz w:val="1"/>
                <w:szCs w:val="1"/>
                <w:color w:val="auto"/>
              </w:rPr>
            </w:pPr>
          </w:p>
        </w:tc>
        <w:tc>
          <w:tcPr>
            <w:tcW w:w="1680" w:type="dxa"/>
            <w:vAlign w:val="bottom"/>
            <w:tcBorders>
              <w:right w:val="single" w:sz="8" w:color="0000FF"/>
            </w:tcBorders>
            <w:gridSpan w:val="4"/>
            <w:shd w:val="clear" w:color="auto" w:fill="0000FF"/>
          </w:tcPr>
          <w:p>
            <w:pPr>
              <w:spacing w:after="0" w:line="20" w:lineRule="exact"/>
              <w:rPr>
                <w:sz w:val="1"/>
                <w:szCs w:val="1"/>
                <w:color w:val="auto"/>
              </w:rPr>
            </w:pPr>
          </w:p>
        </w:tc>
        <w:tc>
          <w:tcPr>
            <w:tcW w:w="780" w:type="dxa"/>
            <w:vAlign w:val="bottom"/>
            <w:tcBorders>
              <w:lef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040" w:type="dxa"/>
            <w:vAlign w:val="bottom"/>
            <w:tcBorders>
              <w:left w:val="single" w:sz="8" w:color="0000FF"/>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64"/>
        </w:trPr>
        <w:tc>
          <w:tcPr>
            <w:tcW w:w="940" w:type="dxa"/>
            <w:vAlign w:val="bottom"/>
          </w:tcPr>
          <w:p>
            <w:pPr>
              <w:spacing w:after="0"/>
              <w:rPr>
                <w:sz w:val="14"/>
                <w:szCs w:val="14"/>
                <w:color w:val="auto"/>
              </w:rPr>
            </w:pPr>
          </w:p>
        </w:tc>
        <w:tc>
          <w:tcPr>
            <w:tcW w:w="4200" w:type="dxa"/>
            <w:vAlign w:val="bottom"/>
            <w:gridSpan w:val="18"/>
          </w:tcPr>
          <w:p>
            <w:pPr>
              <w:spacing w:after="0" w:line="165" w:lineRule="exact"/>
              <w:rPr>
                <w:sz w:val="20"/>
                <w:szCs w:val="20"/>
                <w:color w:val="auto"/>
              </w:rPr>
            </w:pPr>
            <w:r>
              <w:rPr>
                <w:rFonts w:ascii="Calibri" w:cs="Calibri" w:eastAsia="Calibri" w:hAnsi="Calibri"/>
                <w:sz w:val="15"/>
                <w:szCs w:val="15"/>
                <w:color w:val="0000FF"/>
              </w:rPr>
              <w:t>Pursuant to Secton 302 of the Sarbanes-Oxley Act of 2002.</w:t>
            </w:r>
          </w:p>
        </w:tc>
        <w:tc>
          <w:tcPr>
            <w:tcW w:w="1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FF"/>
            </w:tcBorders>
            <w:gridSpan w:val="3"/>
            <w:shd w:val="clear" w:color="auto" w:fill="0000FF"/>
          </w:tcPr>
          <w:p>
            <w:pPr>
              <w:spacing w:after="0" w:line="20" w:lineRule="exact"/>
              <w:rPr>
                <w:sz w:val="1"/>
                <w:szCs w:val="1"/>
                <w:color w:val="auto"/>
              </w:rPr>
            </w:pPr>
          </w:p>
        </w:tc>
        <w:tc>
          <w:tcPr>
            <w:tcW w:w="1680" w:type="dxa"/>
            <w:vAlign w:val="bottom"/>
            <w:tcBorders>
              <w:right w:val="single" w:sz="8" w:color="0000FF"/>
            </w:tcBorders>
            <w:gridSpan w:val="4"/>
            <w:shd w:val="clear" w:color="auto" w:fill="0000FF"/>
          </w:tcPr>
          <w:p>
            <w:pPr>
              <w:spacing w:after="0" w:line="20" w:lineRule="exact"/>
              <w:rPr>
                <w:sz w:val="1"/>
                <w:szCs w:val="1"/>
                <w:color w:val="auto"/>
              </w:rPr>
            </w:pPr>
          </w:p>
        </w:tc>
        <w:tc>
          <w:tcPr>
            <w:tcW w:w="780" w:type="dxa"/>
            <w:vAlign w:val="bottom"/>
            <w:tcBorders>
              <w:left w:val="single" w:sz="8" w:color="0000FF"/>
            </w:tcBorders>
            <w:gridSpan w:val="4"/>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87"/>
        </w:trPr>
        <w:tc>
          <w:tcPr>
            <w:tcW w:w="940" w:type="dxa"/>
            <w:vAlign w:val="bottom"/>
          </w:tcPr>
          <w:p>
            <w:pPr>
              <w:jc w:val="center"/>
              <w:ind w:right="83"/>
              <w:spacing w:after="0"/>
              <w:rPr>
                <w:sz w:val="20"/>
                <w:szCs w:val="20"/>
                <w:color w:val="auto"/>
              </w:rPr>
            </w:pPr>
            <w:r>
              <w:rPr>
                <w:rFonts w:ascii="Calibri" w:cs="Calibri" w:eastAsia="Calibri" w:hAnsi="Calibri"/>
                <w:sz w:val="15"/>
                <w:szCs w:val="15"/>
                <w:color w:val="auto"/>
                <w:w w:val="97"/>
              </w:rPr>
              <w:t>31.2</w:t>
            </w:r>
          </w:p>
        </w:tc>
        <w:tc>
          <w:tcPr>
            <w:tcW w:w="4200" w:type="dxa"/>
            <w:vAlign w:val="bottom"/>
            <w:gridSpan w:val="18"/>
          </w:tcPr>
          <w:p>
            <w:pPr>
              <w:spacing w:after="0"/>
              <w:rPr>
                <w:sz w:val="20"/>
                <w:szCs w:val="20"/>
                <w:color w:val="auto"/>
              </w:rPr>
            </w:pPr>
            <w:r>
              <w:rPr>
                <w:rFonts w:ascii="Calibri" w:cs="Calibri" w:eastAsia="Calibri" w:hAnsi="Calibri"/>
                <w:sz w:val="15"/>
                <w:szCs w:val="15"/>
                <w:color w:val="0000FF"/>
              </w:rPr>
              <w:t>Certfcaton of Principal Financial Ofcer Pursuant to Rules 13a-14(a)</w:t>
            </w:r>
          </w:p>
        </w:tc>
        <w:tc>
          <w:tcPr>
            <w:tcW w:w="10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780" w:type="dxa"/>
            <w:vAlign w:val="bottom"/>
          </w:tcPr>
          <w:p>
            <w:pPr>
              <w:ind w:left="1340"/>
              <w:spacing w:after="0"/>
              <w:rPr>
                <w:sz w:val="20"/>
                <w:szCs w:val="20"/>
                <w:color w:val="auto"/>
              </w:rPr>
            </w:pPr>
            <w:r>
              <w:rPr>
                <w:rFonts w:ascii="Calibri" w:cs="Calibri" w:eastAsia="Calibri" w:hAnsi="Calibri"/>
                <w:sz w:val="15"/>
                <w:szCs w:val="15"/>
                <w:color w:val="auto"/>
              </w:rPr>
              <w:t>X</w:t>
            </w:r>
          </w:p>
        </w:tc>
      </w:tr>
      <w:tr>
        <w:trPr>
          <w:trHeight w:val="20"/>
        </w:trPr>
        <w:tc>
          <w:tcPr>
            <w:tcW w:w="940" w:type="dxa"/>
            <w:vAlign w:val="bottom"/>
          </w:tcPr>
          <w:p>
            <w:pPr>
              <w:spacing w:after="0" w:line="20" w:lineRule="exact"/>
              <w:rPr>
                <w:sz w:val="1"/>
                <w:szCs w:val="1"/>
                <w:color w:val="auto"/>
              </w:rPr>
            </w:pPr>
          </w:p>
        </w:tc>
        <w:tc>
          <w:tcPr>
            <w:tcW w:w="1100" w:type="dxa"/>
            <w:vAlign w:val="bottom"/>
            <w:tcBorders>
              <w:right w:val="single" w:sz="8" w:color="0000FF"/>
            </w:tcBorders>
            <w:gridSpan w:val="3"/>
            <w:shd w:val="clear" w:color="auto" w:fill="0000FF"/>
          </w:tcPr>
          <w:p>
            <w:pPr>
              <w:spacing w:after="0" w:line="20" w:lineRule="exact"/>
              <w:rPr>
                <w:sz w:val="1"/>
                <w:szCs w:val="1"/>
                <w:color w:val="auto"/>
              </w:rPr>
            </w:pPr>
          </w:p>
        </w:tc>
        <w:tc>
          <w:tcPr>
            <w:tcW w:w="1680" w:type="dxa"/>
            <w:vAlign w:val="bottom"/>
            <w:tcBorders>
              <w:right w:val="single" w:sz="8" w:color="0000FF"/>
            </w:tcBorders>
            <w:gridSpan w:val="4"/>
            <w:shd w:val="clear" w:color="auto" w:fill="0000FF"/>
          </w:tcPr>
          <w:p>
            <w:pPr>
              <w:spacing w:after="0" w:line="20" w:lineRule="exact"/>
              <w:rPr>
                <w:sz w:val="1"/>
                <w:szCs w:val="1"/>
                <w:color w:val="auto"/>
              </w:rPr>
            </w:pPr>
          </w:p>
        </w:tc>
        <w:tc>
          <w:tcPr>
            <w:tcW w:w="780" w:type="dxa"/>
            <w:vAlign w:val="bottom"/>
            <w:tcBorders>
              <w:lef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64"/>
        </w:trPr>
        <w:tc>
          <w:tcPr>
            <w:tcW w:w="940" w:type="dxa"/>
            <w:vAlign w:val="bottom"/>
          </w:tcPr>
          <w:p>
            <w:pPr>
              <w:spacing w:after="0"/>
              <w:rPr>
                <w:sz w:val="14"/>
                <w:szCs w:val="14"/>
                <w:color w:val="auto"/>
              </w:rPr>
            </w:pPr>
          </w:p>
        </w:tc>
        <w:tc>
          <w:tcPr>
            <w:tcW w:w="4200" w:type="dxa"/>
            <w:vAlign w:val="bottom"/>
            <w:gridSpan w:val="18"/>
          </w:tcPr>
          <w:p>
            <w:pPr>
              <w:spacing w:after="0" w:line="165" w:lineRule="exact"/>
              <w:rPr>
                <w:sz w:val="20"/>
                <w:szCs w:val="20"/>
                <w:color w:val="auto"/>
              </w:rPr>
            </w:pPr>
            <w:r>
              <w:rPr>
                <w:rFonts w:ascii="Calibri" w:cs="Calibri" w:eastAsia="Calibri" w:hAnsi="Calibri"/>
                <w:sz w:val="15"/>
                <w:szCs w:val="15"/>
                <w:color w:val="0000FF"/>
                <w:w w:val="99"/>
              </w:rPr>
              <w:t>and 15d-14(a) under the Securites Exchange Act of 1934, as Adopted</w:t>
            </w:r>
          </w:p>
        </w:tc>
        <w:tc>
          <w:tcPr>
            <w:tcW w:w="1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20"/>
        </w:trPr>
        <w:tc>
          <w:tcPr>
            <w:tcW w:w="940" w:type="dxa"/>
            <w:vAlign w:val="bottom"/>
          </w:tcPr>
          <w:p>
            <w:pPr>
              <w:spacing w:after="0" w:line="20" w:lineRule="exact"/>
              <w:rPr>
                <w:sz w:val="1"/>
                <w:szCs w:val="1"/>
                <w:color w:val="auto"/>
              </w:rPr>
            </w:pPr>
          </w:p>
        </w:tc>
        <w:tc>
          <w:tcPr>
            <w:tcW w:w="1100" w:type="dxa"/>
            <w:vAlign w:val="bottom"/>
            <w:tcBorders>
              <w:right w:val="single" w:sz="8" w:color="0000FF"/>
            </w:tcBorders>
            <w:gridSpan w:val="3"/>
            <w:shd w:val="clear" w:color="auto" w:fill="0000FF"/>
          </w:tcPr>
          <w:p>
            <w:pPr>
              <w:spacing w:after="0" w:line="20" w:lineRule="exact"/>
              <w:rPr>
                <w:sz w:val="1"/>
                <w:szCs w:val="1"/>
                <w:color w:val="auto"/>
              </w:rPr>
            </w:pPr>
          </w:p>
        </w:tc>
        <w:tc>
          <w:tcPr>
            <w:tcW w:w="1680" w:type="dxa"/>
            <w:vAlign w:val="bottom"/>
            <w:tcBorders>
              <w:right w:val="single" w:sz="8" w:color="0000FF"/>
            </w:tcBorders>
            <w:gridSpan w:val="4"/>
            <w:shd w:val="clear" w:color="auto" w:fill="0000FF"/>
          </w:tcPr>
          <w:p>
            <w:pPr>
              <w:spacing w:after="0" w:line="20" w:lineRule="exact"/>
              <w:rPr>
                <w:sz w:val="1"/>
                <w:szCs w:val="1"/>
                <w:color w:val="auto"/>
              </w:rPr>
            </w:pPr>
          </w:p>
        </w:tc>
        <w:tc>
          <w:tcPr>
            <w:tcW w:w="780" w:type="dxa"/>
            <w:vAlign w:val="bottom"/>
            <w:tcBorders>
              <w:lef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040" w:type="dxa"/>
            <w:vAlign w:val="bottom"/>
            <w:tcBorders>
              <w:left w:val="single" w:sz="8" w:color="0000FF"/>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64"/>
        </w:trPr>
        <w:tc>
          <w:tcPr>
            <w:tcW w:w="940" w:type="dxa"/>
            <w:vAlign w:val="bottom"/>
          </w:tcPr>
          <w:p>
            <w:pPr>
              <w:spacing w:after="0"/>
              <w:rPr>
                <w:sz w:val="14"/>
                <w:szCs w:val="14"/>
                <w:color w:val="auto"/>
              </w:rPr>
            </w:pPr>
          </w:p>
        </w:tc>
        <w:tc>
          <w:tcPr>
            <w:tcW w:w="4200" w:type="dxa"/>
            <w:vAlign w:val="bottom"/>
            <w:gridSpan w:val="18"/>
          </w:tcPr>
          <w:p>
            <w:pPr>
              <w:spacing w:after="0" w:line="165" w:lineRule="exact"/>
              <w:rPr>
                <w:sz w:val="20"/>
                <w:szCs w:val="20"/>
                <w:color w:val="auto"/>
              </w:rPr>
            </w:pPr>
            <w:r>
              <w:rPr>
                <w:rFonts w:ascii="Calibri" w:cs="Calibri" w:eastAsia="Calibri" w:hAnsi="Calibri"/>
                <w:sz w:val="15"/>
                <w:szCs w:val="15"/>
                <w:color w:val="0000FF"/>
              </w:rPr>
              <w:t>Pursuant to Secton 302 of the Sarbanes-Oxley Act of 2002.</w:t>
            </w:r>
          </w:p>
        </w:tc>
        <w:tc>
          <w:tcPr>
            <w:tcW w:w="1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FF"/>
            </w:tcBorders>
            <w:gridSpan w:val="3"/>
            <w:shd w:val="clear" w:color="auto" w:fill="0000FF"/>
          </w:tcPr>
          <w:p>
            <w:pPr>
              <w:spacing w:after="0" w:line="20" w:lineRule="exact"/>
              <w:rPr>
                <w:sz w:val="1"/>
                <w:szCs w:val="1"/>
                <w:color w:val="auto"/>
              </w:rPr>
            </w:pPr>
          </w:p>
        </w:tc>
        <w:tc>
          <w:tcPr>
            <w:tcW w:w="1680" w:type="dxa"/>
            <w:vAlign w:val="bottom"/>
            <w:tcBorders>
              <w:right w:val="single" w:sz="8" w:color="0000FF"/>
            </w:tcBorders>
            <w:gridSpan w:val="4"/>
            <w:shd w:val="clear" w:color="auto" w:fill="0000FF"/>
          </w:tcPr>
          <w:p>
            <w:pPr>
              <w:spacing w:after="0" w:line="20" w:lineRule="exact"/>
              <w:rPr>
                <w:sz w:val="1"/>
                <w:szCs w:val="1"/>
                <w:color w:val="auto"/>
              </w:rPr>
            </w:pPr>
          </w:p>
        </w:tc>
        <w:tc>
          <w:tcPr>
            <w:tcW w:w="780" w:type="dxa"/>
            <w:vAlign w:val="bottom"/>
            <w:tcBorders>
              <w:left w:val="single" w:sz="8" w:color="0000FF"/>
            </w:tcBorders>
            <w:gridSpan w:val="4"/>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87"/>
        </w:trPr>
        <w:tc>
          <w:tcPr>
            <w:tcW w:w="940" w:type="dxa"/>
            <w:vAlign w:val="bottom"/>
          </w:tcPr>
          <w:p>
            <w:pPr>
              <w:jc w:val="center"/>
              <w:ind w:right="83"/>
              <w:spacing w:after="0"/>
              <w:rPr>
                <w:sz w:val="20"/>
                <w:szCs w:val="20"/>
                <w:color w:val="auto"/>
              </w:rPr>
            </w:pPr>
            <w:r>
              <w:rPr>
                <w:rFonts w:ascii="Calibri" w:cs="Calibri" w:eastAsia="Calibri" w:hAnsi="Calibri"/>
                <w:sz w:val="15"/>
                <w:szCs w:val="15"/>
                <w:color w:val="auto"/>
              </w:rPr>
              <w:t>32.1**</w:t>
            </w:r>
          </w:p>
        </w:tc>
        <w:tc>
          <w:tcPr>
            <w:tcW w:w="4200" w:type="dxa"/>
            <w:vAlign w:val="bottom"/>
            <w:gridSpan w:val="18"/>
          </w:tcPr>
          <w:p>
            <w:pPr>
              <w:spacing w:after="0"/>
              <w:rPr>
                <w:sz w:val="20"/>
                <w:szCs w:val="20"/>
                <w:color w:val="auto"/>
              </w:rPr>
            </w:pPr>
            <w:r>
              <w:rPr>
                <w:rFonts w:ascii="Calibri" w:cs="Calibri" w:eastAsia="Calibri" w:hAnsi="Calibri"/>
                <w:sz w:val="15"/>
                <w:szCs w:val="15"/>
                <w:color w:val="0000FF"/>
              </w:rPr>
              <w:t>Certfcaton of Principal Executve Ofcer and Principal Financial</w:t>
            </w:r>
          </w:p>
        </w:tc>
        <w:tc>
          <w:tcPr>
            <w:tcW w:w="10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780" w:type="dxa"/>
            <w:vAlign w:val="bottom"/>
          </w:tcPr>
          <w:p>
            <w:pPr>
              <w:ind w:left="1340"/>
              <w:spacing w:after="0"/>
              <w:rPr>
                <w:sz w:val="20"/>
                <w:szCs w:val="20"/>
                <w:color w:val="auto"/>
              </w:rPr>
            </w:pPr>
            <w:r>
              <w:rPr>
                <w:rFonts w:ascii="Calibri" w:cs="Calibri" w:eastAsia="Calibri" w:hAnsi="Calibri"/>
                <w:sz w:val="15"/>
                <w:szCs w:val="15"/>
                <w:color w:val="auto"/>
              </w:rPr>
              <w:t>X</w:t>
            </w:r>
          </w:p>
        </w:tc>
      </w:tr>
      <w:tr>
        <w:trPr>
          <w:trHeight w:val="20"/>
        </w:trPr>
        <w:tc>
          <w:tcPr>
            <w:tcW w:w="940" w:type="dxa"/>
            <w:vAlign w:val="bottom"/>
          </w:tcPr>
          <w:p>
            <w:pPr>
              <w:spacing w:after="0" w:line="20" w:lineRule="exact"/>
              <w:rPr>
                <w:sz w:val="1"/>
                <w:szCs w:val="1"/>
                <w:color w:val="auto"/>
              </w:rPr>
            </w:pPr>
          </w:p>
        </w:tc>
        <w:tc>
          <w:tcPr>
            <w:tcW w:w="1100" w:type="dxa"/>
            <w:vAlign w:val="bottom"/>
            <w:tcBorders>
              <w:right w:val="single" w:sz="8" w:color="0000FF"/>
            </w:tcBorders>
            <w:gridSpan w:val="3"/>
            <w:shd w:val="clear" w:color="auto" w:fill="0000FF"/>
          </w:tcPr>
          <w:p>
            <w:pPr>
              <w:spacing w:after="0" w:line="20" w:lineRule="exact"/>
              <w:rPr>
                <w:sz w:val="1"/>
                <w:szCs w:val="1"/>
                <w:color w:val="auto"/>
              </w:rPr>
            </w:pPr>
          </w:p>
        </w:tc>
        <w:tc>
          <w:tcPr>
            <w:tcW w:w="1680" w:type="dxa"/>
            <w:vAlign w:val="bottom"/>
            <w:tcBorders>
              <w:right w:val="single" w:sz="8" w:color="0000FF"/>
            </w:tcBorders>
            <w:gridSpan w:val="4"/>
            <w:shd w:val="clear" w:color="auto" w:fill="0000FF"/>
          </w:tcPr>
          <w:p>
            <w:pPr>
              <w:spacing w:after="0" w:line="20" w:lineRule="exact"/>
              <w:rPr>
                <w:sz w:val="1"/>
                <w:szCs w:val="1"/>
                <w:color w:val="auto"/>
              </w:rPr>
            </w:pPr>
          </w:p>
        </w:tc>
        <w:tc>
          <w:tcPr>
            <w:tcW w:w="1000" w:type="dxa"/>
            <w:vAlign w:val="bottom"/>
            <w:tcBorders>
              <w:left w:val="single" w:sz="8" w:color="0000FF"/>
            </w:tcBorders>
            <w:gridSpan w:val="6"/>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64"/>
        </w:trPr>
        <w:tc>
          <w:tcPr>
            <w:tcW w:w="940" w:type="dxa"/>
            <w:vAlign w:val="bottom"/>
          </w:tcPr>
          <w:p>
            <w:pPr>
              <w:spacing w:after="0"/>
              <w:rPr>
                <w:sz w:val="14"/>
                <w:szCs w:val="14"/>
                <w:color w:val="auto"/>
              </w:rPr>
            </w:pPr>
          </w:p>
        </w:tc>
        <w:tc>
          <w:tcPr>
            <w:tcW w:w="4200" w:type="dxa"/>
            <w:vAlign w:val="bottom"/>
            <w:gridSpan w:val="18"/>
          </w:tcPr>
          <w:p>
            <w:pPr>
              <w:spacing w:after="0" w:line="165" w:lineRule="exact"/>
              <w:rPr>
                <w:sz w:val="20"/>
                <w:szCs w:val="20"/>
                <w:color w:val="auto"/>
              </w:rPr>
            </w:pPr>
            <w:r>
              <w:rPr>
                <w:rFonts w:ascii="Calibri" w:cs="Calibri" w:eastAsia="Calibri" w:hAnsi="Calibri"/>
                <w:sz w:val="15"/>
                <w:szCs w:val="15"/>
                <w:color w:val="0000FF"/>
              </w:rPr>
              <w:t>Ofcer Pursuant to 18 U.S.C. Secton 1350, as Adopted Pursuant to</w:t>
            </w:r>
          </w:p>
        </w:tc>
        <w:tc>
          <w:tcPr>
            <w:tcW w:w="1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20"/>
        </w:trPr>
        <w:tc>
          <w:tcPr>
            <w:tcW w:w="940" w:type="dxa"/>
            <w:vAlign w:val="bottom"/>
          </w:tcPr>
          <w:p>
            <w:pPr>
              <w:spacing w:after="0" w:line="20" w:lineRule="exact"/>
              <w:rPr>
                <w:sz w:val="1"/>
                <w:szCs w:val="1"/>
                <w:color w:val="auto"/>
              </w:rPr>
            </w:pPr>
          </w:p>
        </w:tc>
        <w:tc>
          <w:tcPr>
            <w:tcW w:w="1100" w:type="dxa"/>
            <w:vAlign w:val="bottom"/>
            <w:tcBorders>
              <w:right w:val="single" w:sz="8" w:color="0000FF"/>
            </w:tcBorders>
            <w:gridSpan w:val="3"/>
            <w:shd w:val="clear" w:color="auto" w:fill="0000FF"/>
          </w:tcPr>
          <w:p>
            <w:pPr>
              <w:spacing w:after="0" w:line="20" w:lineRule="exact"/>
              <w:rPr>
                <w:sz w:val="1"/>
                <w:szCs w:val="1"/>
                <w:color w:val="auto"/>
              </w:rPr>
            </w:pPr>
          </w:p>
        </w:tc>
        <w:tc>
          <w:tcPr>
            <w:tcW w:w="1680" w:type="dxa"/>
            <w:vAlign w:val="bottom"/>
            <w:tcBorders>
              <w:right w:val="single" w:sz="8" w:color="0000FF"/>
            </w:tcBorders>
            <w:gridSpan w:val="4"/>
            <w:shd w:val="clear" w:color="auto" w:fill="0000FF"/>
          </w:tcPr>
          <w:p>
            <w:pPr>
              <w:spacing w:after="0" w:line="20" w:lineRule="exact"/>
              <w:rPr>
                <w:sz w:val="1"/>
                <w:szCs w:val="1"/>
                <w:color w:val="auto"/>
              </w:rPr>
            </w:pPr>
          </w:p>
        </w:tc>
        <w:tc>
          <w:tcPr>
            <w:tcW w:w="1000" w:type="dxa"/>
            <w:vAlign w:val="bottom"/>
            <w:tcBorders>
              <w:left w:val="single" w:sz="8" w:color="0000FF"/>
            </w:tcBorders>
            <w:gridSpan w:val="6"/>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64"/>
        </w:trPr>
        <w:tc>
          <w:tcPr>
            <w:tcW w:w="940" w:type="dxa"/>
            <w:vAlign w:val="bottom"/>
          </w:tcPr>
          <w:p>
            <w:pPr>
              <w:spacing w:after="0"/>
              <w:rPr>
                <w:sz w:val="14"/>
                <w:szCs w:val="14"/>
                <w:color w:val="auto"/>
              </w:rPr>
            </w:pPr>
          </w:p>
        </w:tc>
        <w:tc>
          <w:tcPr>
            <w:tcW w:w="4200" w:type="dxa"/>
            <w:vAlign w:val="bottom"/>
            <w:gridSpan w:val="18"/>
          </w:tcPr>
          <w:p>
            <w:pPr>
              <w:spacing w:after="0" w:line="165" w:lineRule="exact"/>
              <w:rPr>
                <w:sz w:val="20"/>
                <w:szCs w:val="20"/>
                <w:color w:val="auto"/>
              </w:rPr>
            </w:pPr>
            <w:r>
              <w:rPr>
                <w:rFonts w:ascii="Calibri" w:cs="Calibri" w:eastAsia="Calibri" w:hAnsi="Calibri"/>
                <w:sz w:val="15"/>
                <w:szCs w:val="15"/>
                <w:color w:val="0000FF"/>
              </w:rPr>
              <w:t>Secton 906 of the Sarbanes-Oxley Act of 2002.</w:t>
            </w:r>
          </w:p>
        </w:tc>
        <w:tc>
          <w:tcPr>
            <w:tcW w:w="1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FF"/>
            </w:tcBorders>
            <w:gridSpan w:val="3"/>
            <w:shd w:val="clear" w:color="auto" w:fill="0000FF"/>
          </w:tcPr>
          <w:p>
            <w:pPr>
              <w:spacing w:after="0" w:line="20" w:lineRule="exact"/>
              <w:rPr>
                <w:sz w:val="1"/>
                <w:szCs w:val="1"/>
                <w:color w:val="auto"/>
              </w:rPr>
            </w:pPr>
          </w:p>
        </w:tc>
        <w:tc>
          <w:tcPr>
            <w:tcW w:w="1680" w:type="dxa"/>
            <w:vAlign w:val="bottom"/>
            <w:tcBorders>
              <w:right w:val="single" w:sz="8" w:color="0000FF"/>
            </w:tcBorders>
            <w:gridSpan w:val="4"/>
            <w:shd w:val="clear" w:color="auto" w:fill="0000FF"/>
          </w:tcPr>
          <w:p>
            <w:pPr>
              <w:spacing w:after="0" w:line="20" w:lineRule="exact"/>
              <w:rPr>
                <w:sz w:val="1"/>
                <w:szCs w:val="1"/>
                <w:color w:val="auto"/>
              </w:rPr>
            </w:pPr>
          </w:p>
        </w:tc>
        <w:tc>
          <w:tcPr>
            <w:tcW w:w="1000" w:type="dxa"/>
            <w:vAlign w:val="bottom"/>
            <w:tcBorders>
              <w:left w:val="single" w:sz="8" w:color="0000EE"/>
            </w:tcBorders>
            <w:gridSpan w:val="6"/>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87"/>
        </w:trPr>
        <w:tc>
          <w:tcPr>
            <w:tcW w:w="940" w:type="dxa"/>
            <w:vAlign w:val="bottom"/>
          </w:tcPr>
          <w:p>
            <w:pPr>
              <w:jc w:val="center"/>
              <w:ind w:right="83"/>
              <w:spacing w:after="0"/>
              <w:rPr>
                <w:sz w:val="20"/>
                <w:szCs w:val="20"/>
                <w:color w:val="auto"/>
              </w:rPr>
            </w:pPr>
            <w:r>
              <w:rPr>
                <w:rFonts w:ascii="Calibri" w:cs="Calibri" w:eastAsia="Calibri" w:hAnsi="Calibri"/>
                <w:sz w:val="15"/>
                <w:szCs w:val="15"/>
                <w:color w:val="auto"/>
              </w:rPr>
              <w:t>32.2**</w:t>
            </w:r>
          </w:p>
        </w:tc>
        <w:tc>
          <w:tcPr>
            <w:tcW w:w="4200" w:type="dxa"/>
            <w:vAlign w:val="bottom"/>
            <w:gridSpan w:val="18"/>
          </w:tcPr>
          <w:p>
            <w:pPr>
              <w:spacing w:after="0"/>
              <w:rPr>
                <w:sz w:val="20"/>
                <w:szCs w:val="20"/>
                <w:color w:val="auto"/>
              </w:rPr>
            </w:pPr>
            <w:r>
              <w:rPr>
                <w:rFonts w:ascii="Calibri" w:cs="Calibri" w:eastAsia="Calibri" w:hAnsi="Calibri"/>
                <w:sz w:val="15"/>
                <w:szCs w:val="15"/>
                <w:color w:val="0000FF"/>
              </w:rPr>
              <w:t>Certfcaton of Principal Financial Ofcer Pursuant to 18 U.S.C.</w:t>
            </w:r>
          </w:p>
        </w:tc>
        <w:tc>
          <w:tcPr>
            <w:tcW w:w="10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20"/>
        </w:trPr>
        <w:tc>
          <w:tcPr>
            <w:tcW w:w="940" w:type="dxa"/>
            <w:vAlign w:val="bottom"/>
          </w:tcPr>
          <w:p>
            <w:pPr>
              <w:spacing w:after="0" w:line="20" w:lineRule="exact"/>
              <w:rPr>
                <w:sz w:val="1"/>
                <w:szCs w:val="1"/>
                <w:color w:val="auto"/>
              </w:rPr>
            </w:pPr>
          </w:p>
        </w:tc>
        <w:tc>
          <w:tcPr>
            <w:tcW w:w="1100" w:type="dxa"/>
            <w:vAlign w:val="bottom"/>
            <w:tcBorders>
              <w:right w:val="single" w:sz="8" w:color="0000FF"/>
            </w:tcBorders>
            <w:gridSpan w:val="3"/>
            <w:shd w:val="clear" w:color="auto" w:fill="0000FF"/>
          </w:tcPr>
          <w:p>
            <w:pPr>
              <w:spacing w:after="0" w:line="20" w:lineRule="exact"/>
              <w:rPr>
                <w:sz w:val="1"/>
                <w:szCs w:val="1"/>
                <w:color w:val="auto"/>
              </w:rPr>
            </w:pPr>
          </w:p>
        </w:tc>
        <w:tc>
          <w:tcPr>
            <w:tcW w:w="1680" w:type="dxa"/>
            <w:vAlign w:val="bottom"/>
            <w:tcBorders>
              <w:right w:val="single" w:sz="8" w:color="0000FF"/>
            </w:tcBorders>
            <w:gridSpan w:val="4"/>
            <w:shd w:val="clear" w:color="auto" w:fill="0000FF"/>
          </w:tcPr>
          <w:p>
            <w:pPr>
              <w:spacing w:after="0" w:line="20" w:lineRule="exact"/>
              <w:rPr>
                <w:sz w:val="1"/>
                <w:szCs w:val="1"/>
                <w:color w:val="auto"/>
              </w:rPr>
            </w:pPr>
          </w:p>
        </w:tc>
        <w:tc>
          <w:tcPr>
            <w:tcW w:w="1000" w:type="dxa"/>
            <w:vAlign w:val="bottom"/>
            <w:tcBorders>
              <w:left w:val="single" w:sz="8" w:color="0000FF"/>
            </w:tcBorders>
            <w:gridSpan w:val="6"/>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64"/>
        </w:trPr>
        <w:tc>
          <w:tcPr>
            <w:tcW w:w="940" w:type="dxa"/>
            <w:vAlign w:val="bottom"/>
          </w:tcPr>
          <w:p>
            <w:pPr>
              <w:spacing w:after="0"/>
              <w:rPr>
                <w:sz w:val="14"/>
                <w:szCs w:val="14"/>
                <w:color w:val="auto"/>
              </w:rPr>
            </w:pPr>
          </w:p>
        </w:tc>
        <w:tc>
          <w:tcPr>
            <w:tcW w:w="4200" w:type="dxa"/>
            <w:vAlign w:val="bottom"/>
            <w:gridSpan w:val="18"/>
          </w:tcPr>
          <w:p>
            <w:pPr>
              <w:spacing w:after="0" w:line="165" w:lineRule="exact"/>
              <w:rPr>
                <w:sz w:val="20"/>
                <w:szCs w:val="20"/>
                <w:color w:val="auto"/>
              </w:rPr>
            </w:pPr>
            <w:r>
              <w:rPr>
                <w:rFonts w:ascii="Calibri" w:cs="Calibri" w:eastAsia="Calibri" w:hAnsi="Calibri"/>
                <w:sz w:val="15"/>
                <w:szCs w:val="15"/>
                <w:color w:val="0000FF"/>
              </w:rPr>
              <w:t>Secton 1350, as Adopted Pursuant to Secton 906 of the Sarbanes-</w:t>
            </w:r>
          </w:p>
        </w:tc>
        <w:tc>
          <w:tcPr>
            <w:tcW w:w="1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FF"/>
            </w:tcBorders>
            <w:gridSpan w:val="3"/>
            <w:shd w:val="clear" w:color="auto" w:fill="0000FF"/>
          </w:tcPr>
          <w:p>
            <w:pPr>
              <w:spacing w:after="0" w:line="20" w:lineRule="exact"/>
              <w:rPr>
                <w:sz w:val="1"/>
                <w:szCs w:val="1"/>
                <w:color w:val="auto"/>
              </w:rPr>
            </w:pPr>
          </w:p>
        </w:tc>
        <w:tc>
          <w:tcPr>
            <w:tcW w:w="1680" w:type="dxa"/>
            <w:vAlign w:val="bottom"/>
            <w:tcBorders>
              <w:right w:val="single" w:sz="8" w:color="0000FF"/>
            </w:tcBorders>
            <w:gridSpan w:val="4"/>
            <w:shd w:val="clear" w:color="auto" w:fill="0000FF"/>
          </w:tcPr>
          <w:p>
            <w:pPr>
              <w:spacing w:after="0" w:line="20" w:lineRule="exact"/>
              <w:rPr>
                <w:sz w:val="1"/>
                <w:szCs w:val="1"/>
                <w:color w:val="auto"/>
              </w:rPr>
            </w:pPr>
          </w:p>
        </w:tc>
        <w:tc>
          <w:tcPr>
            <w:tcW w:w="1240" w:type="dxa"/>
            <w:vAlign w:val="bottom"/>
            <w:tcBorders>
              <w:left w:val="single" w:sz="8" w:color="0000FF"/>
            </w:tcBorders>
            <w:gridSpan w:val="9"/>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64"/>
        </w:trPr>
        <w:tc>
          <w:tcPr>
            <w:tcW w:w="940" w:type="dxa"/>
            <w:vAlign w:val="bottom"/>
          </w:tcPr>
          <w:p>
            <w:pPr>
              <w:spacing w:after="0"/>
              <w:rPr>
                <w:sz w:val="14"/>
                <w:szCs w:val="14"/>
                <w:color w:val="auto"/>
              </w:rPr>
            </w:pPr>
          </w:p>
        </w:tc>
        <w:tc>
          <w:tcPr>
            <w:tcW w:w="4200" w:type="dxa"/>
            <w:vAlign w:val="bottom"/>
            <w:gridSpan w:val="18"/>
          </w:tcPr>
          <w:p>
            <w:pPr>
              <w:spacing w:after="0" w:line="165" w:lineRule="exact"/>
              <w:rPr>
                <w:sz w:val="20"/>
                <w:szCs w:val="20"/>
                <w:color w:val="auto"/>
              </w:rPr>
            </w:pPr>
            <w:r>
              <w:rPr>
                <w:rFonts w:ascii="Calibri" w:cs="Calibri" w:eastAsia="Calibri" w:hAnsi="Calibri"/>
                <w:sz w:val="15"/>
                <w:szCs w:val="15"/>
                <w:color w:val="0000FF"/>
              </w:rPr>
              <w:t>Oxley Act of 2002.</w:t>
            </w:r>
          </w:p>
        </w:tc>
        <w:tc>
          <w:tcPr>
            <w:tcW w:w="1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EE"/>
            </w:tcBorders>
            <w:gridSpan w:val="3"/>
            <w:shd w:val="clear" w:color="auto" w:fill="0000FF"/>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1420" w:type="dxa"/>
            <w:vAlign w:val="bottom"/>
            <w:gridSpan w:val="11"/>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87"/>
        </w:trPr>
        <w:tc>
          <w:tcPr>
            <w:tcW w:w="940" w:type="dxa"/>
            <w:vAlign w:val="bottom"/>
          </w:tcPr>
          <w:p>
            <w:pPr>
              <w:jc w:val="center"/>
              <w:ind w:right="83"/>
              <w:spacing w:after="0"/>
              <w:rPr>
                <w:sz w:val="20"/>
                <w:szCs w:val="20"/>
                <w:color w:val="auto"/>
              </w:rPr>
            </w:pPr>
            <w:r>
              <w:rPr>
                <w:rFonts w:ascii="Calibri" w:cs="Calibri" w:eastAsia="Calibri" w:hAnsi="Calibri"/>
                <w:sz w:val="15"/>
                <w:szCs w:val="15"/>
                <w:color w:val="auto"/>
                <w:w w:val="97"/>
              </w:rPr>
              <w:t>97.1</w:t>
            </w:r>
          </w:p>
        </w:tc>
        <w:tc>
          <w:tcPr>
            <w:tcW w:w="4200" w:type="dxa"/>
            <w:vAlign w:val="bottom"/>
            <w:gridSpan w:val="18"/>
          </w:tcPr>
          <w:p>
            <w:pPr>
              <w:spacing w:after="0"/>
              <w:rPr>
                <w:sz w:val="20"/>
                <w:szCs w:val="20"/>
                <w:color w:val="auto"/>
              </w:rPr>
            </w:pPr>
            <w:r>
              <w:rPr>
                <w:rFonts w:ascii="Calibri" w:cs="Calibri" w:eastAsia="Calibri" w:hAnsi="Calibri"/>
                <w:sz w:val="15"/>
                <w:szCs w:val="15"/>
                <w:color w:val="0000FF"/>
              </w:rPr>
              <w:t>CarGurus, Inc. Compensaton Clawback Policy.</w:t>
            </w:r>
          </w:p>
        </w:tc>
        <w:tc>
          <w:tcPr>
            <w:tcW w:w="10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780" w:type="dxa"/>
            <w:vAlign w:val="bottom"/>
          </w:tcPr>
          <w:p>
            <w:pPr>
              <w:ind w:left="1340"/>
              <w:spacing w:after="0"/>
              <w:rPr>
                <w:sz w:val="20"/>
                <w:szCs w:val="20"/>
                <w:color w:val="auto"/>
              </w:rPr>
            </w:pPr>
            <w:r>
              <w:rPr>
                <w:rFonts w:ascii="Calibri" w:cs="Calibri" w:eastAsia="Calibri" w:hAnsi="Calibri"/>
                <w:sz w:val="15"/>
                <w:szCs w:val="15"/>
                <w:color w:val="auto"/>
              </w:rPr>
              <w:t>X</w:t>
            </w: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2780" w:type="dxa"/>
            <w:vAlign w:val="bottom"/>
            <w:tcBorders>
              <w:right w:val="single" w:sz="8" w:color="0000EE"/>
            </w:tcBorders>
            <w:gridSpan w:val="7"/>
            <w:shd w:val="clear" w:color="auto" w:fill="0000FF"/>
          </w:tcPr>
          <w:p>
            <w:pPr>
              <w:spacing w:after="0" w:line="20" w:lineRule="exact"/>
              <w:rPr>
                <w:sz w:val="1"/>
                <w:szCs w:val="1"/>
                <w:color w:val="auto"/>
              </w:rPr>
            </w:pPr>
          </w:p>
        </w:tc>
        <w:tc>
          <w:tcPr>
            <w:tcW w:w="1420" w:type="dxa"/>
            <w:vAlign w:val="bottom"/>
            <w:gridSpan w:val="11"/>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214"/>
        </w:trPr>
        <w:tc>
          <w:tcPr>
            <w:tcW w:w="940" w:type="dxa"/>
            <w:vAlign w:val="bottom"/>
          </w:tcPr>
          <w:p>
            <w:pPr>
              <w:ind w:left="160"/>
              <w:spacing w:after="0"/>
              <w:rPr>
                <w:sz w:val="20"/>
                <w:szCs w:val="20"/>
                <w:color w:val="auto"/>
              </w:rPr>
            </w:pPr>
            <w:r>
              <w:rPr>
                <w:rFonts w:ascii="Calibri" w:cs="Calibri" w:eastAsia="Calibri" w:hAnsi="Calibri"/>
                <w:sz w:val="15"/>
                <w:szCs w:val="15"/>
                <w:color w:val="auto"/>
              </w:rPr>
              <w:t>101.INS</w:t>
            </w:r>
          </w:p>
        </w:tc>
        <w:tc>
          <w:tcPr>
            <w:tcW w:w="4200" w:type="dxa"/>
            <w:vAlign w:val="bottom"/>
            <w:gridSpan w:val="18"/>
          </w:tcPr>
          <w:p>
            <w:pPr>
              <w:spacing w:after="0"/>
              <w:rPr>
                <w:sz w:val="20"/>
                <w:szCs w:val="20"/>
                <w:color w:val="auto"/>
              </w:rPr>
            </w:pPr>
            <w:r>
              <w:rPr>
                <w:rFonts w:ascii="Calibri" w:cs="Calibri" w:eastAsia="Calibri" w:hAnsi="Calibri"/>
                <w:sz w:val="15"/>
                <w:szCs w:val="15"/>
                <w:color w:val="auto"/>
              </w:rPr>
              <w:t>Inline XBRL Instance Document- the instance document does not</w:t>
            </w: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780" w:type="dxa"/>
            <w:vAlign w:val="bottom"/>
          </w:tcPr>
          <w:p>
            <w:pPr>
              <w:ind w:left="1340"/>
              <w:spacing w:after="0"/>
              <w:rPr>
                <w:sz w:val="20"/>
                <w:szCs w:val="20"/>
                <w:color w:val="auto"/>
              </w:rPr>
            </w:pPr>
            <w:r>
              <w:rPr>
                <w:rFonts w:ascii="Calibri" w:cs="Calibri" w:eastAsia="Calibri" w:hAnsi="Calibri"/>
                <w:sz w:val="15"/>
                <w:szCs w:val="15"/>
                <w:color w:val="auto"/>
              </w:rPr>
              <w:t>X</w:t>
            </w:r>
          </w:p>
        </w:tc>
      </w:tr>
      <w:tr>
        <w:trPr>
          <w:trHeight w:val="184"/>
        </w:trPr>
        <w:tc>
          <w:tcPr>
            <w:tcW w:w="940" w:type="dxa"/>
            <w:vAlign w:val="bottom"/>
          </w:tcPr>
          <w:p>
            <w:pPr>
              <w:spacing w:after="0"/>
              <w:rPr>
                <w:sz w:val="16"/>
                <w:szCs w:val="16"/>
                <w:color w:val="auto"/>
              </w:rPr>
            </w:pPr>
          </w:p>
        </w:tc>
        <w:tc>
          <w:tcPr>
            <w:tcW w:w="4200" w:type="dxa"/>
            <w:vAlign w:val="bottom"/>
            <w:gridSpan w:val="18"/>
          </w:tcPr>
          <w:p>
            <w:pPr>
              <w:spacing w:after="0"/>
              <w:rPr>
                <w:sz w:val="20"/>
                <w:szCs w:val="20"/>
                <w:color w:val="auto"/>
              </w:rPr>
            </w:pPr>
            <w:r>
              <w:rPr>
                <w:rFonts w:ascii="Calibri" w:cs="Calibri" w:eastAsia="Calibri" w:hAnsi="Calibri"/>
                <w:sz w:val="15"/>
                <w:szCs w:val="15"/>
                <w:color w:val="auto"/>
              </w:rPr>
              <w:t>appear in the Interactve Data File because its XBRL tags are</w:t>
            </w:r>
          </w:p>
        </w:tc>
        <w:tc>
          <w:tcPr>
            <w:tcW w:w="10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184"/>
        </w:trPr>
        <w:tc>
          <w:tcPr>
            <w:tcW w:w="940" w:type="dxa"/>
            <w:vAlign w:val="bottom"/>
          </w:tcPr>
          <w:p>
            <w:pPr>
              <w:spacing w:after="0"/>
              <w:rPr>
                <w:sz w:val="16"/>
                <w:szCs w:val="16"/>
                <w:color w:val="auto"/>
              </w:rPr>
            </w:pPr>
          </w:p>
        </w:tc>
        <w:tc>
          <w:tcPr>
            <w:tcW w:w="4200" w:type="dxa"/>
            <w:vAlign w:val="bottom"/>
            <w:gridSpan w:val="18"/>
          </w:tcPr>
          <w:p>
            <w:pPr>
              <w:spacing w:after="0"/>
              <w:rPr>
                <w:sz w:val="20"/>
                <w:szCs w:val="20"/>
                <w:color w:val="auto"/>
              </w:rPr>
            </w:pPr>
            <w:r>
              <w:rPr>
                <w:rFonts w:ascii="Calibri" w:cs="Calibri" w:eastAsia="Calibri" w:hAnsi="Calibri"/>
                <w:sz w:val="15"/>
                <w:szCs w:val="15"/>
                <w:color w:val="auto"/>
              </w:rPr>
              <w:t>embedded within the Inline XBRL document.</w:t>
            </w:r>
          </w:p>
        </w:tc>
        <w:tc>
          <w:tcPr>
            <w:tcW w:w="10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207"/>
        </w:trPr>
        <w:tc>
          <w:tcPr>
            <w:tcW w:w="940" w:type="dxa"/>
            <w:vAlign w:val="bottom"/>
          </w:tcPr>
          <w:p>
            <w:pPr>
              <w:ind w:left="140"/>
              <w:spacing w:after="0"/>
              <w:rPr>
                <w:sz w:val="20"/>
                <w:szCs w:val="20"/>
                <w:color w:val="auto"/>
              </w:rPr>
            </w:pPr>
            <w:r>
              <w:rPr>
                <w:rFonts w:ascii="Calibri" w:cs="Calibri" w:eastAsia="Calibri" w:hAnsi="Calibri"/>
                <w:sz w:val="15"/>
                <w:szCs w:val="15"/>
                <w:color w:val="auto"/>
              </w:rPr>
              <w:t>101.SCH</w:t>
            </w:r>
          </w:p>
        </w:tc>
        <w:tc>
          <w:tcPr>
            <w:tcW w:w="4200" w:type="dxa"/>
            <w:vAlign w:val="bottom"/>
            <w:gridSpan w:val="18"/>
          </w:tcPr>
          <w:p>
            <w:pPr>
              <w:spacing w:after="0"/>
              <w:rPr>
                <w:sz w:val="20"/>
                <w:szCs w:val="20"/>
                <w:color w:val="auto"/>
              </w:rPr>
            </w:pPr>
            <w:r>
              <w:rPr>
                <w:rFonts w:ascii="Calibri" w:cs="Calibri" w:eastAsia="Calibri" w:hAnsi="Calibri"/>
                <w:sz w:val="15"/>
                <w:szCs w:val="15"/>
                <w:color w:val="auto"/>
              </w:rPr>
              <w:t>Inline XBRL Taxonomy Extension Schema With Embedded Linkbase</w:t>
            </w:r>
          </w:p>
        </w:tc>
        <w:tc>
          <w:tcPr>
            <w:tcW w:w="10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780" w:type="dxa"/>
            <w:vAlign w:val="bottom"/>
          </w:tcPr>
          <w:p>
            <w:pPr>
              <w:ind w:left="1340"/>
              <w:spacing w:after="0"/>
              <w:rPr>
                <w:sz w:val="20"/>
                <w:szCs w:val="20"/>
                <w:color w:val="auto"/>
              </w:rPr>
            </w:pPr>
            <w:r>
              <w:rPr>
                <w:rFonts w:ascii="Calibri" w:cs="Calibri" w:eastAsia="Calibri" w:hAnsi="Calibri"/>
                <w:sz w:val="15"/>
                <w:szCs w:val="15"/>
                <w:color w:val="auto"/>
              </w:rPr>
              <w:t>X</w:t>
            </w:r>
          </w:p>
        </w:tc>
      </w:tr>
      <w:tr>
        <w:trPr>
          <w:trHeight w:val="184"/>
        </w:trPr>
        <w:tc>
          <w:tcPr>
            <w:tcW w:w="940" w:type="dxa"/>
            <w:vAlign w:val="bottom"/>
          </w:tcPr>
          <w:p>
            <w:pPr>
              <w:spacing w:after="0"/>
              <w:rPr>
                <w:sz w:val="16"/>
                <w:szCs w:val="16"/>
                <w:color w:val="auto"/>
              </w:rPr>
            </w:pPr>
          </w:p>
        </w:tc>
        <w:tc>
          <w:tcPr>
            <w:tcW w:w="4200" w:type="dxa"/>
            <w:vAlign w:val="bottom"/>
            <w:gridSpan w:val="18"/>
          </w:tcPr>
          <w:p>
            <w:pPr>
              <w:spacing w:after="0"/>
              <w:rPr>
                <w:sz w:val="20"/>
                <w:szCs w:val="20"/>
                <w:color w:val="auto"/>
              </w:rPr>
            </w:pPr>
            <w:r>
              <w:rPr>
                <w:rFonts w:ascii="Calibri" w:cs="Calibri" w:eastAsia="Calibri" w:hAnsi="Calibri"/>
                <w:sz w:val="15"/>
                <w:szCs w:val="15"/>
                <w:color w:val="auto"/>
              </w:rPr>
              <w:t>Documents.</w:t>
            </w:r>
          </w:p>
        </w:tc>
        <w:tc>
          <w:tcPr>
            <w:tcW w:w="10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380"/>
        </w:trPr>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jc w:val="right"/>
              <w:ind w:right="363"/>
              <w:spacing w:after="0"/>
              <w:rPr>
                <w:sz w:val="20"/>
                <w:szCs w:val="20"/>
                <w:color w:val="auto"/>
              </w:rPr>
            </w:pPr>
            <w:r>
              <w:rPr>
                <w:rFonts w:ascii="Calibri" w:cs="Calibri" w:eastAsia="Calibri" w:hAnsi="Calibri"/>
                <w:sz w:val="15"/>
                <w:szCs w:val="15"/>
                <w:color w:val="auto"/>
              </w:rPr>
              <w:t>142</w:t>
            </w:r>
          </w:p>
        </w:tc>
        <w:tc>
          <w:tcPr>
            <w:tcW w:w="13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667"/>
        </w:trPr>
        <w:tc>
          <w:tcPr>
            <w:tcW w:w="9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64">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-26670</wp:posOffset>
            </wp:positionV>
            <wp:extent cx="33020" cy="4000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65">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934" w:right="319" w:bottom="1440" w:gutter="0" w:footer="0" w:header="0"/>
        </w:sectPr>
      </w:pPr>
    </w:p>
    <w:bookmarkStart w:id="144" w:name="page145"/>
    <w:bookmarkEnd w:id="144"/>
    <w:p>
      <w:pPr>
        <w:ind w:left="928" w:right="360" w:hanging="639"/>
        <w:spacing w:after="0"/>
        <w:tabs>
          <w:tab w:leader="none" w:pos="908" w:val="left"/>
        </w:tabs>
        <w:rPr>
          <w:sz w:val="20"/>
          <w:szCs w:val="20"/>
          <w:color w:val="auto"/>
        </w:rPr>
      </w:pPr>
      <w:r>
        <w:rPr>
          <w:rFonts w:ascii="Calibri" w:cs="Calibri" w:eastAsia="Calibri" w:hAnsi="Calibri"/>
          <w:sz w:val="15"/>
          <w:szCs w:val="15"/>
          <w:color w:val="auto"/>
        </w:rPr>
        <w:t>104</w:t>
      </w:r>
      <w:r>
        <w:rPr>
          <w:sz w:val="20"/>
          <w:szCs w:val="20"/>
          <w:color w:val="auto"/>
        </w:rPr>
        <w:tab/>
      </w:r>
      <w:r>
        <w:rPr>
          <w:rFonts w:ascii="Calibri" w:cs="Calibri" w:eastAsia="Calibri" w:hAnsi="Calibri"/>
          <w:sz w:val="15"/>
          <w:szCs w:val="15"/>
          <w:color w:val="auto"/>
        </w:rPr>
        <w:t>The cover page from the Company’s Annual Report on Form 10-K for X the year ended December 31, 2023 has been formated in Inline</w:t>
      </w:r>
    </w:p>
    <w:p>
      <w:pPr>
        <w:spacing w:after="0" w:line="185" w:lineRule="exact"/>
        <w:rPr>
          <w:sz w:val="20"/>
          <w:szCs w:val="20"/>
          <w:color w:val="auto"/>
        </w:rPr>
      </w:pPr>
    </w:p>
    <w:p>
      <w:pPr>
        <w:ind w:left="928"/>
        <w:spacing w:after="0"/>
        <w:rPr>
          <w:sz w:val="20"/>
          <w:szCs w:val="20"/>
          <w:color w:val="auto"/>
        </w:rPr>
      </w:pPr>
      <w:r>
        <w:rPr>
          <w:rFonts w:ascii="Calibri" w:cs="Calibri" w:eastAsia="Calibri" w:hAnsi="Calibri"/>
          <w:sz w:val="15"/>
          <w:szCs w:val="15"/>
          <w:color w:val="auto"/>
        </w:rPr>
        <w:t>XBRL.</w:t>
      </w:r>
    </w:p>
    <w:p>
      <w:pPr>
        <w:spacing w:after="0" w:line="243" w:lineRule="exact"/>
        <w:rPr>
          <w:sz w:val="20"/>
          <w:szCs w:val="20"/>
          <w:color w:val="auto"/>
        </w:rPr>
      </w:pPr>
    </w:p>
    <w:p>
      <w:pPr>
        <w:ind w:left="8"/>
        <w:spacing w:after="0"/>
        <w:rPr>
          <w:sz w:val="20"/>
          <w:szCs w:val="20"/>
          <w:color w:val="auto"/>
        </w:rPr>
      </w:pPr>
      <w:r>
        <w:rPr>
          <w:rFonts w:ascii="Calibri" w:cs="Calibri" w:eastAsia="Calibri" w:hAnsi="Calibri"/>
          <w:sz w:val="15"/>
          <w:szCs w:val="15"/>
          <w:color w:val="auto"/>
        </w:rPr>
        <w:t># Indicates a management contract or compensatory plan.</w:t>
      </w:r>
    </w:p>
    <w:p>
      <w:pPr>
        <w:spacing w:after="0" w:line="185" w:lineRule="exact"/>
        <w:rPr>
          <w:sz w:val="20"/>
          <w:szCs w:val="20"/>
          <w:color w:val="auto"/>
        </w:rPr>
      </w:pPr>
    </w:p>
    <w:p>
      <w:pPr>
        <w:ind w:left="8" w:right="20" w:hanging="8"/>
        <w:spacing w:after="0" w:line="241" w:lineRule="auto"/>
        <w:tabs>
          <w:tab w:leader="none" w:pos="150" w:val="left"/>
        </w:tabs>
        <w:numPr>
          <w:ilvl w:val="0"/>
          <w:numId w:val="38"/>
        </w:numPr>
        <w:rPr>
          <w:rFonts w:ascii="Calibri" w:cs="Calibri" w:eastAsia="Calibri" w:hAnsi="Calibri"/>
          <w:sz w:val="15"/>
          <w:szCs w:val="15"/>
          <w:color w:val="auto"/>
        </w:rPr>
      </w:pPr>
      <w:r>
        <w:rPr>
          <w:rFonts w:ascii="Calibri" w:cs="Calibri" w:eastAsia="Calibri" w:hAnsi="Calibri"/>
          <w:sz w:val="15"/>
          <w:szCs w:val="15"/>
          <w:color w:val="auto"/>
        </w:rPr>
        <w:t>The exhibits and schedules to this agreement have been omited pursuant to Item 601(b)(2) of Regulaton S-K and the Company agrees to furnish supplementally a copy of any omited schedule to the staf of the SEC upon request.</w:t>
      </w:r>
    </w:p>
    <w:p>
      <w:pPr>
        <w:spacing w:after="0" w:line="219" w:lineRule="exact"/>
        <w:rPr>
          <w:sz w:val="20"/>
          <w:szCs w:val="20"/>
          <w:color w:val="auto"/>
        </w:rPr>
      </w:pPr>
    </w:p>
    <w:p>
      <w:pPr>
        <w:ind w:left="8" w:hanging="8"/>
        <w:spacing w:after="0" w:line="241" w:lineRule="auto"/>
        <w:tabs>
          <w:tab w:leader="none" w:pos="203" w:val="left"/>
        </w:tabs>
        <w:numPr>
          <w:ilvl w:val="0"/>
          <w:numId w:val="39"/>
        </w:numPr>
        <w:rPr>
          <w:rFonts w:ascii="Calibri" w:cs="Calibri" w:eastAsia="Calibri" w:hAnsi="Calibri"/>
          <w:sz w:val="15"/>
          <w:szCs w:val="15"/>
          <w:color w:val="auto"/>
        </w:rPr>
      </w:pPr>
      <w:r>
        <w:rPr>
          <w:rFonts w:ascii="Calibri" w:cs="Calibri" w:eastAsia="Calibri" w:hAnsi="Calibri"/>
          <w:sz w:val="15"/>
          <w:szCs w:val="15"/>
          <w:color w:val="auto"/>
        </w:rPr>
        <w:t>The certfcatons furnished in Exhibit 32.1 and Exhibit 32.2 hereto are deemed to accompany this Annual Report and will not be deemed “fled” for purposes of Secton 18 of the Exchange Act, except to the extent that the registrant specifcally incorporates it by reference.</w:t>
      </w:r>
    </w:p>
    <w:p>
      <w:pPr>
        <w:spacing w:after="0" w:line="184" w:lineRule="exact"/>
        <w:rPr>
          <w:sz w:val="20"/>
          <w:szCs w:val="20"/>
          <w:color w:val="auto"/>
        </w:rPr>
      </w:pPr>
    </w:p>
    <w:p>
      <w:pPr>
        <w:jc w:val="center"/>
        <w:ind w:right="-7"/>
        <w:spacing w:after="0"/>
        <w:rPr>
          <w:sz w:val="20"/>
          <w:szCs w:val="20"/>
          <w:color w:val="auto"/>
        </w:rPr>
      </w:pPr>
      <w:r>
        <w:rPr>
          <w:rFonts w:ascii="Calibri" w:cs="Calibri" w:eastAsia="Calibri" w:hAnsi="Calibri"/>
          <w:sz w:val="15"/>
          <w:szCs w:val="15"/>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408940</wp:posOffset>
            </wp:positionV>
            <wp:extent cx="7178040" cy="4000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66">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8"/>
          </w:cols>
          <w:pgMar w:left="312" w:top="961" w:right="319" w:bottom="1440" w:gutter="0" w:footer="0" w:header="0"/>
        </w:sectPr>
      </w:pPr>
    </w:p>
    <w:bookmarkStart w:id="145" w:name="page146"/>
    <w:bookmarkEnd w:id="145"/>
    <w:p>
      <w:pPr>
        <w:jc w:val="center"/>
        <w:spacing w:after="0"/>
        <w:rPr>
          <w:sz w:val="20"/>
          <w:szCs w:val="20"/>
          <w:color w:val="auto"/>
        </w:rPr>
      </w:pPr>
      <w:r>
        <w:rPr>
          <w:rFonts w:ascii="Calibri" w:cs="Calibri" w:eastAsia="Calibri" w:hAnsi="Calibri"/>
          <w:sz w:val="15"/>
          <w:szCs w:val="15"/>
          <w:b w:val="1"/>
          <w:bCs w:val="1"/>
          <w:color w:val="auto"/>
        </w:rPr>
        <w:t>SIGNATURES</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Pursuant to the requirements of Secton 13 or 15(d) of the Securites Exchange Act of 1934, as amended, the registrant has duly caused this report to be signed on its behalf by the undersigned, thereunto duly authorized.</w:t>
      </w:r>
    </w:p>
    <w:p>
      <w:pPr>
        <w:spacing w:after="0" w:line="184" w:lineRule="exact"/>
        <w:rPr>
          <w:sz w:val="20"/>
          <w:szCs w:val="20"/>
          <w:color w:val="auto"/>
        </w:rPr>
      </w:pPr>
    </w:p>
    <w:p>
      <w:pPr>
        <w:ind w:left="5700"/>
        <w:spacing w:after="0"/>
        <w:rPr>
          <w:sz w:val="20"/>
          <w:szCs w:val="20"/>
          <w:color w:val="auto"/>
        </w:rPr>
      </w:pPr>
      <w:r>
        <w:rPr>
          <w:rFonts w:ascii="Calibri" w:cs="Calibri" w:eastAsia="Calibri" w:hAnsi="Calibri"/>
          <w:sz w:val="15"/>
          <w:szCs w:val="15"/>
          <w:b w:val="1"/>
          <w:bCs w:val="1"/>
          <w:color w:val="auto"/>
        </w:rPr>
        <w:t>CarGurus, Inc.</w:t>
      </w:r>
    </w:p>
    <w:p>
      <w:pPr>
        <w:spacing w:after="0" w:line="254" w:lineRule="exact"/>
        <w:rPr>
          <w:sz w:val="20"/>
          <w:szCs w:val="20"/>
          <w:color w:val="auto"/>
        </w:rPr>
      </w:pPr>
    </w:p>
    <w:p>
      <w:pPr>
        <w:spacing w:after="0"/>
        <w:tabs>
          <w:tab w:leader="none" w:pos="5680" w:val="left"/>
          <w:tab w:leader="none" w:pos="6120" w:val="left"/>
        </w:tabs>
        <w:rPr>
          <w:sz w:val="20"/>
          <w:szCs w:val="20"/>
          <w:color w:val="auto"/>
        </w:rPr>
      </w:pPr>
      <w:r>
        <w:rPr>
          <w:rFonts w:ascii="Calibri" w:cs="Calibri" w:eastAsia="Calibri" w:hAnsi="Calibri"/>
          <w:sz w:val="15"/>
          <w:szCs w:val="15"/>
          <w:color w:val="auto"/>
        </w:rPr>
        <w:t>Date: February 26, 2024</w:t>
      </w:r>
      <w:r>
        <w:rPr>
          <w:sz w:val="20"/>
          <w:szCs w:val="20"/>
          <w:color w:val="auto"/>
        </w:rPr>
        <w:tab/>
      </w:r>
      <w:r>
        <w:rPr>
          <w:rFonts w:ascii="Calibri" w:cs="Calibri" w:eastAsia="Calibri" w:hAnsi="Calibri"/>
          <w:sz w:val="15"/>
          <w:szCs w:val="15"/>
          <w:color w:val="auto"/>
        </w:rPr>
        <w:t>By:</w:t>
      </w:r>
      <w:r>
        <w:rPr>
          <w:sz w:val="20"/>
          <w:szCs w:val="20"/>
          <w:color w:val="auto"/>
        </w:rPr>
        <w:tab/>
      </w:r>
      <w:r>
        <w:rPr>
          <w:rFonts w:ascii="Calibri" w:cs="Calibri" w:eastAsia="Calibri" w:hAnsi="Calibri"/>
          <w:sz w:val="14"/>
          <w:szCs w:val="14"/>
          <w:color w:val="auto"/>
        </w:rPr>
        <w:t>/s/ Jason Trevisan</w:t>
      </w:r>
    </w:p>
    <w:p>
      <w:pPr>
        <w:spacing w:after="0" w:line="24" w:lineRule="exact"/>
        <w:rPr>
          <w:sz w:val="20"/>
          <w:szCs w:val="20"/>
          <w:color w:val="auto"/>
        </w:rPr>
      </w:pPr>
    </w:p>
    <w:p>
      <w:pPr>
        <w:ind w:left="6140"/>
        <w:spacing w:after="0"/>
        <w:rPr>
          <w:sz w:val="20"/>
          <w:szCs w:val="20"/>
          <w:color w:val="auto"/>
        </w:rPr>
      </w:pPr>
      <w:r>
        <w:rPr>
          <w:rFonts w:ascii="Calibri" w:cs="Calibri" w:eastAsia="Calibri" w:hAnsi="Calibri"/>
          <w:sz w:val="15"/>
          <w:szCs w:val="15"/>
          <w:color w:val="auto"/>
        </w:rPr>
        <w:t>Jason Trevisan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-111125</wp:posOffset>
            </wp:positionV>
            <wp:extent cx="7152640" cy="762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67">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ind w:left="6140"/>
        <w:spacing w:after="0"/>
        <w:rPr>
          <w:sz w:val="20"/>
          <w:szCs w:val="20"/>
          <w:color w:val="auto"/>
        </w:rPr>
      </w:pPr>
      <w:r>
        <w:rPr>
          <w:rFonts w:ascii="Calibri" w:cs="Calibri" w:eastAsia="Calibri" w:hAnsi="Calibri"/>
          <w:sz w:val="15"/>
          <w:szCs w:val="15"/>
          <w:color w:val="auto"/>
        </w:rPr>
        <w:t>Chief Executve Ofcer</w:t>
      </w:r>
    </w:p>
    <w:p>
      <w:pPr>
        <w:spacing w:after="0" w:line="1" w:lineRule="exact"/>
        <w:rPr>
          <w:sz w:val="20"/>
          <w:szCs w:val="20"/>
          <w:color w:val="auto"/>
        </w:rPr>
      </w:pPr>
    </w:p>
    <w:p>
      <w:pPr>
        <w:ind w:left="6140"/>
        <w:spacing w:after="0"/>
        <w:rPr>
          <w:sz w:val="20"/>
          <w:szCs w:val="20"/>
          <w:color w:val="auto"/>
        </w:rPr>
      </w:pPr>
      <w:r>
        <w:rPr>
          <w:rFonts w:ascii="Calibri" w:cs="Calibri" w:eastAsia="Calibri" w:hAnsi="Calibri"/>
          <w:sz w:val="15"/>
          <w:szCs w:val="15"/>
          <w:i w:val="1"/>
          <w:iCs w:val="1"/>
          <w:color w:val="auto"/>
        </w:rPr>
        <w:t>(Principal Executve Ofcer)</w:t>
      </w:r>
    </w:p>
    <w:p>
      <w:pPr>
        <w:spacing w:after="0" w:line="200" w:lineRule="exact"/>
        <w:rPr>
          <w:sz w:val="20"/>
          <w:szCs w:val="20"/>
          <w:color w:val="auto"/>
        </w:rPr>
      </w:pPr>
    </w:p>
    <w:p>
      <w:pPr>
        <w:spacing w:after="0" w:line="296" w:lineRule="exact"/>
        <w:rPr>
          <w:sz w:val="20"/>
          <w:szCs w:val="20"/>
          <w:color w:val="auto"/>
        </w:rPr>
      </w:pPr>
    </w:p>
    <w:p>
      <w:pPr>
        <w:jc w:val="center"/>
        <w:ind w:right="40"/>
        <w:spacing w:after="0"/>
        <w:rPr>
          <w:sz w:val="20"/>
          <w:szCs w:val="20"/>
          <w:color w:val="auto"/>
        </w:rPr>
      </w:pPr>
      <w:r>
        <w:rPr>
          <w:rFonts w:ascii="Calibri" w:cs="Calibri" w:eastAsia="Calibri" w:hAnsi="Calibri"/>
          <w:sz w:val="15"/>
          <w:szCs w:val="15"/>
          <w:b w:val="1"/>
          <w:bCs w:val="1"/>
          <w:color w:val="auto"/>
        </w:rPr>
        <w:t>POWER OF ATTORNEY</w:t>
      </w:r>
    </w:p>
    <w:p>
      <w:pPr>
        <w:spacing w:after="0" w:line="185" w:lineRule="exact"/>
        <w:rPr>
          <w:sz w:val="20"/>
          <w:szCs w:val="20"/>
          <w:color w:val="auto"/>
        </w:rPr>
      </w:pPr>
    </w:p>
    <w:p>
      <w:pPr>
        <w:jc w:val="both"/>
        <w:ind w:firstLine="511"/>
        <w:spacing w:after="0" w:line="241" w:lineRule="auto"/>
        <w:rPr>
          <w:sz w:val="20"/>
          <w:szCs w:val="20"/>
          <w:color w:val="auto"/>
        </w:rPr>
      </w:pPr>
      <w:r>
        <w:rPr>
          <w:rFonts w:ascii="Calibri" w:cs="Calibri" w:eastAsia="Calibri" w:hAnsi="Calibri"/>
          <w:sz w:val="15"/>
          <w:szCs w:val="15"/>
          <w:color w:val="auto"/>
        </w:rPr>
        <w:t>Each person whose individual signature appears below hereby consttutes and appoints Jason Trevisan and Elisa Palazzo, and each of them, with full power of substtuton and resubsttuton and full power to act without the other, as his or her true and lawful atorney-in-fact and agent to act in his or her name, place, and stead and to execute in the name and on behalf of each person, individually and in each capacity stated below, and to fle any and all amendments to this Annual Report on Form 10-K, and to fle the same, with all exhibits thereto, and other documents in connecton therewith, with the U.S. Securites and Exchange Commission, grantng unto said atorneys-in-fact and agents, and each of them, full power and authority to do and perform each and every act and thing, ratfying and confrming all that said atorneys-in-fact and agents or any of them or their substtute or substtutes may lawfully do or cause to be done by virtue thereof.</w:t>
      </w:r>
    </w:p>
    <w:p>
      <w:pPr>
        <w:spacing w:after="0" w:line="185" w:lineRule="exact"/>
        <w:rPr>
          <w:sz w:val="20"/>
          <w:szCs w:val="20"/>
          <w:color w:val="auto"/>
        </w:rPr>
      </w:pPr>
    </w:p>
    <w:p>
      <w:pPr>
        <w:jc w:val="both"/>
        <w:ind w:right="20" w:firstLine="511"/>
        <w:spacing w:after="0" w:line="241" w:lineRule="auto"/>
        <w:rPr>
          <w:sz w:val="20"/>
          <w:szCs w:val="20"/>
          <w:color w:val="auto"/>
        </w:rPr>
      </w:pPr>
      <w:r>
        <w:rPr>
          <w:rFonts w:ascii="Calibri" w:cs="Calibri" w:eastAsia="Calibri" w:hAnsi="Calibri"/>
          <w:sz w:val="15"/>
          <w:szCs w:val="15"/>
          <w:color w:val="auto"/>
        </w:rPr>
        <w:t>Pursuant to the requirements of the Securites Exchange Act of 1934, as amended, this report has been signed below by the following persons on behalf of the registrant in the capacites and on the dates indicated.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2800" w:type="dxa"/>
            <w:vAlign w:val="bottom"/>
          </w:tcPr>
          <w:p>
            <w:pPr>
              <w:jc w:val="center"/>
              <w:spacing w:after="0"/>
              <w:rPr>
                <w:sz w:val="20"/>
                <w:szCs w:val="20"/>
                <w:color w:val="auto"/>
              </w:rPr>
            </w:pPr>
            <w:r>
              <w:rPr>
                <w:rFonts w:ascii="Calibri" w:cs="Calibri" w:eastAsia="Calibri" w:hAnsi="Calibri"/>
                <w:sz w:val="12"/>
                <w:szCs w:val="12"/>
                <w:b w:val="1"/>
                <w:bCs w:val="1"/>
                <w:color w:val="auto"/>
              </w:rPr>
              <w:t>Name</w:t>
            </w:r>
          </w:p>
        </w:tc>
        <w:tc>
          <w:tcPr>
            <w:tcW w:w="120" w:type="dxa"/>
            <w:vAlign w:val="bottom"/>
          </w:tcPr>
          <w:p>
            <w:pPr>
              <w:spacing w:after="0"/>
              <w:rPr>
                <w:sz w:val="12"/>
                <w:szCs w:val="12"/>
                <w:color w:val="auto"/>
              </w:rPr>
            </w:pPr>
          </w:p>
        </w:tc>
        <w:tc>
          <w:tcPr>
            <w:tcW w:w="5860" w:type="dxa"/>
            <w:vAlign w:val="bottom"/>
          </w:tcPr>
          <w:p>
            <w:pPr>
              <w:ind w:left="2820"/>
              <w:spacing w:after="0"/>
              <w:rPr>
                <w:sz w:val="20"/>
                <w:szCs w:val="20"/>
                <w:color w:val="auto"/>
              </w:rPr>
            </w:pPr>
            <w:r>
              <w:rPr>
                <w:rFonts w:ascii="Calibri" w:cs="Calibri" w:eastAsia="Calibri" w:hAnsi="Calibri"/>
                <w:sz w:val="12"/>
                <w:szCs w:val="12"/>
                <w:b w:val="1"/>
                <w:bCs w:val="1"/>
                <w:color w:val="auto"/>
              </w:rPr>
              <w:t>Title</w:t>
            </w:r>
          </w:p>
        </w:tc>
        <w:tc>
          <w:tcPr>
            <w:tcW w:w="100" w:type="dxa"/>
            <w:vAlign w:val="bottom"/>
          </w:tcPr>
          <w:p>
            <w:pPr>
              <w:spacing w:after="0"/>
              <w:rPr>
                <w:sz w:val="12"/>
                <w:szCs w:val="12"/>
                <w:color w:val="auto"/>
              </w:rPr>
            </w:pPr>
          </w:p>
        </w:tc>
        <w:tc>
          <w:tcPr>
            <w:tcW w:w="2380" w:type="dxa"/>
            <w:vAlign w:val="bottom"/>
          </w:tcPr>
          <w:p>
            <w:pPr>
              <w:ind w:left="1080"/>
              <w:spacing w:after="0"/>
              <w:rPr>
                <w:sz w:val="20"/>
                <w:szCs w:val="20"/>
                <w:color w:val="auto"/>
              </w:rPr>
            </w:pPr>
            <w:r>
              <w:rPr>
                <w:rFonts w:ascii="Calibri" w:cs="Calibri" w:eastAsia="Calibri" w:hAnsi="Calibri"/>
                <w:sz w:val="12"/>
                <w:szCs w:val="12"/>
                <w:b w:val="1"/>
                <w:bCs w:val="1"/>
                <w:color w:val="auto"/>
              </w:rPr>
              <w:t>Date</w:t>
            </w:r>
          </w:p>
        </w:tc>
        <w:tc>
          <w:tcPr>
            <w:tcW w:w="0" w:type="dxa"/>
            <w:vAlign w:val="bottom"/>
          </w:tcPr>
          <w:p>
            <w:pPr>
              <w:spacing w:after="0"/>
              <w:rPr>
                <w:sz w:val="1"/>
                <w:szCs w:val="1"/>
                <w:color w:val="auto"/>
              </w:rPr>
            </w:pPr>
          </w:p>
        </w:tc>
      </w:tr>
      <w:tr>
        <w:trPr>
          <w:trHeight w:val="28"/>
        </w:trPr>
        <w:tc>
          <w:tcPr>
            <w:tcW w:w="2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60" w:type="dxa"/>
            <w:vAlign w:val="bottom"/>
          </w:tcPr>
          <w:p>
            <w:pPr>
              <w:spacing w:after="0"/>
              <w:rPr>
                <w:sz w:val="20"/>
                <w:szCs w:val="20"/>
                <w:color w:val="auto"/>
              </w:rPr>
            </w:pPr>
            <w:r>
              <w:rPr>
                <w:rFonts w:ascii="Calibri" w:cs="Calibri" w:eastAsia="Calibri" w:hAnsi="Calibri"/>
                <w:sz w:val="15"/>
                <w:szCs w:val="15"/>
                <w:color w:val="auto"/>
              </w:rPr>
              <w:t>Chief Executve Ofcer and Director</w:t>
            </w:r>
          </w:p>
        </w:tc>
        <w:tc>
          <w:tcPr>
            <w:tcW w:w="1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2800" w:type="dxa"/>
            <w:vAlign w:val="bottom"/>
            <w:tcBorders>
              <w:bottom w:val="single" w:sz="8" w:color="auto"/>
            </w:tcBorders>
          </w:tcPr>
          <w:p>
            <w:pPr>
              <w:jc w:val="center"/>
              <w:spacing w:after="0"/>
              <w:rPr>
                <w:sz w:val="20"/>
                <w:szCs w:val="20"/>
                <w:color w:val="auto"/>
              </w:rPr>
            </w:pPr>
            <w:r>
              <w:rPr>
                <w:rFonts w:ascii="Calibri" w:cs="Calibri" w:eastAsia="Calibri" w:hAnsi="Calibri"/>
                <w:sz w:val="15"/>
                <w:szCs w:val="15"/>
                <w:color w:val="auto"/>
                <w:w w:val="99"/>
              </w:rPr>
              <w:t>/s/ Jason Trevisan</w:t>
            </w:r>
          </w:p>
        </w:tc>
        <w:tc>
          <w:tcPr>
            <w:tcW w:w="120" w:type="dxa"/>
            <w:vAlign w:val="bottom"/>
          </w:tcPr>
          <w:p>
            <w:pPr>
              <w:spacing w:after="0"/>
              <w:rPr>
                <w:sz w:val="17"/>
                <w:szCs w:val="17"/>
                <w:color w:val="auto"/>
              </w:rPr>
            </w:pPr>
          </w:p>
        </w:tc>
        <w:tc>
          <w:tcPr>
            <w:tcW w:w="5860" w:type="dxa"/>
            <w:vAlign w:val="bottom"/>
          </w:tcPr>
          <w:p>
            <w:pPr>
              <w:spacing w:after="0"/>
              <w:rPr>
                <w:sz w:val="20"/>
                <w:szCs w:val="20"/>
                <w:color w:val="auto"/>
              </w:rPr>
            </w:pPr>
            <w:r>
              <w:rPr>
                <w:rFonts w:ascii="Calibri" w:cs="Calibri" w:eastAsia="Calibri" w:hAnsi="Calibri"/>
                <w:sz w:val="15"/>
                <w:szCs w:val="15"/>
                <w:i w:val="1"/>
                <w:iCs w:val="1"/>
                <w:color w:val="auto"/>
              </w:rPr>
              <w:t>(Principal Executve Ofcer)</w:t>
            </w:r>
          </w:p>
        </w:tc>
        <w:tc>
          <w:tcPr>
            <w:tcW w:w="100" w:type="dxa"/>
            <w:vAlign w:val="bottom"/>
          </w:tcPr>
          <w:p>
            <w:pPr>
              <w:spacing w:after="0"/>
              <w:rPr>
                <w:sz w:val="17"/>
                <w:szCs w:val="17"/>
                <w:color w:val="auto"/>
              </w:rPr>
            </w:pPr>
          </w:p>
        </w:tc>
        <w:tc>
          <w:tcPr>
            <w:tcW w:w="2380" w:type="dxa"/>
            <w:vAlign w:val="bottom"/>
          </w:tcPr>
          <w:p>
            <w:pPr>
              <w:ind w:left="20"/>
              <w:spacing w:after="0"/>
              <w:rPr>
                <w:sz w:val="20"/>
                <w:szCs w:val="20"/>
                <w:color w:val="auto"/>
              </w:rPr>
            </w:pPr>
            <w:r>
              <w:rPr>
                <w:rFonts w:ascii="Calibri" w:cs="Calibri" w:eastAsia="Calibri" w:hAnsi="Calibri"/>
                <w:sz w:val="15"/>
                <w:szCs w:val="15"/>
                <w:color w:val="auto"/>
              </w:rPr>
              <w:t>February 26, 2024</w:t>
            </w:r>
          </w:p>
        </w:tc>
        <w:tc>
          <w:tcPr>
            <w:tcW w:w="0" w:type="dxa"/>
            <w:vAlign w:val="bottom"/>
          </w:tcPr>
          <w:p>
            <w:pPr>
              <w:spacing w:after="0"/>
              <w:rPr>
                <w:sz w:val="1"/>
                <w:szCs w:val="1"/>
                <w:color w:val="auto"/>
              </w:rPr>
            </w:pPr>
          </w:p>
        </w:tc>
      </w:tr>
      <w:tr>
        <w:trPr>
          <w:trHeight w:val="183"/>
        </w:trPr>
        <w:tc>
          <w:tcPr>
            <w:tcW w:w="2800" w:type="dxa"/>
            <w:vAlign w:val="bottom"/>
          </w:tcPr>
          <w:p>
            <w:pPr>
              <w:jc w:val="center"/>
              <w:spacing w:after="0"/>
              <w:rPr>
                <w:sz w:val="20"/>
                <w:szCs w:val="20"/>
                <w:color w:val="auto"/>
              </w:rPr>
            </w:pPr>
            <w:r>
              <w:rPr>
                <w:rFonts w:ascii="Calibri" w:cs="Calibri" w:eastAsia="Calibri" w:hAnsi="Calibri"/>
                <w:sz w:val="15"/>
                <w:szCs w:val="15"/>
                <w:color w:val="auto"/>
                <w:w w:val="99"/>
              </w:rPr>
              <w:t>Jason Trevisan</w:t>
            </w:r>
          </w:p>
        </w:tc>
        <w:tc>
          <w:tcPr>
            <w:tcW w:w="12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2800" w:type="dxa"/>
            <w:vAlign w:val="bottom"/>
            <w:vMerge w:val="restart"/>
          </w:tcPr>
          <w:p>
            <w:pPr>
              <w:jc w:val="center"/>
              <w:spacing w:after="0"/>
              <w:rPr>
                <w:sz w:val="20"/>
                <w:szCs w:val="20"/>
                <w:color w:val="auto"/>
              </w:rPr>
            </w:pPr>
            <w:r>
              <w:rPr>
                <w:rFonts w:ascii="Calibri" w:cs="Calibri" w:eastAsia="Calibri" w:hAnsi="Calibri"/>
                <w:sz w:val="15"/>
                <w:szCs w:val="15"/>
                <w:color w:val="auto"/>
                <w:w w:val="99"/>
              </w:rPr>
              <w:t>/s/ Elisa Palazzo</w:t>
            </w:r>
          </w:p>
        </w:tc>
        <w:tc>
          <w:tcPr>
            <w:tcW w:w="120" w:type="dxa"/>
            <w:vAlign w:val="bottom"/>
          </w:tcPr>
          <w:p>
            <w:pPr>
              <w:spacing w:after="0"/>
              <w:rPr>
                <w:sz w:val="22"/>
                <w:szCs w:val="22"/>
                <w:color w:val="auto"/>
              </w:rPr>
            </w:pPr>
          </w:p>
        </w:tc>
        <w:tc>
          <w:tcPr>
            <w:tcW w:w="5860" w:type="dxa"/>
            <w:vAlign w:val="bottom"/>
          </w:tcPr>
          <w:p>
            <w:pPr>
              <w:spacing w:after="0"/>
              <w:rPr>
                <w:sz w:val="20"/>
                <w:szCs w:val="20"/>
                <w:color w:val="auto"/>
              </w:rPr>
            </w:pPr>
            <w:r>
              <w:rPr>
                <w:rFonts w:ascii="Calibri" w:cs="Calibri" w:eastAsia="Calibri" w:hAnsi="Calibri"/>
                <w:sz w:val="15"/>
                <w:szCs w:val="15"/>
                <w:color w:val="auto"/>
              </w:rPr>
              <w:t>Chief Financial Ofcer</w:t>
            </w:r>
          </w:p>
        </w:tc>
        <w:tc>
          <w:tcPr>
            <w:tcW w:w="10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8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5860" w:type="dxa"/>
            <w:vAlign w:val="bottom"/>
          </w:tcPr>
          <w:p>
            <w:pPr>
              <w:spacing w:after="0"/>
              <w:rPr>
                <w:sz w:val="20"/>
                <w:szCs w:val="20"/>
                <w:color w:val="auto"/>
              </w:rPr>
            </w:pPr>
            <w:r>
              <w:rPr>
                <w:rFonts w:ascii="Calibri" w:cs="Calibri" w:eastAsia="Calibri" w:hAnsi="Calibri"/>
                <w:sz w:val="15"/>
                <w:szCs w:val="15"/>
                <w:i w:val="1"/>
                <w:iCs w:val="1"/>
                <w:color w:val="auto"/>
              </w:rPr>
              <w:t>(Principal Financial Ofcer and Principal Accountng Ofcer)</w:t>
            </w:r>
          </w:p>
        </w:tc>
        <w:tc>
          <w:tcPr>
            <w:tcW w:w="100" w:type="dxa"/>
            <w:vAlign w:val="bottom"/>
          </w:tcPr>
          <w:p>
            <w:pPr>
              <w:spacing w:after="0"/>
              <w:rPr>
                <w:sz w:val="16"/>
                <w:szCs w:val="16"/>
                <w:color w:val="auto"/>
              </w:rPr>
            </w:pPr>
          </w:p>
        </w:tc>
        <w:tc>
          <w:tcPr>
            <w:tcW w:w="2380" w:type="dxa"/>
            <w:vAlign w:val="bottom"/>
          </w:tcPr>
          <w:p>
            <w:pPr>
              <w:ind w:left="20"/>
              <w:spacing w:after="0"/>
              <w:rPr>
                <w:sz w:val="20"/>
                <w:szCs w:val="20"/>
                <w:color w:val="auto"/>
              </w:rPr>
            </w:pPr>
            <w:r>
              <w:rPr>
                <w:rFonts w:ascii="Calibri" w:cs="Calibri" w:eastAsia="Calibri" w:hAnsi="Calibri"/>
                <w:sz w:val="15"/>
                <w:szCs w:val="15"/>
                <w:color w:val="auto"/>
              </w:rPr>
              <w:t>February 26, 2024</w:t>
            </w:r>
          </w:p>
        </w:tc>
        <w:tc>
          <w:tcPr>
            <w:tcW w:w="0" w:type="dxa"/>
            <w:vAlign w:val="bottom"/>
          </w:tcPr>
          <w:p>
            <w:pPr>
              <w:spacing w:after="0"/>
              <w:rPr>
                <w:sz w:val="1"/>
                <w:szCs w:val="1"/>
                <w:color w:val="auto"/>
              </w:rPr>
            </w:pPr>
          </w:p>
        </w:tc>
      </w:tr>
      <w:tr>
        <w:trPr>
          <w:trHeight w:val="183"/>
        </w:trPr>
        <w:tc>
          <w:tcPr>
            <w:tcW w:w="2800" w:type="dxa"/>
            <w:vAlign w:val="bottom"/>
          </w:tcPr>
          <w:p>
            <w:pPr>
              <w:jc w:val="center"/>
              <w:spacing w:after="0"/>
              <w:rPr>
                <w:sz w:val="20"/>
                <w:szCs w:val="20"/>
                <w:color w:val="auto"/>
              </w:rPr>
            </w:pPr>
            <w:r>
              <w:rPr>
                <w:rFonts w:ascii="Calibri" w:cs="Calibri" w:eastAsia="Calibri" w:hAnsi="Calibri"/>
                <w:sz w:val="15"/>
                <w:szCs w:val="15"/>
                <w:color w:val="auto"/>
              </w:rPr>
              <w:t>Elisa Palazzo</w:t>
            </w:r>
          </w:p>
        </w:tc>
        <w:tc>
          <w:tcPr>
            <w:tcW w:w="12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0"/>
        </w:trPr>
        <w:tc>
          <w:tcPr>
            <w:tcW w:w="2800" w:type="dxa"/>
            <w:vAlign w:val="bottom"/>
            <w:tcBorders>
              <w:bottom w:val="single" w:sz="8" w:color="auto"/>
            </w:tcBorders>
          </w:tcPr>
          <w:p>
            <w:pPr>
              <w:jc w:val="center"/>
              <w:spacing w:after="0"/>
              <w:rPr>
                <w:sz w:val="20"/>
                <w:szCs w:val="20"/>
                <w:color w:val="auto"/>
              </w:rPr>
            </w:pPr>
            <w:r>
              <w:rPr>
                <w:rFonts w:ascii="Calibri" w:cs="Calibri" w:eastAsia="Calibri" w:hAnsi="Calibri"/>
                <w:sz w:val="15"/>
                <w:szCs w:val="15"/>
                <w:color w:val="auto"/>
                <w:w w:val="99"/>
              </w:rPr>
              <w:t>/s/ Langley Steinert</w:t>
            </w:r>
          </w:p>
        </w:tc>
        <w:tc>
          <w:tcPr>
            <w:tcW w:w="120" w:type="dxa"/>
            <w:vAlign w:val="bottom"/>
          </w:tcPr>
          <w:p>
            <w:pPr>
              <w:spacing w:after="0"/>
              <w:rPr>
                <w:sz w:val="24"/>
                <w:szCs w:val="24"/>
                <w:color w:val="auto"/>
              </w:rPr>
            </w:pPr>
          </w:p>
        </w:tc>
        <w:tc>
          <w:tcPr>
            <w:tcW w:w="5860" w:type="dxa"/>
            <w:vAlign w:val="bottom"/>
          </w:tcPr>
          <w:p>
            <w:pPr>
              <w:ind w:left="40"/>
              <w:spacing w:after="0"/>
              <w:rPr>
                <w:sz w:val="20"/>
                <w:szCs w:val="20"/>
                <w:color w:val="auto"/>
              </w:rPr>
            </w:pPr>
            <w:r>
              <w:rPr>
                <w:rFonts w:ascii="Calibri" w:cs="Calibri" w:eastAsia="Calibri" w:hAnsi="Calibri"/>
                <w:sz w:val="15"/>
                <w:szCs w:val="15"/>
                <w:color w:val="auto"/>
              </w:rPr>
              <w:t>Executve Chair and Chair of the Board of Directors</w:t>
            </w:r>
          </w:p>
        </w:tc>
        <w:tc>
          <w:tcPr>
            <w:tcW w:w="100" w:type="dxa"/>
            <w:vAlign w:val="bottom"/>
          </w:tcPr>
          <w:p>
            <w:pPr>
              <w:spacing w:after="0"/>
              <w:rPr>
                <w:sz w:val="24"/>
                <w:szCs w:val="24"/>
                <w:color w:val="auto"/>
              </w:rPr>
            </w:pPr>
          </w:p>
        </w:tc>
        <w:tc>
          <w:tcPr>
            <w:tcW w:w="2380" w:type="dxa"/>
            <w:vAlign w:val="bottom"/>
          </w:tcPr>
          <w:p>
            <w:pPr>
              <w:ind w:left="20"/>
              <w:spacing w:after="0"/>
              <w:rPr>
                <w:sz w:val="20"/>
                <w:szCs w:val="20"/>
                <w:color w:val="auto"/>
              </w:rPr>
            </w:pPr>
            <w:r>
              <w:rPr>
                <w:rFonts w:ascii="Calibri" w:cs="Calibri" w:eastAsia="Calibri" w:hAnsi="Calibri"/>
                <w:sz w:val="15"/>
                <w:szCs w:val="15"/>
                <w:color w:val="auto"/>
              </w:rPr>
              <w:t>February 26, 2024</w:t>
            </w:r>
          </w:p>
        </w:tc>
        <w:tc>
          <w:tcPr>
            <w:tcW w:w="0" w:type="dxa"/>
            <w:vAlign w:val="bottom"/>
          </w:tcPr>
          <w:p>
            <w:pPr>
              <w:spacing w:after="0"/>
              <w:rPr>
                <w:sz w:val="1"/>
                <w:szCs w:val="1"/>
                <w:color w:val="auto"/>
              </w:rPr>
            </w:pPr>
          </w:p>
        </w:tc>
      </w:tr>
      <w:tr>
        <w:trPr>
          <w:trHeight w:val="183"/>
        </w:trPr>
        <w:tc>
          <w:tcPr>
            <w:tcW w:w="2800" w:type="dxa"/>
            <w:vAlign w:val="bottom"/>
          </w:tcPr>
          <w:p>
            <w:pPr>
              <w:jc w:val="center"/>
              <w:spacing w:after="0"/>
              <w:rPr>
                <w:sz w:val="20"/>
                <w:szCs w:val="20"/>
                <w:color w:val="auto"/>
              </w:rPr>
            </w:pPr>
            <w:r>
              <w:rPr>
                <w:rFonts w:ascii="Calibri" w:cs="Calibri" w:eastAsia="Calibri" w:hAnsi="Calibri"/>
                <w:sz w:val="15"/>
                <w:szCs w:val="15"/>
                <w:color w:val="auto"/>
              </w:rPr>
              <w:t>Langley Steinert</w:t>
            </w:r>
          </w:p>
        </w:tc>
        <w:tc>
          <w:tcPr>
            <w:tcW w:w="12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4"/>
        </w:trPr>
        <w:tc>
          <w:tcPr>
            <w:tcW w:w="2800" w:type="dxa"/>
            <w:vAlign w:val="bottom"/>
            <w:tcBorders>
              <w:bottom w:val="single" w:sz="8" w:color="auto"/>
            </w:tcBorders>
          </w:tcPr>
          <w:p>
            <w:pPr>
              <w:jc w:val="center"/>
              <w:spacing w:after="0"/>
              <w:rPr>
                <w:sz w:val="20"/>
                <w:szCs w:val="20"/>
                <w:color w:val="auto"/>
              </w:rPr>
            </w:pPr>
            <w:r>
              <w:rPr>
                <w:rFonts w:ascii="Calibri" w:cs="Calibri" w:eastAsia="Calibri" w:hAnsi="Calibri"/>
                <w:sz w:val="15"/>
                <w:szCs w:val="15"/>
                <w:color w:val="auto"/>
                <w:w w:val="99"/>
              </w:rPr>
              <w:t>/s/ Steven Conine</w:t>
            </w:r>
          </w:p>
        </w:tc>
        <w:tc>
          <w:tcPr>
            <w:tcW w:w="120" w:type="dxa"/>
            <w:vAlign w:val="bottom"/>
          </w:tcPr>
          <w:p>
            <w:pPr>
              <w:spacing w:after="0"/>
              <w:rPr>
                <w:sz w:val="24"/>
                <w:szCs w:val="24"/>
                <w:color w:val="auto"/>
              </w:rPr>
            </w:pPr>
          </w:p>
        </w:tc>
        <w:tc>
          <w:tcPr>
            <w:tcW w:w="5860" w:type="dxa"/>
            <w:vAlign w:val="bottom"/>
          </w:tcPr>
          <w:p>
            <w:pPr>
              <w:ind w:left="40"/>
              <w:spacing w:after="0"/>
              <w:rPr>
                <w:sz w:val="20"/>
                <w:szCs w:val="20"/>
                <w:color w:val="auto"/>
              </w:rPr>
            </w:pPr>
            <w:r>
              <w:rPr>
                <w:rFonts w:ascii="Calibri" w:cs="Calibri" w:eastAsia="Calibri" w:hAnsi="Calibri"/>
                <w:sz w:val="15"/>
                <w:szCs w:val="15"/>
                <w:color w:val="auto"/>
              </w:rPr>
              <w:t>Director</w:t>
            </w:r>
          </w:p>
        </w:tc>
        <w:tc>
          <w:tcPr>
            <w:tcW w:w="100" w:type="dxa"/>
            <w:vAlign w:val="bottom"/>
          </w:tcPr>
          <w:p>
            <w:pPr>
              <w:spacing w:after="0"/>
              <w:rPr>
                <w:sz w:val="24"/>
                <w:szCs w:val="24"/>
                <w:color w:val="auto"/>
              </w:rPr>
            </w:pPr>
          </w:p>
        </w:tc>
        <w:tc>
          <w:tcPr>
            <w:tcW w:w="2380" w:type="dxa"/>
            <w:vAlign w:val="bottom"/>
          </w:tcPr>
          <w:p>
            <w:pPr>
              <w:ind w:left="20"/>
              <w:spacing w:after="0"/>
              <w:rPr>
                <w:sz w:val="20"/>
                <w:szCs w:val="20"/>
                <w:color w:val="auto"/>
              </w:rPr>
            </w:pPr>
            <w:r>
              <w:rPr>
                <w:rFonts w:ascii="Calibri" w:cs="Calibri" w:eastAsia="Calibri" w:hAnsi="Calibri"/>
                <w:sz w:val="15"/>
                <w:szCs w:val="15"/>
                <w:color w:val="auto"/>
              </w:rPr>
              <w:t>February 26, 2024</w:t>
            </w:r>
          </w:p>
        </w:tc>
        <w:tc>
          <w:tcPr>
            <w:tcW w:w="0" w:type="dxa"/>
            <w:vAlign w:val="bottom"/>
          </w:tcPr>
          <w:p>
            <w:pPr>
              <w:spacing w:after="0"/>
              <w:rPr>
                <w:sz w:val="1"/>
                <w:szCs w:val="1"/>
                <w:color w:val="auto"/>
              </w:rPr>
            </w:pPr>
          </w:p>
        </w:tc>
      </w:tr>
      <w:tr>
        <w:trPr>
          <w:trHeight w:val="183"/>
        </w:trPr>
        <w:tc>
          <w:tcPr>
            <w:tcW w:w="2800" w:type="dxa"/>
            <w:vAlign w:val="bottom"/>
          </w:tcPr>
          <w:p>
            <w:pPr>
              <w:jc w:val="center"/>
              <w:spacing w:after="0"/>
              <w:rPr>
                <w:sz w:val="20"/>
                <w:szCs w:val="20"/>
                <w:color w:val="auto"/>
              </w:rPr>
            </w:pPr>
            <w:r>
              <w:rPr>
                <w:rFonts w:ascii="Calibri" w:cs="Calibri" w:eastAsia="Calibri" w:hAnsi="Calibri"/>
                <w:sz w:val="15"/>
                <w:szCs w:val="15"/>
                <w:color w:val="auto"/>
              </w:rPr>
              <w:t>Steven Conine</w:t>
            </w:r>
          </w:p>
        </w:tc>
        <w:tc>
          <w:tcPr>
            <w:tcW w:w="12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0"/>
        </w:trPr>
        <w:tc>
          <w:tcPr>
            <w:tcW w:w="2800" w:type="dxa"/>
            <w:vAlign w:val="bottom"/>
            <w:tcBorders>
              <w:bottom w:val="single" w:sz="8" w:color="auto"/>
            </w:tcBorders>
          </w:tcPr>
          <w:p>
            <w:pPr>
              <w:jc w:val="center"/>
              <w:spacing w:after="0"/>
              <w:rPr>
                <w:sz w:val="20"/>
                <w:szCs w:val="20"/>
                <w:color w:val="auto"/>
              </w:rPr>
            </w:pPr>
            <w:r>
              <w:rPr>
                <w:rFonts w:ascii="Calibri" w:cs="Calibri" w:eastAsia="Calibri" w:hAnsi="Calibri"/>
                <w:sz w:val="15"/>
                <w:szCs w:val="15"/>
                <w:color w:val="auto"/>
              </w:rPr>
              <w:t>/s/ Manik Gupta</w:t>
            </w:r>
          </w:p>
        </w:tc>
        <w:tc>
          <w:tcPr>
            <w:tcW w:w="120" w:type="dxa"/>
            <w:vAlign w:val="bottom"/>
          </w:tcPr>
          <w:p>
            <w:pPr>
              <w:spacing w:after="0"/>
              <w:rPr>
                <w:sz w:val="24"/>
                <w:szCs w:val="24"/>
                <w:color w:val="auto"/>
              </w:rPr>
            </w:pPr>
          </w:p>
        </w:tc>
        <w:tc>
          <w:tcPr>
            <w:tcW w:w="5860" w:type="dxa"/>
            <w:vAlign w:val="bottom"/>
          </w:tcPr>
          <w:p>
            <w:pPr>
              <w:spacing w:after="0"/>
              <w:rPr>
                <w:sz w:val="20"/>
                <w:szCs w:val="20"/>
                <w:color w:val="auto"/>
              </w:rPr>
            </w:pPr>
            <w:r>
              <w:rPr>
                <w:rFonts w:ascii="Calibri" w:cs="Calibri" w:eastAsia="Calibri" w:hAnsi="Calibri"/>
                <w:sz w:val="15"/>
                <w:szCs w:val="15"/>
                <w:color w:val="auto"/>
              </w:rPr>
              <w:t>Director</w:t>
            </w:r>
          </w:p>
        </w:tc>
        <w:tc>
          <w:tcPr>
            <w:tcW w:w="100" w:type="dxa"/>
            <w:vAlign w:val="bottom"/>
          </w:tcPr>
          <w:p>
            <w:pPr>
              <w:spacing w:after="0"/>
              <w:rPr>
                <w:sz w:val="24"/>
                <w:szCs w:val="24"/>
                <w:color w:val="auto"/>
              </w:rPr>
            </w:pPr>
          </w:p>
        </w:tc>
        <w:tc>
          <w:tcPr>
            <w:tcW w:w="2380" w:type="dxa"/>
            <w:vAlign w:val="bottom"/>
          </w:tcPr>
          <w:p>
            <w:pPr>
              <w:ind w:left="20"/>
              <w:spacing w:after="0"/>
              <w:rPr>
                <w:sz w:val="20"/>
                <w:szCs w:val="20"/>
                <w:color w:val="auto"/>
              </w:rPr>
            </w:pPr>
            <w:r>
              <w:rPr>
                <w:rFonts w:ascii="Calibri" w:cs="Calibri" w:eastAsia="Calibri" w:hAnsi="Calibri"/>
                <w:sz w:val="15"/>
                <w:szCs w:val="15"/>
                <w:color w:val="auto"/>
              </w:rPr>
              <w:t>February 26, 2024</w:t>
            </w:r>
          </w:p>
        </w:tc>
        <w:tc>
          <w:tcPr>
            <w:tcW w:w="0" w:type="dxa"/>
            <w:vAlign w:val="bottom"/>
          </w:tcPr>
          <w:p>
            <w:pPr>
              <w:spacing w:after="0"/>
              <w:rPr>
                <w:sz w:val="1"/>
                <w:szCs w:val="1"/>
                <w:color w:val="auto"/>
              </w:rPr>
            </w:pPr>
          </w:p>
        </w:tc>
      </w:tr>
      <w:tr>
        <w:trPr>
          <w:trHeight w:val="183"/>
        </w:trPr>
        <w:tc>
          <w:tcPr>
            <w:tcW w:w="2800" w:type="dxa"/>
            <w:vAlign w:val="bottom"/>
          </w:tcPr>
          <w:p>
            <w:pPr>
              <w:jc w:val="center"/>
              <w:spacing w:after="0"/>
              <w:rPr>
                <w:sz w:val="20"/>
                <w:szCs w:val="20"/>
                <w:color w:val="auto"/>
              </w:rPr>
            </w:pPr>
            <w:r>
              <w:rPr>
                <w:rFonts w:ascii="Calibri" w:cs="Calibri" w:eastAsia="Calibri" w:hAnsi="Calibri"/>
                <w:sz w:val="15"/>
                <w:szCs w:val="15"/>
                <w:color w:val="auto"/>
              </w:rPr>
              <w:t>Manik Gupta</w:t>
            </w:r>
          </w:p>
        </w:tc>
        <w:tc>
          <w:tcPr>
            <w:tcW w:w="12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0"/>
        </w:trPr>
        <w:tc>
          <w:tcPr>
            <w:tcW w:w="2800" w:type="dxa"/>
            <w:vAlign w:val="bottom"/>
            <w:tcBorders>
              <w:bottom w:val="single" w:sz="8" w:color="auto"/>
            </w:tcBorders>
          </w:tcPr>
          <w:p>
            <w:pPr>
              <w:jc w:val="center"/>
              <w:spacing w:after="0"/>
              <w:rPr>
                <w:sz w:val="20"/>
                <w:szCs w:val="20"/>
                <w:color w:val="auto"/>
              </w:rPr>
            </w:pPr>
            <w:r>
              <w:rPr>
                <w:rFonts w:ascii="Calibri" w:cs="Calibri" w:eastAsia="Calibri" w:hAnsi="Calibri"/>
                <w:sz w:val="15"/>
                <w:szCs w:val="15"/>
                <w:color w:val="auto"/>
              </w:rPr>
              <w:t>/s/ Lori Hickok</w:t>
            </w:r>
          </w:p>
        </w:tc>
        <w:tc>
          <w:tcPr>
            <w:tcW w:w="120" w:type="dxa"/>
            <w:vAlign w:val="bottom"/>
          </w:tcPr>
          <w:p>
            <w:pPr>
              <w:spacing w:after="0"/>
              <w:rPr>
                <w:sz w:val="24"/>
                <w:szCs w:val="24"/>
                <w:color w:val="auto"/>
              </w:rPr>
            </w:pPr>
          </w:p>
        </w:tc>
        <w:tc>
          <w:tcPr>
            <w:tcW w:w="5860" w:type="dxa"/>
            <w:vAlign w:val="bottom"/>
          </w:tcPr>
          <w:p>
            <w:pPr>
              <w:ind w:left="40"/>
              <w:spacing w:after="0"/>
              <w:rPr>
                <w:sz w:val="20"/>
                <w:szCs w:val="20"/>
                <w:color w:val="auto"/>
              </w:rPr>
            </w:pPr>
            <w:r>
              <w:rPr>
                <w:rFonts w:ascii="Calibri" w:cs="Calibri" w:eastAsia="Calibri" w:hAnsi="Calibri"/>
                <w:sz w:val="15"/>
                <w:szCs w:val="15"/>
                <w:color w:val="auto"/>
              </w:rPr>
              <w:t>Director</w:t>
            </w:r>
          </w:p>
        </w:tc>
        <w:tc>
          <w:tcPr>
            <w:tcW w:w="100" w:type="dxa"/>
            <w:vAlign w:val="bottom"/>
          </w:tcPr>
          <w:p>
            <w:pPr>
              <w:spacing w:after="0"/>
              <w:rPr>
                <w:sz w:val="24"/>
                <w:szCs w:val="24"/>
                <w:color w:val="auto"/>
              </w:rPr>
            </w:pPr>
          </w:p>
        </w:tc>
        <w:tc>
          <w:tcPr>
            <w:tcW w:w="2380" w:type="dxa"/>
            <w:vAlign w:val="bottom"/>
          </w:tcPr>
          <w:p>
            <w:pPr>
              <w:ind w:left="20"/>
              <w:spacing w:after="0"/>
              <w:rPr>
                <w:sz w:val="20"/>
                <w:szCs w:val="20"/>
                <w:color w:val="auto"/>
              </w:rPr>
            </w:pPr>
            <w:r>
              <w:rPr>
                <w:rFonts w:ascii="Calibri" w:cs="Calibri" w:eastAsia="Calibri" w:hAnsi="Calibri"/>
                <w:sz w:val="15"/>
                <w:szCs w:val="15"/>
                <w:color w:val="auto"/>
              </w:rPr>
              <w:t>February 26, 2024</w:t>
            </w:r>
          </w:p>
        </w:tc>
        <w:tc>
          <w:tcPr>
            <w:tcW w:w="0" w:type="dxa"/>
            <w:vAlign w:val="bottom"/>
          </w:tcPr>
          <w:p>
            <w:pPr>
              <w:spacing w:after="0"/>
              <w:rPr>
                <w:sz w:val="1"/>
                <w:szCs w:val="1"/>
                <w:color w:val="auto"/>
              </w:rPr>
            </w:pPr>
          </w:p>
        </w:tc>
      </w:tr>
      <w:tr>
        <w:trPr>
          <w:trHeight w:val="183"/>
        </w:trPr>
        <w:tc>
          <w:tcPr>
            <w:tcW w:w="2800" w:type="dxa"/>
            <w:vAlign w:val="bottom"/>
          </w:tcPr>
          <w:p>
            <w:pPr>
              <w:jc w:val="center"/>
              <w:spacing w:after="0"/>
              <w:rPr>
                <w:sz w:val="20"/>
                <w:szCs w:val="20"/>
                <w:color w:val="auto"/>
              </w:rPr>
            </w:pPr>
            <w:r>
              <w:rPr>
                <w:rFonts w:ascii="Calibri" w:cs="Calibri" w:eastAsia="Calibri" w:hAnsi="Calibri"/>
                <w:sz w:val="15"/>
                <w:szCs w:val="15"/>
                <w:color w:val="auto"/>
                <w:w w:val="98"/>
              </w:rPr>
              <w:t>Lori Hickok</w:t>
            </w:r>
          </w:p>
        </w:tc>
        <w:tc>
          <w:tcPr>
            <w:tcW w:w="12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0"/>
        </w:trPr>
        <w:tc>
          <w:tcPr>
            <w:tcW w:w="2800" w:type="dxa"/>
            <w:vAlign w:val="bottom"/>
            <w:tcBorders>
              <w:bottom w:val="single" w:sz="8" w:color="auto"/>
            </w:tcBorders>
          </w:tcPr>
          <w:p>
            <w:pPr>
              <w:jc w:val="center"/>
              <w:spacing w:after="0"/>
              <w:rPr>
                <w:sz w:val="20"/>
                <w:szCs w:val="20"/>
                <w:color w:val="auto"/>
              </w:rPr>
            </w:pPr>
            <w:r>
              <w:rPr>
                <w:rFonts w:ascii="Calibri" w:cs="Calibri" w:eastAsia="Calibri" w:hAnsi="Calibri"/>
                <w:sz w:val="15"/>
                <w:szCs w:val="15"/>
                <w:color w:val="auto"/>
                <w:w w:val="99"/>
              </w:rPr>
              <w:t>/s/ Stephen Kaufer</w:t>
            </w:r>
          </w:p>
        </w:tc>
        <w:tc>
          <w:tcPr>
            <w:tcW w:w="120" w:type="dxa"/>
            <w:vAlign w:val="bottom"/>
          </w:tcPr>
          <w:p>
            <w:pPr>
              <w:spacing w:after="0"/>
              <w:rPr>
                <w:sz w:val="24"/>
                <w:szCs w:val="24"/>
                <w:color w:val="auto"/>
              </w:rPr>
            </w:pPr>
          </w:p>
        </w:tc>
        <w:tc>
          <w:tcPr>
            <w:tcW w:w="5860" w:type="dxa"/>
            <w:vAlign w:val="bottom"/>
          </w:tcPr>
          <w:p>
            <w:pPr>
              <w:ind w:left="40"/>
              <w:spacing w:after="0"/>
              <w:rPr>
                <w:sz w:val="20"/>
                <w:szCs w:val="20"/>
                <w:color w:val="auto"/>
              </w:rPr>
            </w:pPr>
            <w:r>
              <w:rPr>
                <w:rFonts w:ascii="Calibri" w:cs="Calibri" w:eastAsia="Calibri" w:hAnsi="Calibri"/>
                <w:sz w:val="15"/>
                <w:szCs w:val="15"/>
                <w:color w:val="auto"/>
              </w:rPr>
              <w:t>Director</w:t>
            </w:r>
          </w:p>
        </w:tc>
        <w:tc>
          <w:tcPr>
            <w:tcW w:w="100" w:type="dxa"/>
            <w:vAlign w:val="bottom"/>
          </w:tcPr>
          <w:p>
            <w:pPr>
              <w:spacing w:after="0"/>
              <w:rPr>
                <w:sz w:val="24"/>
                <w:szCs w:val="24"/>
                <w:color w:val="auto"/>
              </w:rPr>
            </w:pPr>
          </w:p>
        </w:tc>
        <w:tc>
          <w:tcPr>
            <w:tcW w:w="2380" w:type="dxa"/>
            <w:vAlign w:val="bottom"/>
          </w:tcPr>
          <w:p>
            <w:pPr>
              <w:ind w:left="20"/>
              <w:spacing w:after="0"/>
              <w:rPr>
                <w:sz w:val="20"/>
                <w:szCs w:val="20"/>
                <w:color w:val="auto"/>
              </w:rPr>
            </w:pPr>
            <w:r>
              <w:rPr>
                <w:rFonts w:ascii="Calibri" w:cs="Calibri" w:eastAsia="Calibri" w:hAnsi="Calibri"/>
                <w:sz w:val="15"/>
                <w:szCs w:val="15"/>
                <w:color w:val="auto"/>
              </w:rPr>
              <w:t>February 26, 2024</w:t>
            </w:r>
          </w:p>
        </w:tc>
        <w:tc>
          <w:tcPr>
            <w:tcW w:w="0" w:type="dxa"/>
            <w:vAlign w:val="bottom"/>
          </w:tcPr>
          <w:p>
            <w:pPr>
              <w:spacing w:after="0"/>
              <w:rPr>
                <w:sz w:val="1"/>
                <w:szCs w:val="1"/>
                <w:color w:val="auto"/>
              </w:rPr>
            </w:pPr>
          </w:p>
        </w:tc>
      </w:tr>
      <w:tr>
        <w:trPr>
          <w:trHeight w:val="183"/>
        </w:trPr>
        <w:tc>
          <w:tcPr>
            <w:tcW w:w="2800" w:type="dxa"/>
            <w:vAlign w:val="bottom"/>
          </w:tcPr>
          <w:p>
            <w:pPr>
              <w:jc w:val="center"/>
              <w:spacing w:after="0"/>
              <w:rPr>
                <w:sz w:val="20"/>
                <w:szCs w:val="20"/>
                <w:color w:val="auto"/>
              </w:rPr>
            </w:pPr>
            <w:r>
              <w:rPr>
                <w:rFonts w:ascii="Calibri" w:cs="Calibri" w:eastAsia="Calibri" w:hAnsi="Calibri"/>
                <w:sz w:val="15"/>
                <w:szCs w:val="15"/>
                <w:color w:val="auto"/>
                <w:w w:val="97"/>
              </w:rPr>
              <w:t>Stephen Kaufer</w:t>
            </w:r>
          </w:p>
        </w:tc>
        <w:tc>
          <w:tcPr>
            <w:tcW w:w="12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0"/>
        </w:trPr>
        <w:tc>
          <w:tcPr>
            <w:tcW w:w="2800" w:type="dxa"/>
            <w:vAlign w:val="bottom"/>
            <w:tcBorders>
              <w:bottom w:val="single" w:sz="8" w:color="auto"/>
            </w:tcBorders>
          </w:tcPr>
          <w:p>
            <w:pPr>
              <w:jc w:val="center"/>
              <w:spacing w:after="0"/>
              <w:rPr>
                <w:sz w:val="20"/>
                <w:szCs w:val="20"/>
                <w:color w:val="auto"/>
              </w:rPr>
            </w:pPr>
            <w:r>
              <w:rPr>
                <w:rFonts w:ascii="Calibri" w:cs="Calibri" w:eastAsia="Calibri" w:hAnsi="Calibri"/>
                <w:sz w:val="15"/>
                <w:szCs w:val="15"/>
                <w:color w:val="auto"/>
                <w:w w:val="99"/>
              </w:rPr>
              <w:t>/s/ Greg Schwartz</w:t>
            </w:r>
          </w:p>
        </w:tc>
        <w:tc>
          <w:tcPr>
            <w:tcW w:w="120" w:type="dxa"/>
            <w:vAlign w:val="bottom"/>
          </w:tcPr>
          <w:p>
            <w:pPr>
              <w:spacing w:after="0"/>
              <w:rPr>
                <w:sz w:val="24"/>
                <w:szCs w:val="24"/>
                <w:color w:val="auto"/>
              </w:rPr>
            </w:pPr>
          </w:p>
        </w:tc>
        <w:tc>
          <w:tcPr>
            <w:tcW w:w="5860" w:type="dxa"/>
            <w:vAlign w:val="bottom"/>
          </w:tcPr>
          <w:p>
            <w:pPr>
              <w:ind w:left="40"/>
              <w:spacing w:after="0"/>
              <w:rPr>
                <w:sz w:val="20"/>
                <w:szCs w:val="20"/>
                <w:color w:val="auto"/>
              </w:rPr>
            </w:pPr>
            <w:r>
              <w:rPr>
                <w:rFonts w:ascii="Calibri" w:cs="Calibri" w:eastAsia="Calibri" w:hAnsi="Calibri"/>
                <w:sz w:val="15"/>
                <w:szCs w:val="15"/>
                <w:color w:val="auto"/>
              </w:rPr>
              <w:t>Director</w:t>
            </w:r>
          </w:p>
        </w:tc>
        <w:tc>
          <w:tcPr>
            <w:tcW w:w="100" w:type="dxa"/>
            <w:vAlign w:val="bottom"/>
          </w:tcPr>
          <w:p>
            <w:pPr>
              <w:spacing w:after="0"/>
              <w:rPr>
                <w:sz w:val="24"/>
                <w:szCs w:val="24"/>
                <w:color w:val="auto"/>
              </w:rPr>
            </w:pPr>
          </w:p>
        </w:tc>
        <w:tc>
          <w:tcPr>
            <w:tcW w:w="2380" w:type="dxa"/>
            <w:vAlign w:val="bottom"/>
          </w:tcPr>
          <w:p>
            <w:pPr>
              <w:ind w:left="20"/>
              <w:spacing w:after="0"/>
              <w:rPr>
                <w:sz w:val="20"/>
                <w:szCs w:val="20"/>
                <w:color w:val="auto"/>
              </w:rPr>
            </w:pPr>
            <w:r>
              <w:rPr>
                <w:rFonts w:ascii="Calibri" w:cs="Calibri" w:eastAsia="Calibri" w:hAnsi="Calibri"/>
                <w:sz w:val="15"/>
                <w:szCs w:val="15"/>
                <w:color w:val="auto"/>
              </w:rPr>
              <w:t>February 26, 2024</w:t>
            </w:r>
          </w:p>
        </w:tc>
        <w:tc>
          <w:tcPr>
            <w:tcW w:w="0" w:type="dxa"/>
            <w:vAlign w:val="bottom"/>
          </w:tcPr>
          <w:p>
            <w:pPr>
              <w:spacing w:after="0"/>
              <w:rPr>
                <w:sz w:val="1"/>
                <w:szCs w:val="1"/>
                <w:color w:val="auto"/>
              </w:rPr>
            </w:pPr>
          </w:p>
        </w:tc>
      </w:tr>
      <w:tr>
        <w:trPr>
          <w:trHeight w:val="183"/>
        </w:trPr>
        <w:tc>
          <w:tcPr>
            <w:tcW w:w="2800" w:type="dxa"/>
            <w:vAlign w:val="bottom"/>
          </w:tcPr>
          <w:p>
            <w:pPr>
              <w:jc w:val="center"/>
              <w:spacing w:after="0"/>
              <w:rPr>
                <w:sz w:val="20"/>
                <w:szCs w:val="20"/>
                <w:color w:val="auto"/>
              </w:rPr>
            </w:pPr>
            <w:r>
              <w:rPr>
                <w:rFonts w:ascii="Calibri" w:cs="Calibri" w:eastAsia="Calibri" w:hAnsi="Calibri"/>
                <w:sz w:val="15"/>
                <w:szCs w:val="15"/>
                <w:color w:val="auto"/>
              </w:rPr>
              <w:t>Greg Schwartz</w:t>
            </w:r>
          </w:p>
        </w:tc>
        <w:tc>
          <w:tcPr>
            <w:tcW w:w="12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5"/>
        </w:trPr>
        <w:tc>
          <w:tcPr>
            <w:tcW w:w="2800" w:type="dxa"/>
            <w:vAlign w:val="bottom"/>
          </w:tcPr>
          <w:p>
            <w:pPr>
              <w:spacing w:after="0"/>
              <w:rPr>
                <w:sz w:val="24"/>
                <w:szCs w:val="24"/>
                <w:color w:val="auto"/>
              </w:rPr>
            </w:pPr>
          </w:p>
        </w:tc>
        <w:tc>
          <w:tcPr>
            <w:tcW w:w="5980" w:type="dxa"/>
            <w:vAlign w:val="bottom"/>
            <w:gridSpan w:val="2"/>
          </w:tcPr>
          <w:p>
            <w:pPr>
              <w:jc w:val="right"/>
              <w:ind w:right="2965"/>
              <w:spacing w:after="0"/>
              <w:rPr>
                <w:sz w:val="20"/>
                <w:szCs w:val="20"/>
                <w:color w:val="auto"/>
              </w:rPr>
            </w:pPr>
            <w:r>
              <w:rPr>
                <w:rFonts w:ascii="Calibri" w:cs="Calibri" w:eastAsia="Calibri" w:hAnsi="Calibri"/>
                <w:sz w:val="15"/>
                <w:szCs w:val="15"/>
                <w:color w:val="auto"/>
              </w:rPr>
              <w:t>144</w:t>
            </w:r>
          </w:p>
        </w:tc>
        <w:tc>
          <w:tcPr>
            <w:tcW w:w="1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7"/>
        </w:trPr>
        <w:tc>
          <w:tcPr>
            <w:tcW w:w="28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68">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-26670</wp:posOffset>
            </wp:positionV>
            <wp:extent cx="33020" cy="4000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69">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949" w:right="31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rPr>
        <w:t>Exhibit 4.2</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DESCRIPTION OF THE REGISTRANT’S SECURITIES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REGISTERED PURSUANT TO SECTION 12 OF THE</w:t>
      </w: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EXCHANGE ACT OF 1934</w:t>
      </w:r>
    </w:p>
    <w:p>
      <w:pPr>
        <w:spacing w:after="0" w:line="16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 following description sets forth certain material terms and provisions of CarGurus, Inc.’s (“CarGurus,” “we,” “us,” and “our”) securities that are registered under Section 12 of the Securities Exchange Act of 1934, as amended.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DESCRIPTION OF CAPITAL STOCK</w:t>
      </w:r>
    </w:p>
    <w:p>
      <w:pPr>
        <w:spacing w:after="0" w:line="18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The following description is a summary and does not purport to be complete. It is subject to, and qualified in its entirety by reference to, our Fourth Amended and Restated Certificate of Incorporation (our “Certificate of Incorporation”) and our Second Amended and Restated Bylaws (our “Bylaws”), each of which are incorporated by reference as an exhibit to the Annual Report on Form 10-K of which this Exhibit 4.3 is a part. The terms of these securities also may be affected by Delaware law.</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Authorized Capital Stock</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We are authorized to issue a total of 610,000,000 shares of capital stock consisting of 500,000,000 shares of Class A common stock, par value $0.001 per share, 100,000,000 shares of Class B common stock, par value $0.001 per share, and 10,000,000 shares of preferred stock, par value $0.001 per share. Our common stock is listed on the Nasdaq Global Select Market under the trading symbol “CARG.”</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Class A and Class B Common Stock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Voting Rights</w:t>
      </w:r>
    </w:p>
    <w:p>
      <w:pPr>
        <w:spacing w:after="0" w:line="188"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17"/>
          <w:szCs w:val="17"/>
          <w:color w:val="auto"/>
        </w:rPr>
        <w:t>Holders of our Class A common stock and Class B common stock have identical rights, provided that, except as otherwise expressly provided in our Certificate of Incorporation or required by applicable law, on any matter that is submitted to a vote of our stockholders, holders of our Class A common stock are entitled to one vote per share of Class A common stock and holders of our Class B common stock are entitled to 10 votes per share of Class B common stock. Holders of shares of Class A common stock and Class B common stock vote together as a single class on all matters (including the election of directors) submitted to a vote of stockholders, unless otherwise required by law. Delaware law could require either our Class A common stock or Class B common stock to vote separately as a single class in the following circumstances:</w:t>
      </w:r>
    </w:p>
    <w:p>
      <w:pPr>
        <w:spacing w:after="0" w:line="160" w:lineRule="exact"/>
        <w:rPr>
          <w:sz w:val="20"/>
          <w:szCs w:val="20"/>
          <w:color w:val="auto"/>
        </w:rPr>
      </w:pPr>
    </w:p>
    <w:p>
      <w:pPr>
        <w:ind w:left="740" w:hanging="373"/>
        <w:spacing w:after="0"/>
        <w:tabs>
          <w:tab w:leader="none" w:pos="7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propose to amend our certificate of incorporation to increase or decrease the par value of the shares of a class of our stock; or</w:t>
      </w:r>
    </w:p>
    <w:p>
      <w:pPr>
        <w:spacing w:after="0" w:line="184" w:lineRule="exact"/>
        <w:rPr>
          <w:rFonts w:ascii="Times New Roman" w:cs="Times New Roman" w:eastAsia="Times New Roman" w:hAnsi="Times New Roman"/>
          <w:sz w:val="17"/>
          <w:szCs w:val="17"/>
          <w:color w:val="auto"/>
        </w:rPr>
      </w:pPr>
    </w:p>
    <w:p>
      <w:pPr>
        <w:ind w:left="740" w:hanging="373"/>
        <w:spacing w:after="0" w:line="268" w:lineRule="auto"/>
        <w:tabs>
          <w:tab w:leader="none" w:pos="7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propose to amend our certificate of incorporation in a manner that alters or changes the powers, preferences or special rights of a class of stock in a manner that affected its holders adversely.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not provided for cumulative voting for the election of directors in our Certificate of Incorporation.</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539750</wp:posOffset>
            </wp:positionV>
            <wp:extent cx="7178040" cy="4000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70">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21" w:right="31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7"/>
          <w:szCs w:val="17"/>
          <w:b w:val="1"/>
          <w:bCs w:val="1"/>
          <w:i w:val="1"/>
          <w:iCs w:val="1"/>
          <w:color w:val="auto"/>
        </w:rPr>
        <w:t>Economic Rights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Except as otherwise expressly provided in our Certificate of Incorporation or required by applicable law, shares of Class A common stock and Class B common stock have the same rights and privileges and rank equally, share ratably and are identical in all respects as to all matters, including, without limitation, those described below.</w:t>
      </w:r>
    </w:p>
    <w:p>
      <w:pPr>
        <w:spacing w:after="0" w:line="146" w:lineRule="exact"/>
        <w:rPr>
          <w:sz w:val="20"/>
          <w:szCs w:val="20"/>
          <w:color w:val="auto"/>
        </w:rPr>
      </w:pPr>
    </w:p>
    <w:p>
      <w:pPr>
        <w:jc w:val="both"/>
        <w:ind w:firstLine="751"/>
        <w:spacing w:after="0" w:line="251" w:lineRule="auto"/>
        <w:rPr>
          <w:sz w:val="20"/>
          <w:szCs w:val="20"/>
          <w:color w:val="auto"/>
        </w:rPr>
      </w:pPr>
      <w:r>
        <w:rPr>
          <w:rFonts w:ascii="Times New Roman" w:cs="Times New Roman" w:eastAsia="Times New Roman" w:hAnsi="Times New Roman"/>
          <w:sz w:val="17"/>
          <w:szCs w:val="17"/>
          <w:i w:val="1"/>
          <w:iCs w:val="1"/>
          <w:color w:val="auto"/>
        </w:rPr>
        <w:t xml:space="preserve">Dividends and Distributions. </w:t>
      </w:r>
      <w:r>
        <w:rPr>
          <w:rFonts w:ascii="Times New Roman" w:cs="Times New Roman" w:eastAsia="Times New Roman" w:hAnsi="Times New Roman"/>
          <w:sz w:val="17"/>
          <w:szCs w:val="17"/>
          <w:color w:val="auto"/>
        </w:rPr>
        <w:t>Subject to preferences that may apply to any shares of preferred stock outstanding at the time, the holders of Class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common stock and Class B common stock are entitled to receive dividends, if any, as may be declared from time to time by our board of directors out of legally available funds. We have never declared or paid cash dividends on any of our capital stock and currently do not anticipate paying any cash dividends in the foreseeable future.</w:t>
      </w:r>
    </w:p>
    <w:p>
      <w:pPr>
        <w:spacing w:after="0" w:line="149" w:lineRule="exact"/>
        <w:rPr>
          <w:sz w:val="20"/>
          <w:szCs w:val="20"/>
          <w:color w:val="auto"/>
        </w:rPr>
      </w:pPr>
    </w:p>
    <w:p>
      <w:pPr>
        <w:jc w:val="both"/>
        <w:ind w:firstLine="751"/>
        <w:spacing w:after="0" w:line="256" w:lineRule="auto"/>
        <w:rPr>
          <w:sz w:val="20"/>
          <w:szCs w:val="20"/>
          <w:color w:val="auto"/>
        </w:rPr>
      </w:pPr>
      <w:r>
        <w:rPr>
          <w:rFonts w:ascii="Times New Roman" w:cs="Times New Roman" w:eastAsia="Times New Roman" w:hAnsi="Times New Roman"/>
          <w:sz w:val="17"/>
          <w:szCs w:val="17"/>
          <w:i w:val="1"/>
          <w:iCs w:val="1"/>
          <w:color w:val="auto"/>
        </w:rPr>
        <w:t xml:space="preserve">Right to Receive Liquidation Distributions. </w:t>
      </w:r>
      <w:r>
        <w:rPr>
          <w:rFonts w:ascii="Times New Roman" w:cs="Times New Roman" w:eastAsia="Times New Roman" w:hAnsi="Times New Roman"/>
          <w:sz w:val="17"/>
          <w:szCs w:val="17"/>
          <w:color w:val="auto"/>
        </w:rPr>
        <w:t>Upon our dissolution, liquidation or winding-up, the assets legally available for distribution to our stockholders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are distributable ratably among the holders of our common stock, subject to prior satisfaction of all outstanding debt and liabilities and the preferential rights and payment of liquidation preferences, if any, on any outstanding shares of preferred stock.</w:t>
      </w:r>
    </w:p>
    <w:p>
      <w:pPr>
        <w:spacing w:after="0" w:line="145" w:lineRule="exact"/>
        <w:rPr>
          <w:sz w:val="20"/>
          <w:szCs w:val="20"/>
          <w:color w:val="auto"/>
        </w:rPr>
      </w:pPr>
    </w:p>
    <w:p>
      <w:pPr>
        <w:jc w:val="both"/>
        <w:ind w:firstLine="751"/>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No Preemptive or Similar Rights. </w:t>
      </w:r>
      <w:r>
        <w:rPr>
          <w:rFonts w:ascii="Times New Roman" w:cs="Times New Roman" w:eastAsia="Times New Roman" w:hAnsi="Times New Roman"/>
          <w:sz w:val="17"/>
          <w:szCs w:val="17"/>
          <w:color w:val="auto"/>
        </w:rPr>
        <w:t>Holders of our Class A common stock and Class B common stock are not entitled to preemptive rights and are not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subject to redemption or sinking fund provisions.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Conversion</w:t>
      </w:r>
    </w:p>
    <w:p>
      <w:pPr>
        <w:spacing w:after="0" w:line="18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7"/>
          <w:szCs w:val="17"/>
          <w:color w:val="auto"/>
        </w:rPr>
        <w:t>Each share of Class B common stock is convertible at any time at the option of the holder into one share of Class A common stock. In addition, each share of Class B common stock will convert automatically into one share of Class A common stock upon any transfer of such share, which is defined to include entering into a voting agreement, whether or not for value, except for certain transfers described in our Certificate of Incorporation, including, without limitation, transfers to certain family members of the transferor stockholder. Finally, all shares of Class B common stock automatically convert into shares of Class A common stock, on a share for share basis, upon the date falling after the first to occur of (1) the death of Langley Steinert, our founder and Executive Chair, (2) Mr. Steinert’s voluntary termination of all employment with us and service on our board of directors or (3) the sum of the number of shares of our capital stock held by Mr. Steinert, by any Family Member of Mr. Steinert, and by any Permitted Entity of Mr. Steinert (as such terms are defined in our Certificate of Incorporation), assuming the exercise and settlement in full of all outstanding options and convertible securities and calculated on an as-converted to Class A common stock basis, being less than 9,091,484. Shares of Class B common stock will not automatically convert into shares of Class A common stock upon the termination of Mr. Steinert’s status as an officer and director, unless such termination is either made voluntarily by Mr. Steinert or due to Mr. Steinert’s death. Once converted into Class A common stock, the converted shares of Class B common stock will not be reissued. In addition, if all shares of Class B common stock are converted into Class A common stock, then any outstanding options or convertible securities with the right to purchase or acquire shares of Class B common stock shall become a right to purchase or acquire shares of Class A common stock.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Fully Paid and Non-Assessable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 of the outstanding shares of our Class A common stock and Class B common stock are fully paid and non-assessable.</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539750</wp:posOffset>
            </wp:positionV>
            <wp:extent cx="7178040" cy="4000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71">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21" w:right="31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7"/>
          <w:szCs w:val="17"/>
          <w:b w:val="1"/>
          <w:bCs w:val="1"/>
          <w:color w:val="auto"/>
        </w:rPr>
        <w:t>Preferred Stock</w:t>
      </w:r>
    </w:p>
    <w:p>
      <w:pPr>
        <w:spacing w:after="0" w:line="18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Our board of directors has the authority to issue up to 10,000,000 shares of preferred stock in one or more series and to fix the rights, preferences, privileges, and restrictions thereof, provided that, prior to the Threshold Date (as such term is defined in our Certificate of Incorporation and described below), such designation is subject to the approval of holders of at least a majority of the combined voting power of our outstanding capital stock.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common stock. The issuance of preferred stock by us could adversely affect the voting power of holders of common stock and the likelihood that such holders will receive dividend payments and payments upon liquidation. In addition, the issuance of preferred stock could have the effect of delaying, deferring or preventing a change of control of our company or other corporate action. We have no present plan to issue any shares of preferred stock.</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Certain Anti-Takeover Provisions of Delaware Law and Our Certificate of Incorporation and Bylaws</w:t>
      </w:r>
    </w:p>
    <w:p>
      <w:pPr>
        <w:spacing w:after="0" w:line="18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The provisions of Delaware law and of our Certificate of Incorporation and Bylaws may have the effect of delaying, deferring or discouraging another person from acquiring control of our company. These provisions, which are summarized below, may have the effect of discouraging takeover bids, coercive of otherwise.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Delaware Law</w:t>
      </w:r>
    </w:p>
    <w:p>
      <w:pPr>
        <w:spacing w:after="0" w:line="18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We are governed by the provisions of Section 203 of the Delaware General Corporation Law. In general, Section 203 prohibits a public Delaware corporation from engaging in a “business combination” with an “interested stockholder” for a period of three years after the date of the transaction in which the person became an interested stockholder, unless the business combination is approved in a prescribed manner. A “business combination” includes mergers, asset sales or other transactions resulting in a financial benefit to the stockholder. An “interested stockholder” is a person who, together with affiliates and associates, owns, or within three years of the date on which it is sought to be determined whether such person is an interested stockholder, did own, 15% or more of the corporation’s outstanding voting stock. These provisions may have the effect of delaying, deferring or preventing a change in our control.</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Certificate of Incorporation and Bylaws</w:t>
      </w:r>
    </w:p>
    <w:p>
      <w:pPr>
        <w:spacing w:after="0" w:line="18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Our Certificate of Incorporation and Bylaws include a number of provisions, some of which will become effective only from and after the date, which we refer to as the “Threshold Date”, on which the votes applicable to the Class A common stock and Class B common stock controlled by Mr. Steinert represent less than a majority of the aggregate votes applicable to all shares of the outstanding Class A common stock and Class B common stock, which could deter hostile takeovers or delay or prevent changes in control of our management team, including the following:</w:t>
      </w:r>
    </w:p>
    <w:p>
      <w:pPr>
        <w:spacing w:after="0" w:line="151" w:lineRule="exact"/>
        <w:rPr>
          <w:sz w:val="20"/>
          <w:szCs w:val="20"/>
          <w:color w:val="auto"/>
        </w:rPr>
      </w:pPr>
    </w:p>
    <w:p>
      <w:pPr>
        <w:jc w:val="both"/>
        <w:ind w:left="740" w:hanging="373"/>
        <w:spacing w:after="0" w:line="251" w:lineRule="auto"/>
        <w:tabs>
          <w:tab w:leader="none" w:pos="7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Board Vacancies. </w:t>
      </w:r>
      <w:r>
        <w:rPr>
          <w:rFonts w:ascii="Times New Roman" w:cs="Times New Roman" w:eastAsia="Times New Roman" w:hAnsi="Times New Roman"/>
          <w:sz w:val="17"/>
          <w:szCs w:val="17"/>
          <w:color w:val="auto"/>
        </w:rPr>
        <w:t>Our Certificate of Incorporation and Bylaws provide that, from and after the Threshold Date only our board of directors will be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authorized to fill vacant directorships, including newly created seats, and that the number of directors constituting our board of directors will be permitted to be set only by a resolution adopted by our board of directors. These provisions would prevent a stockholder from increasing the size of our board of directors and then gaining control of</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539750</wp:posOffset>
            </wp:positionV>
            <wp:extent cx="7178040" cy="4000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72">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21" w:right="319" w:bottom="1440" w:gutter="0" w:footer="0" w:header="0"/>
        </w:sectPr>
      </w:pPr>
    </w:p>
    <w:bookmarkStart w:id="149" w:name="page150"/>
    <w:bookmarkEnd w:id="149"/>
    <w:p>
      <w:pPr>
        <w:ind w:left="740"/>
        <w:spacing w:after="0" w:line="268" w:lineRule="auto"/>
        <w:rPr>
          <w:sz w:val="20"/>
          <w:szCs w:val="20"/>
          <w:color w:val="auto"/>
        </w:rPr>
      </w:pPr>
      <w:r>
        <w:rPr>
          <w:rFonts w:ascii="Times New Roman" w:cs="Times New Roman" w:eastAsia="Times New Roman" w:hAnsi="Times New Roman"/>
          <w:sz w:val="17"/>
          <w:szCs w:val="17"/>
          <w:color w:val="auto"/>
        </w:rPr>
        <w:t>our board of directors by filling the resulting vacancies with its own nominees. These provisions make it more difficult to change the composition of our board of directors but promote continuity of management.</w:t>
      </w:r>
    </w:p>
    <w:p>
      <w:pPr>
        <w:spacing w:after="0" w:line="135" w:lineRule="exact"/>
        <w:rPr>
          <w:sz w:val="20"/>
          <w:szCs w:val="20"/>
          <w:color w:val="auto"/>
        </w:rPr>
      </w:pPr>
    </w:p>
    <w:p>
      <w:pPr>
        <w:jc w:val="both"/>
        <w:ind w:left="740" w:hanging="373"/>
        <w:spacing w:after="0" w:line="256" w:lineRule="auto"/>
        <w:tabs>
          <w:tab w:leader="none" w:pos="7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Classified Board. </w:t>
      </w:r>
      <w:r>
        <w:rPr>
          <w:rFonts w:ascii="Times New Roman" w:cs="Times New Roman" w:eastAsia="Times New Roman" w:hAnsi="Times New Roman"/>
          <w:sz w:val="17"/>
          <w:szCs w:val="17"/>
          <w:color w:val="auto"/>
        </w:rPr>
        <w:t>Our Certificate of Incorporation and Bylaws provide that our board of directors is classified into three classes of directors. A third party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may be discouraged from making a tender offer or otherwise attempting to obtain control of us as it is more difficult and time consuming for stockholders to replace a majority of the directors on a classified board of directors.</w:t>
      </w:r>
    </w:p>
    <w:p>
      <w:pPr>
        <w:spacing w:after="0" w:line="145" w:lineRule="exact"/>
        <w:rPr>
          <w:rFonts w:ascii="Times New Roman" w:cs="Times New Roman" w:eastAsia="Times New Roman" w:hAnsi="Times New Roman"/>
          <w:sz w:val="17"/>
          <w:szCs w:val="17"/>
          <w:color w:val="auto"/>
        </w:rPr>
      </w:pPr>
    </w:p>
    <w:p>
      <w:pPr>
        <w:jc w:val="both"/>
        <w:ind w:left="740" w:hanging="373"/>
        <w:spacing w:after="0" w:line="244" w:lineRule="auto"/>
        <w:tabs>
          <w:tab w:leader="none" w:pos="7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Stockholder Action; Special Meeting of Stockholders. </w:t>
      </w:r>
      <w:r>
        <w:rPr>
          <w:rFonts w:ascii="Times New Roman" w:cs="Times New Roman" w:eastAsia="Times New Roman" w:hAnsi="Times New Roman"/>
          <w:sz w:val="17"/>
          <w:szCs w:val="17"/>
          <w:color w:val="auto"/>
        </w:rPr>
        <w:t>Our Certificate of Incorporation and Bylaws provide that from and after the Threshold Date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stockholders may not take action by written consent, but may only take action at an annual or special meetings of our stockholders. As a result, from and after the Threshold Date a holder controlling a majority of our capital stock would not be able to amend our Bylaws or remove directors without holding a meeting of our stockholders called in accordance with our Bylaws. Our Certificate of Incorporation further provides that special meetings of our stockholders may be called only by a majority of our board of directors, the chair of our board of directors (if one has been appointed) or, prior to the Threshold Date, by the holders of a majority of the combined voting power of our outstanding capital stock, thus prohibiting from and after the Threshold Date a stockholder from calling a special meeting. These provisions might, from and after the Threshold Date, delay the ability of our stockholders to force consideration of a proposal or for stockholders controlling a majority of our capital stock to take any action, including the removal of directors.</w:t>
      </w:r>
    </w:p>
    <w:p>
      <w:pPr>
        <w:spacing w:after="0" w:line="158" w:lineRule="exact"/>
        <w:rPr>
          <w:rFonts w:ascii="Times New Roman" w:cs="Times New Roman" w:eastAsia="Times New Roman" w:hAnsi="Times New Roman"/>
          <w:sz w:val="17"/>
          <w:szCs w:val="17"/>
          <w:color w:val="auto"/>
        </w:rPr>
      </w:pPr>
    </w:p>
    <w:p>
      <w:pPr>
        <w:jc w:val="both"/>
        <w:ind w:left="740" w:hanging="373"/>
        <w:spacing w:after="0" w:line="246" w:lineRule="auto"/>
        <w:tabs>
          <w:tab w:leader="none" w:pos="7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Advance Notice Requirements for Stockholder Proposals and Director Nominations. </w:t>
      </w:r>
      <w:r>
        <w:rPr>
          <w:rFonts w:ascii="Times New Roman" w:cs="Times New Roman" w:eastAsia="Times New Roman" w:hAnsi="Times New Roman"/>
          <w:sz w:val="17"/>
          <w:szCs w:val="17"/>
          <w:color w:val="auto"/>
        </w:rPr>
        <w:t>Our Bylaws provide advance notice procedures for stockholders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seeking to bring business before our annual meeting of stockholders or to nominate candidates for election as directors at our annual meeting of stockholders. Our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These provisions may also discourage or deter a potential acquirer from conducting a solicitation of proxies to elect the acquirer’s own slate of directors or otherwise attempting to obtain control of our company.</w:t>
      </w:r>
    </w:p>
    <w:p>
      <w:pPr>
        <w:spacing w:after="0" w:line="155" w:lineRule="exact"/>
        <w:rPr>
          <w:rFonts w:ascii="Times New Roman" w:cs="Times New Roman" w:eastAsia="Times New Roman" w:hAnsi="Times New Roman"/>
          <w:sz w:val="17"/>
          <w:szCs w:val="17"/>
          <w:color w:val="auto"/>
        </w:rPr>
      </w:pPr>
    </w:p>
    <w:p>
      <w:pPr>
        <w:ind w:left="740" w:right="20" w:hanging="373"/>
        <w:spacing w:after="0" w:line="273" w:lineRule="auto"/>
        <w:tabs>
          <w:tab w:leader="none" w:pos="7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No Cumulative Voting. </w:t>
      </w:r>
      <w:r>
        <w:rPr>
          <w:rFonts w:ascii="Times New Roman" w:cs="Times New Roman" w:eastAsia="Times New Roman" w:hAnsi="Times New Roman"/>
          <w:sz w:val="17"/>
          <w:szCs w:val="17"/>
          <w:color w:val="auto"/>
        </w:rPr>
        <w:t>The Delaware General Corporation Law provides that stockholders are not entitled to the right to cumulate votes in the election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directors unless a corporation’s certificate of incorporation provides otherwise. Our Certificate of Incorporation does not provide for cumulative voting.</w:t>
      </w:r>
    </w:p>
    <w:p>
      <w:pPr>
        <w:spacing w:after="0" w:line="130" w:lineRule="exact"/>
        <w:rPr>
          <w:rFonts w:ascii="Times New Roman" w:cs="Times New Roman" w:eastAsia="Times New Roman" w:hAnsi="Times New Roman"/>
          <w:sz w:val="17"/>
          <w:szCs w:val="17"/>
          <w:color w:val="auto"/>
        </w:rPr>
      </w:pPr>
    </w:p>
    <w:p>
      <w:pPr>
        <w:ind w:left="740" w:hanging="373"/>
        <w:spacing w:after="0" w:line="273" w:lineRule="auto"/>
        <w:tabs>
          <w:tab w:leader="none" w:pos="7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Directors Removed Only for Cause. </w:t>
      </w:r>
      <w:r>
        <w:rPr>
          <w:rFonts w:ascii="Times New Roman" w:cs="Times New Roman" w:eastAsia="Times New Roman" w:hAnsi="Times New Roman"/>
          <w:sz w:val="17"/>
          <w:szCs w:val="17"/>
          <w:color w:val="auto"/>
        </w:rPr>
        <w:t>Our Certificate of Incorporation provides that from and after the Threshold Date stockholders may remove directors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only for cause.</w:t>
      </w:r>
    </w:p>
    <w:p>
      <w:pPr>
        <w:spacing w:after="0" w:line="130" w:lineRule="exact"/>
        <w:rPr>
          <w:rFonts w:ascii="Times New Roman" w:cs="Times New Roman" w:eastAsia="Times New Roman" w:hAnsi="Times New Roman"/>
          <w:sz w:val="17"/>
          <w:szCs w:val="17"/>
          <w:color w:val="auto"/>
        </w:rPr>
      </w:pPr>
    </w:p>
    <w:p>
      <w:pPr>
        <w:ind w:left="740" w:hanging="373"/>
        <w:spacing w:after="0" w:line="295" w:lineRule="auto"/>
        <w:tabs>
          <w:tab w:leader="none" w:pos="7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Amendment of Certificate of Incorporation Provisions. </w:t>
      </w:r>
      <w:r>
        <w:rPr>
          <w:rFonts w:ascii="Times New Roman" w:cs="Times New Roman" w:eastAsia="Times New Roman" w:hAnsi="Times New Roman"/>
          <w:sz w:val="17"/>
          <w:szCs w:val="17"/>
          <w:color w:val="auto"/>
        </w:rPr>
        <w:t>Any amendment of the above provisions in our Certificate of Incorporation from and after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Threshold Date will require approval by holders of at least 66</w:t>
      </w:r>
      <w:r>
        <w:rPr>
          <w:rFonts w:ascii="Times New Roman" w:cs="Times New Roman" w:eastAsia="Times New Roman" w:hAnsi="Times New Roman"/>
          <w:sz w:val="22"/>
          <w:szCs w:val="22"/>
          <w:color w:val="auto"/>
          <w:vertAlign w:val="superscript"/>
        </w:rPr>
        <w:t>2/3</w:t>
      </w:r>
      <w:r>
        <w:rPr>
          <w:rFonts w:ascii="Times New Roman" w:cs="Times New Roman" w:eastAsia="Times New Roman" w:hAnsi="Times New Roman"/>
          <w:sz w:val="17"/>
          <w:szCs w:val="17"/>
          <w:color w:val="auto"/>
        </w:rPr>
        <w:t>% of the combined voting power of our then outstanding capital stock.</w:t>
      </w:r>
    </w:p>
    <w:p>
      <w:pPr>
        <w:spacing w:after="0" w:line="47" w:lineRule="exact"/>
        <w:rPr>
          <w:rFonts w:ascii="Times New Roman" w:cs="Times New Roman" w:eastAsia="Times New Roman" w:hAnsi="Times New Roman"/>
          <w:sz w:val="17"/>
          <w:szCs w:val="17"/>
          <w:color w:val="auto"/>
        </w:rPr>
      </w:pPr>
    </w:p>
    <w:p>
      <w:pPr>
        <w:jc w:val="both"/>
        <w:ind w:left="740" w:hanging="373"/>
        <w:spacing w:after="0" w:line="251" w:lineRule="auto"/>
        <w:tabs>
          <w:tab w:leader="none" w:pos="7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Issuance of Undesignated Preferred Stock. </w:t>
      </w:r>
      <w:r>
        <w:rPr>
          <w:rFonts w:ascii="Times New Roman" w:cs="Times New Roman" w:eastAsia="Times New Roman" w:hAnsi="Times New Roman"/>
          <w:sz w:val="17"/>
          <w:szCs w:val="17"/>
          <w:color w:val="auto"/>
        </w:rPr>
        <w:t>Our board of directors has the authority to issue up to 10,000,000 shares of undesignated preferred stock with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rights and preferences, including voting rights, designated from time to time by our board of directors, provided that prior to the Threshold Date such designation is subject to the approval of holders of a majority of the combined voting power of our outstanding common stock. The existence of authorized but unissued shares of</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539750</wp:posOffset>
            </wp:positionV>
            <wp:extent cx="7178040" cy="4000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73">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25" w:right="319" w:bottom="1440" w:gutter="0" w:footer="0" w:header="0"/>
        </w:sectPr>
      </w:pPr>
    </w:p>
    <w:bookmarkStart w:id="150" w:name="page151"/>
    <w:bookmarkEnd w:id="150"/>
    <w:p>
      <w:pPr>
        <w:ind w:left="740" w:right="20"/>
        <w:spacing w:after="0" w:line="268" w:lineRule="auto"/>
        <w:rPr>
          <w:sz w:val="20"/>
          <w:szCs w:val="20"/>
          <w:color w:val="auto"/>
        </w:rPr>
      </w:pPr>
      <w:r>
        <w:rPr>
          <w:rFonts w:ascii="Times New Roman" w:cs="Times New Roman" w:eastAsia="Times New Roman" w:hAnsi="Times New Roman"/>
          <w:sz w:val="17"/>
          <w:szCs w:val="17"/>
          <w:color w:val="auto"/>
        </w:rPr>
        <w:t>preferred stock would enable our board of directors to render more difficult or to discourage an attempt to obtain control of us by means of a merger, tender offer, proxy contest or other means.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Exclusive Jurisdiction</w:t>
      </w:r>
    </w:p>
    <w:p>
      <w:pPr>
        <w:spacing w:after="0" w:line="18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Our Certificate of Incorporation provides that, unless we consent in writing to the selection of an alternative forum, the Court of Chancery of the State of Delaware will, to the fullest extent permitted by law, be the sole and exclusive forum for: (i) any derivative action or proceeding brought on behalf of us; (ii) any action asserting a claim of breach of a fiduciary duty owed by any of our directors, officers or other employees or agents to us or to our stockholders; (iii) any action asserting a claim against us arising pursuant to any provision of the Delaware General Corporation Law or our Certificate of Incorporation and Bylaws; (iv) any action to interpret, apply, enforce or determine the validity of our Certificate of Incorporation and Bylaws; or (v) any action asserting a claim against us or any of our directors, officers or other employees or agents governed by the internal affairs doctrine. The enforceability of similar choice of forum provisions in other companies’ certificates of incorporation has been challenged in legal proceedings, and it is possible that, in connection with any action, a court could find the choice of forum provisions contained in our Certificate of Incorporation to be inapplicable or unenforceable in such action.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Transfer Agent and Registrar</w:t>
      </w:r>
    </w:p>
    <w:p>
      <w:pPr>
        <w:spacing w:after="0" w:line="188"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7"/>
          <w:szCs w:val="17"/>
          <w:color w:val="auto"/>
        </w:rPr>
        <w:t>The transfer agent and registrar for our Class A common stock is Broadridge Corporate Issuer Solutions. The transfer agent and registrar’s address is 1717 Arch Street, Suite 1300, Philadelphia, Pennsylvania 19103.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539750</wp:posOffset>
            </wp:positionV>
            <wp:extent cx="7178040" cy="4000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74">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25" w:right="31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10.31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294640</wp:posOffset>
            </wp:positionV>
            <wp:extent cx="7152640" cy="762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75">
                      <a:extLst>
                        <a:ext uri="{28A0092B-C50C-407E-A947-70E740481C1C}"/>
                      </a:extLst>
                    </a:blip>
                    <a:srcRect/>
                    <a:stretch>
                      <a:fillRect/>
                    </a:stretch>
                  </pic:blipFill>
                  <pic:spPr bwMode="auto">
                    <a:xfrm>
                      <a:off x="0" y="0"/>
                      <a:ext cx="7152640" cy="7620"/>
                    </a:xfrm>
                    <a:prstGeom prst="rect">
                      <a:avLst/>
                    </a:prstGeom>
                    <a:noFill/>
                  </pic:spPr>
                </pic:pic>
              </a:graphicData>
            </a:graphic>
          </wp:anchor>
        </w:drawing>
        <w:drawing>
          <wp:anchor simplePos="0" relativeHeight="251657728" behindDoc="1" locked="0" layoutInCell="0" allowOverlap="1">
            <wp:simplePos x="0" y="0"/>
            <wp:positionH relativeFrom="column">
              <wp:posOffset>-715645</wp:posOffset>
            </wp:positionH>
            <wp:positionV relativeFrom="paragraph">
              <wp:posOffset>309245</wp:posOffset>
            </wp:positionV>
            <wp:extent cx="7152640" cy="762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76">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ADDISON CIRCLE ONE</w:t>
      </w:r>
    </w:p>
    <w:p>
      <w:pPr>
        <w:spacing w:after="0" w:line="188"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OFFICE LEASE AGREEMENT</w:t>
      </w:r>
    </w:p>
    <w:p>
      <w:pPr>
        <w:spacing w:after="0" w:line="200" w:lineRule="exact"/>
        <w:rPr>
          <w:sz w:val="20"/>
          <w:szCs w:val="20"/>
          <w:color w:val="auto"/>
        </w:rPr>
      </w:pPr>
    </w:p>
    <w:p>
      <w:pPr>
        <w:spacing w:after="0" w:line="214"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BETWEEN</w:t>
      </w:r>
    </w:p>
    <w:p>
      <w:pPr>
        <w:spacing w:after="0" w:line="200" w:lineRule="exact"/>
        <w:rPr>
          <w:sz w:val="20"/>
          <w:szCs w:val="20"/>
          <w:color w:val="auto"/>
        </w:rPr>
      </w:pPr>
    </w:p>
    <w:p>
      <w:pPr>
        <w:spacing w:after="0" w:line="21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8"/>
          <w:szCs w:val="18"/>
          <w:color w:val="auto"/>
        </w:rPr>
        <w:t>FSP ADDISON CIRCLE LIMITED PARTNERSHIP,</w:t>
      </w:r>
    </w:p>
    <w:p>
      <w:pPr>
        <w:spacing w:after="0" w:line="20"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a Texas limited partnership</w:t>
      </w:r>
    </w:p>
    <w:p>
      <w:pPr>
        <w:jc w:val="center"/>
        <w:ind w:right="1140"/>
        <w:spacing w:after="0"/>
        <w:rPr>
          <w:sz w:val="20"/>
          <w:szCs w:val="20"/>
          <w:color w:val="auto"/>
        </w:rPr>
      </w:pPr>
      <w:r>
        <w:rPr>
          <w:rFonts w:ascii="Times New Roman" w:cs="Times New Roman" w:eastAsia="Times New Roman" w:hAnsi="Times New Roman"/>
          <w:sz w:val="18"/>
          <w:szCs w:val="18"/>
          <w:color w:val="auto"/>
        </w:rPr>
        <w:t>as</w:t>
      </w:r>
    </w:p>
    <w:p>
      <w:pPr>
        <w:jc w:val="center"/>
        <w:ind w:right="1140"/>
        <w:spacing w:after="0"/>
        <w:rPr>
          <w:sz w:val="20"/>
          <w:szCs w:val="20"/>
          <w:color w:val="auto"/>
        </w:rPr>
      </w:pPr>
      <w:r>
        <w:rPr>
          <w:rFonts w:ascii="Times New Roman" w:cs="Times New Roman" w:eastAsia="Times New Roman" w:hAnsi="Times New Roman"/>
          <w:sz w:val="18"/>
          <w:szCs w:val="18"/>
          <w:color w:val="auto"/>
        </w:rPr>
        <w:t>LANDLORD</w:t>
      </w:r>
    </w:p>
    <w:p>
      <w:pPr>
        <w:spacing w:after="0" w:line="16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8"/>
          <w:szCs w:val="18"/>
          <w:color w:val="auto"/>
        </w:rPr>
        <w:t>CAROFFER, LLC,</w:t>
      </w:r>
    </w:p>
    <w:p>
      <w:pPr>
        <w:spacing w:after="0" w:line="20"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a Delaware limited liability company</w:t>
      </w:r>
    </w:p>
    <w:p>
      <w:pPr>
        <w:jc w:val="center"/>
        <w:ind w:right="1140"/>
        <w:spacing w:after="0"/>
        <w:rPr>
          <w:sz w:val="20"/>
          <w:szCs w:val="20"/>
          <w:color w:val="auto"/>
        </w:rPr>
      </w:pPr>
      <w:r>
        <w:rPr>
          <w:rFonts w:ascii="Times New Roman" w:cs="Times New Roman" w:eastAsia="Times New Roman" w:hAnsi="Times New Roman"/>
          <w:sz w:val="18"/>
          <w:szCs w:val="18"/>
          <w:color w:val="auto"/>
        </w:rPr>
        <w:t>as</w:t>
      </w:r>
    </w:p>
    <w:p>
      <w:pPr>
        <w:jc w:val="center"/>
        <w:ind w:right="1140"/>
        <w:spacing w:after="0"/>
        <w:rPr>
          <w:sz w:val="20"/>
          <w:szCs w:val="20"/>
          <w:color w:val="auto"/>
        </w:rPr>
      </w:pPr>
      <w:r>
        <w:rPr>
          <w:rFonts w:ascii="Times New Roman" w:cs="Times New Roman" w:eastAsia="Times New Roman" w:hAnsi="Times New Roman"/>
          <w:sz w:val="18"/>
          <w:szCs w:val="18"/>
          <w:color w:val="auto"/>
        </w:rPr>
        <w:t>TENANT</w:t>
      </w:r>
    </w:p>
    <w:p>
      <w:pPr>
        <w:spacing w:after="0" w:line="39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Premises:</w:t>
      </w:r>
    </w:p>
    <w:p>
      <w:pPr>
        <w:spacing w:after="0" w:line="184"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Suite 800</w:t>
      </w:r>
    </w:p>
    <w:p>
      <w:pPr>
        <w:spacing w:after="0" w:line="20"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15601 Dallas Parkway</w:t>
      </w:r>
    </w:p>
    <w:p>
      <w:pPr>
        <w:ind w:left="3940"/>
        <w:spacing w:after="0"/>
        <w:rPr>
          <w:sz w:val="20"/>
          <w:szCs w:val="20"/>
          <w:color w:val="auto"/>
        </w:rPr>
      </w:pPr>
      <w:r>
        <w:rPr>
          <w:rFonts w:ascii="Times New Roman" w:cs="Times New Roman" w:eastAsia="Times New Roman" w:hAnsi="Times New Roman"/>
          <w:sz w:val="18"/>
          <w:szCs w:val="18"/>
          <w:color w:val="auto"/>
        </w:rPr>
        <w:t>Addison, 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674370</wp:posOffset>
            </wp:positionV>
            <wp:extent cx="7152640" cy="762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77">
                      <a:extLst>
                        <a:ext uri="{28A0092B-C50C-407E-A947-70E740481C1C}"/>
                      </a:extLst>
                    </a:blip>
                    <a:srcRect/>
                    <a:stretch>
                      <a:fillRect/>
                    </a:stretch>
                  </pic:blipFill>
                  <pic:spPr bwMode="auto">
                    <a:xfrm>
                      <a:off x="0" y="0"/>
                      <a:ext cx="7152640" cy="7620"/>
                    </a:xfrm>
                    <a:prstGeom prst="rect">
                      <a:avLst/>
                    </a:prstGeom>
                    <a:noFill/>
                  </pic:spPr>
                </pic:pic>
              </a:graphicData>
            </a:graphic>
          </wp:anchor>
        </w:drawing>
        <w:drawing>
          <wp:anchor simplePos="0" relativeHeight="251657728" behindDoc="1" locked="0" layoutInCell="0" allowOverlap="1">
            <wp:simplePos x="0" y="0"/>
            <wp:positionH relativeFrom="column">
              <wp:posOffset>-715645</wp:posOffset>
            </wp:positionH>
            <wp:positionV relativeFrom="paragraph">
              <wp:posOffset>688975</wp:posOffset>
            </wp:positionV>
            <wp:extent cx="7152640" cy="762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78">
                      <a:extLst>
                        <a:ext uri="{28A0092B-C50C-407E-A947-70E740481C1C}"/>
                      </a:extLst>
                    </a:blip>
                    <a:srcRect/>
                    <a:stretch>
                      <a:fillRect/>
                    </a:stretch>
                  </pic:blipFill>
                  <pic:spPr bwMode="auto">
                    <a:xfrm>
                      <a:off x="0" y="0"/>
                      <a:ext cx="7152640" cy="762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1808480</wp:posOffset>
            </wp:positionV>
            <wp:extent cx="7178040" cy="4000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79">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0140"/>
          </w:cols>
          <w:pgMar w:left="1440" w:top="1148" w:right="31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207"/>
        </w:trPr>
        <w:tc>
          <w:tcPr>
            <w:tcW w:w="40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TABLE OF CONTENTS</w:t>
            </w:r>
          </w:p>
        </w:tc>
        <w:tc>
          <w:tcPr>
            <w:tcW w:w="1240" w:type="dxa"/>
            <w:vAlign w:val="bottom"/>
          </w:tcPr>
          <w:p>
            <w:pPr>
              <w:spacing w:after="0"/>
              <w:rPr>
                <w:sz w:val="17"/>
                <w:szCs w:val="17"/>
                <w:color w:val="auto"/>
              </w:rPr>
            </w:pPr>
          </w:p>
        </w:tc>
      </w:tr>
      <w:tr>
        <w:trPr>
          <w:trHeight w:val="451"/>
        </w:trPr>
        <w:tc>
          <w:tcPr>
            <w:tcW w:w="40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860" w:type="dxa"/>
            <w:vAlign w:val="bottom"/>
            <w:tcBorders>
              <w:top w:val="single" w:sz="8" w:color="auto"/>
            </w:tcBorders>
          </w:tcPr>
          <w:p>
            <w:pPr>
              <w:spacing w:after="0"/>
              <w:rPr>
                <w:sz w:val="24"/>
                <w:szCs w:val="24"/>
                <w:color w:val="auto"/>
              </w:rPr>
            </w:pPr>
          </w:p>
        </w:tc>
        <w:tc>
          <w:tcPr>
            <w:tcW w:w="3460" w:type="dxa"/>
            <w:vAlign w:val="bottom"/>
          </w:tcPr>
          <w:p>
            <w:pPr>
              <w:spacing w:after="0"/>
              <w:rPr>
                <w:sz w:val="24"/>
                <w:szCs w:val="24"/>
                <w:color w:val="auto"/>
              </w:rPr>
            </w:pPr>
          </w:p>
        </w:tc>
        <w:tc>
          <w:tcPr>
            <w:tcW w:w="12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8"/>
                <w:szCs w:val="18"/>
                <w:b w:val="1"/>
                <w:bCs w:val="1"/>
                <w:color w:val="auto"/>
              </w:rPr>
              <w:t>Page No.</w:t>
            </w:r>
          </w:p>
        </w:tc>
      </w:tr>
      <w:tr>
        <w:trPr>
          <w:trHeight w:val="441"/>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96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Definitions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96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Lease Grant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96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Lease Term; Acceptance of Premises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96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Use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96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Payment of Base Rental</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96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Electricity Costs; Basic Operating Costs; Taxes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96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Late Payments; Dishonored Checks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96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Security Deposit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96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Services to be Furnished by Landlord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96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Graphics; Signage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96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Telecommunications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96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Repair and Maintenance by Landlord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96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Maintenance by Tenant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14.</w:t>
            </w:r>
          </w:p>
        </w:tc>
        <w:tc>
          <w:tcPr>
            <w:tcW w:w="96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Repairs by Tenant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15.</w:t>
            </w:r>
          </w:p>
        </w:tc>
        <w:tc>
          <w:tcPr>
            <w:tcW w:w="96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Alterations, Additions, Improvements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16.</w:t>
            </w:r>
          </w:p>
        </w:tc>
        <w:tc>
          <w:tcPr>
            <w:tcW w:w="96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Laws and Regulations; Disability Laws; Building Rules and Regulations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17.</w:t>
            </w:r>
          </w:p>
        </w:tc>
        <w:tc>
          <w:tcPr>
            <w:tcW w:w="96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Entry by Landlord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18.</w:t>
            </w:r>
          </w:p>
        </w:tc>
        <w:tc>
          <w:tcPr>
            <w:tcW w:w="96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Assignment and Subletting.</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19.</w:t>
            </w:r>
          </w:p>
        </w:tc>
        <w:tc>
          <w:tcPr>
            <w:tcW w:w="96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Mechanic's Liens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20.</w:t>
            </w:r>
          </w:p>
        </w:tc>
        <w:tc>
          <w:tcPr>
            <w:tcW w:w="96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Property Insurance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96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Liability Insurance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96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Indemnity</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96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Waiver of Subrogation Rights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96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Casualty Damage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25.</w:t>
            </w:r>
          </w:p>
        </w:tc>
        <w:tc>
          <w:tcPr>
            <w:tcW w:w="96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Condemnation</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26.</w:t>
            </w:r>
          </w:p>
        </w:tc>
        <w:tc>
          <w:tcPr>
            <w:tcW w:w="96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Damages from Certain Causes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27.</w:t>
            </w:r>
          </w:p>
        </w:tc>
        <w:tc>
          <w:tcPr>
            <w:tcW w:w="96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Default by Tenant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28.</w:t>
            </w:r>
          </w:p>
        </w:tc>
        <w:tc>
          <w:tcPr>
            <w:tcW w:w="96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Default by Landlord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29.</w:t>
            </w:r>
          </w:p>
        </w:tc>
        <w:tc>
          <w:tcPr>
            <w:tcW w:w="96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Quiet Enjoyment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30.</w:t>
            </w:r>
          </w:p>
        </w:tc>
        <w:tc>
          <w:tcPr>
            <w:tcW w:w="96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Intentionally Deleted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96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Holding Over</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96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Change of Building Name or Common Areas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0"/>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96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Subordination to Mortgage; Estoppel Agreement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0"/>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96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Waiver of Landlord's Lien</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0"/>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96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Attorney's Fees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0"/>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36.</w:t>
            </w:r>
          </w:p>
        </w:tc>
        <w:tc>
          <w:tcPr>
            <w:tcW w:w="96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No Implied Waiver</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0"/>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37.</w:t>
            </w:r>
          </w:p>
        </w:tc>
        <w:tc>
          <w:tcPr>
            <w:tcW w:w="96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Independent Obligations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0"/>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38.</w:t>
            </w:r>
          </w:p>
        </w:tc>
        <w:tc>
          <w:tcPr>
            <w:tcW w:w="96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Recourse Limitation</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0"/>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39.</w:t>
            </w:r>
          </w:p>
        </w:tc>
        <w:tc>
          <w:tcPr>
            <w:tcW w:w="96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Notices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0"/>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40.</w:t>
            </w:r>
          </w:p>
        </w:tc>
        <w:tc>
          <w:tcPr>
            <w:tcW w:w="96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Severability</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0"/>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96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Recordation</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40"/>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96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Governing Law</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bl>
    <w:p>
      <w:pPr>
        <w:spacing w:after="0" w:line="1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630555</wp:posOffset>
            </wp:positionV>
            <wp:extent cx="7178040" cy="4000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80">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41" w:right="319" w:bottom="1440" w:gutter="0" w:footer="0" w:header="0"/>
        </w:sectPr>
      </w:pPr>
    </w:p>
    <w:bookmarkStart w:id="153" w:name="page154"/>
    <w:bookmarkEnd w:id="153"/>
    <w:tbl>
      <w:tblPr>
        <w:tblLayout w:type="fixed"/>
        <w:tblInd w:w="0" w:type="dxa"/>
        <w:tblCellMar>
          <w:top w:w="0" w:type="dxa"/>
          <w:left w:w="0" w:type="dxa"/>
          <w:bottom w:w="0" w:type="dxa"/>
          <w:right w:w="0" w:type="dxa"/>
        </w:tblCellMar>
      </w:tblPr>
      <w:tr>
        <w:trPr>
          <w:trHeight w:val="230"/>
        </w:trPr>
        <w:tc>
          <w:tcPr>
            <w:tcW w:w="400" w:type="dxa"/>
            <w:vAlign w:val="bottom"/>
          </w:tcPr>
          <w:p>
            <w:pPr>
              <w:jc w:val="right"/>
              <w:ind w:right="68"/>
              <w:spacing w:after="0"/>
              <w:rPr>
                <w:sz w:val="20"/>
                <w:szCs w:val="20"/>
                <w:color w:val="auto"/>
              </w:rPr>
            </w:pPr>
            <w:r>
              <w:rPr>
                <w:rFonts w:ascii="Times New Roman" w:cs="Times New Roman" w:eastAsia="Times New Roman" w:hAnsi="Times New Roman"/>
                <w:sz w:val="18"/>
                <w:szCs w:val="18"/>
                <w:color w:val="auto"/>
                <w:w w:val="97"/>
              </w:rPr>
              <w:t>43.</w:t>
            </w:r>
          </w:p>
        </w:tc>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Force Majeure</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0"/>
        </w:trPr>
        <w:tc>
          <w:tcPr>
            <w:tcW w:w="400" w:type="dxa"/>
            <w:vAlign w:val="bottom"/>
          </w:tcPr>
          <w:p>
            <w:pPr>
              <w:jc w:val="right"/>
              <w:ind w:right="68"/>
              <w:spacing w:after="0"/>
              <w:rPr>
                <w:sz w:val="20"/>
                <w:szCs w:val="20"/>
                <w:color w:val="auto"/>
              </w:rPr>
            </w:pPr>
            <w:r>
              <w:rPr>
                <w:rFonts w:ascii="Times New Roman" w:cs="Times New Roman" w:eastAsia="Times New Roman" w:hAnsi="Times New Roman"/>
                <w:sz w:val="18"/>
                <w:szCs w:val="18"/>
                <w:color w:val="auto"/>
                <w:w w:val="97"/>
              </w:rPr>
              <w:t>44.</w:t>
            </w:r>
          </w:p>
        </w:tc>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Time of Performance</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0"/>
        </w:trPr>
        <w:tc>
          <w:tcPr>
            <w:tcW w:w="400" w:type="dxa"/>
            <w:vAlign w:val="bottom"/>
          </w:tcPr>
          <w:p>
            <w:pPr>
              <w:jc w:val="right"/>
              <w:ind w:right="68"/>
              <w:spacing w:after="0"/>
              <w:rPr>
                <w:sz w:val="20"/>
                <w:szCs w:val="20"/>
                <w:color w:val="auto"/>
              </w:rPr>
            </w:pPr>
            <w:r>
              <w:rPr>
                <w:rFonts w:ascii="Times New Roman" w:cs="Times New Roman" w:eastAsia="Times New Roman" w:hAnsi="Times New Roman"/>
                <w:sz w:val="18"/>
                <w:szCs w:val="18"/>
                <w:color w:val="auto"/>
                <w:w w:val="97"/>
              </w:rPr>
              <w:t>45.</w:t>
            </w:r>
          </w:p>
        </w:tc>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Transfers by Landlord</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400" w:type="dxa"/>
            <w:vAlign w:val="bottom"/>
          </w:tcPr>
          <w:p>
            <w:pPr>
              <w:jc w:val="right"/>
              <w:ind w:right="68"/>
              <w:spacing w:after="0"/>
              <w:rPr>
                <w:sz w:val="20"/>
                <w:szCs w:val="20"/>
                <w:color w:val="auto"/>
              </w:rPr>
            </w:pPr>
            <w:r>
              <w:rPr>
                <w:rFonts w:ascii="Times New Roman" w:cs="Times New Roman" w:eastAsia="Times New Roman" w:hAnsi="Times New Roman"/>
                <w:sz w:val="18"/>
                <w:szCs w:val="18"/>
                <w:color w:val="auto"/>
                <w:w w:val="97"/>
              </w:rPr>
              <w:t>46.</w:t>
            </w:r>
          </w:p>
        </w:tc>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Commissions</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400" w:type="dxa"/>
            <w:vAlign w:val="bottom"/>
          </w:tcPr>
          <w:p>
            <w:pPr>
              <w:jc w:val="right"/>
              <w:ind w:right="68"/>
              <w:spacing w:after="0"/>
              <w:rPr>
                <w:sz w:val="20"/>
                <w:szCs w:val="20"/>
                <w:color w:val="auto"/>
              </w:rPr>
            </w:pPr>
            <w:r>
              <w:rPr>
                <w:rFonts w:ascii="Times New Roman" w:cs="Times New Roman" w:eastAsia="Times New Roman" w:hAnsi="Times New Roman"/>
                <w:sz w:val="18"/>
                <w:szCs w:val="18"/>
                <w:color w:val="auto"/>
                <w:w w:val="97"/>
              </w:rPr>
              <w:t>47.</w:t>
            </w:r>
          </w:p>
        </w:tc>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Effect of Delivery of This Lease</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400" w:type="dxa"/>
            <w:vAlign w:val="bottom"/>
          </w:tcPr>
          <w:p>
            <w:pPr>
              <w:jc w:val="right"/>
              <w:ind w:right="68"/>
              <w:spacing w:after="0"/>
              <w:rPr>
                <w:sz w:val="20"/>
                <w:szCs w:val="20"/>
                <w:color w:val="auto"/>
              </w:rPr>
            </w:pPr>
            <w:r>
              <w:rPr>
                <w:rFonts w:ascii="Times New Roman" w:cs="Times New Roman" w:eastAsia="Times New Roman" w:hAnsi="Times New Roman"/>
                <w:sz w:val="18"/>
                <w:szCs w:val="18"/>
                <w:color w:val="auto"/>
                <w:w w:val="97"/>
              </w:rPr>
              <w:t>48.</w:t>
            </w:r>
          </w:p>
        </w:tc>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Waiver of Warranties and Acceptance of Condition</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400" w:type="dxa"/>
            <w:vAlign w:val="bottom"/>
          </w:tcPr>
          <w:p>
            <w:pPr>
              <w:jc w:val="right"/>
              <w:ind w:right="68"/>
              <w:spacing w:after="0"/>
              <w:rPr>
                <w:sz w:val="20"/>
                <w:szCs w:val="20"/>
                <w:color w:val="auto"/>
              </w:rPr>
            </w:pPr>
            <w:r>
              <w:rPr>
                <w:rFonts w:ascii="Times New Roman" w:cs="Times New Roman" w:eastAsia="Times New Roman" w:hAnsi="Times New Roman"/>
                <w:sz w:val="18"/>
                <w:szCs w:val="18"/>
                <w:color w:val="auto"/>
                <w:w w:val="97"/>
              </w:rPr>
              <w:t>49.</w:t>
            </w:r>
          </w:p>
        </w:tc>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Merger of Estates</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400" w:type="dxa"/>
            <w:vAlign w:val="bottom"/>
          </w:tcPr>
          <w:p>
            <w:pPr>
              <w:jc w:val="right"/>
              <w:ind w:right="68"/>
              <w:spacing w:after="0"/>
              <w:rPr>
                <w:sz w:val="20"/>
                <w:szCs w:val="20"/>
                <w:color w:val="auto"/>
              </w:rPr>
            </w:pPr>
            <w:r>
              <w:rPr>
                <w:rFonts w:ascii="Times New Roman" w:cs="Times New Roman" w:eastAsia="Times New Roman" w:hAnsi="Times New Roman"/>
                <w:sz w:val="18"/>
                <w:szCs w:val="18"/>
                <w:color w:val="auto"/>
                <w:w w:val="97"/>
              </w:rPr>
              <w:t>50.</w:t>
            </w:r>
          </w:p>
        </w:tc>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Survival of Indemnities and Covenants</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400" w:type="dxa"/>
            <w:vAlign w:val="bottom"/>
          </w:tcPr>
          <w:p>
            <w:pPr>
              <w:jc w:val="right"/>
              <w:ind w:right="68"/>
              <w:spacing w:after="0"/>
              <w:rPr>
                <w:sz w:val="20"/>
                <w:szCs w:val="20"/>
                <w:color w:val="auto"/>
              </w:rPr>
            </w:pPr>
            <w:r>
              <w:rPr>
                <w:rFonts w:ascii="Times New Roman" w:cs="Times New Roman" w:eastAsia="Times New Roman" w:hAnsi="Times New Roman"/>
                <w:sz w:val="18"/>
                <w:szCs w:val="18"/>
                <w:color w:val="auto"/>
                <w:w w:val="97"/>
              </w:rPr>
              <w:t>51.</w:t>
            </w:r>
          </w:p>
        </w:tc>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Headings</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400" w:type="dxa"/>
            <w:vAlign w:val="bottom"/>
          </w:tcPr>
          <w:p>
            <w:pPr>
              <w:jc w:val="right"/>
              <w:ind w:right="68"/>
              <w:spacing w:after="0"/>
              <w:rPr>
                <w:sz w:val="20"/>
                <w:szCs w:val="20"/>
                <w:color w:val="auto"/>
              </w:rPr>
            </w:pPr>
            <w:r>
              <w:rPr>
                <w:rFonts w:ascii="Times New Roman" w:cs="Times New Roman" w:eastAsia="Times New Roman" w:hAnsi="Times New Roman"/>
                <w:sz w:val="18"/>
                <w:szCs w:val="18"/>
                <w:color w:val="auto"/>
                <w:w w:val="97"/>
              </w:rPr>
              <w:t>52.</w:t>
            </w:r>
          </w:p>
        </w:tc>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Entire Agreement; Amendments</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400" w:type="dxa"/>
            <w:vAlign w:val="bottom"/>
          </w:tcPr>
          <w:p>
            <w:pPr>
              <w:jc w:val="right"/>
              <w:ind w:right="68"/>
              <w:spacing w:after="0"/>
              <w:rPr>
                <w:sz w:val="20"/>
                <w:szCs w:val="20"/>
                <w:color w:val="auto"/>
              </w:rPr>
            </w:pPr>
            <w:r>
              <w:rPr>
                <w:rFonts w:ascii="Times New Roman" w:cs="Times New Roman" w:eastAsia="Times New Roman" w:hAnsi="Times New Roman"/>
                <w:sz w:val="18"/>
                <w:szCs w:val="18"/>
                <w:color w:val="auto"/>
                <w:w w:val="97"/>
              </w:rPr>
              <w:t>53.</w:t>
            </w:r>
          </w:p>
        </w:tc>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Exhibits</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400" w:type="dxa"/>
            <w:vAlign w:val="bottom"/>
          </w:tcPr>
          <w:p>
            <w:pPr>
              <w:jc w:val="right"/>
              <w:ind w:right="68"/>
              <w:spacing w:after="0"/>
              <w:rPr>
                <w:sz w:val="20"/>
                <w:szCs w:val="20"/>
                <w:color w:val="auto"/>
              </w:rPr>
            </w:pPr>
            <w:r>
              <w:rPr>
                <w:rFonts w:ascii="Times New Roman" w:cs="Times New Roman" w:eastAsia="Times New Roman" w:hAnsi="Times New Roman"/>
                <w:sz w:val="18"/>
                <w:szCs w:val="18"/>
                <w:color w:val="auto"/>
                <w:w w:val="97"/>
              </w:rPr>
              <w:t>54.</w:t>
            </w:r>
          </w:p>
        </w:tc>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Joint and Several Liability</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0"/>
        </w:trPr>
        <w:tc>
          <w:tcPr>
            <w:tcW w:w="400" w:type="dxa"/>
            <w:vAlign w:val="bottom"/>
          </w:tcPr>
          <w:p>
            <w:pPr>
              <w:jc w:val="right"/>
              <w:ind w:right="68"/>
              <w:spacing w:after="0"/>
              <w:rPr>
                <w:sz w:val="20"/>
                <w:szCs w:val="20"/>
                <w:color w:val="auto"/>
              </w:rPr>
            </w:pPr>
            <w:r>
              <w:rPr>
                <w:rFonts w:ascii="Times New Roman" w:cs="Times New Roman" w:eastAsia="Times New Roman" w:hAnsi="Times New Roman"/>
                <w:sz w:val="18"/>
                <w:szCs w:val="18"/>
                <w:color w:val="auto"/>
                <w:w w:val="97"/>
              </w:rPr>
              <w:t>55.</w:t>
            </w:r>
          </w:p>
        </w:tc>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Multiple Counterparts</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0"/>
        </w:trPr>
        <w:tc>
          <w:tcPr>
            <w:tcW w:w="400" w:type="dxa"/>
            <w:vAlign w:val="bottom"/>
          </w:tcPr>
          <w:p>
            <w:pPr>
              <w:jc w:val="right"/>
              <w:ind w:right="68"/>
              <w:spacing w:after="0"/>
              <w:rPr>
                <w:sz w:val="20"/>
                <w:szCs w:val="20"/>
                <w:color w:val="auto"/>
              </w:rPr>
            </w:pPr>
            <w:r>
              <w:rPr>
                <w:rFonts w:ascii="Times New Roman" w:cs="Times New Roman" w:eastAsia="Times New Roman" w:hAnsi="Times New Roman"/>
                <w:sz w:val="18"/>
                <w:szCs w:val="18"/>
                <w:color w:val="auto"/>
                <w:w w:val="97"/>
              </w:rPr>
              <w:t>56.</w:t>
            </w:r>
          </w:p>
        </w:tc>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OFAC and Anti-Money Laundering Compliance Certifications</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0"/>
        </w:trPr>
        <w:tc>
          <w:tcPr>
            <w:tcW w:w="400" w:type="dxa"/>
            <w:vAlign w:val="bottom"/>
          </w:tcPr>
          <w:p>
            <w:pPr>
              <w:jc w:val="right"/>
              <w:ind w:right="68"/>
              <w:spacing w:after="0"/>
              <w:rPr>
                <w:sz w:val="20"/>
                <w:szCs w:val="20"/>
                <w:color w:val="auto"/>
              </w:rPr>
            </w:pPr>
            <w:r>
              <w:rPr>
                <w:rFonts w:ascii="Times New Roman" w:cs="Times New Roman" w:eastAsia="Times New Roman" w:hAnsi="Times New Roman"/>
                <w:sz w:val="18"/>
                <w:szCs w:val="18"/>
                <w:color w:val="auto"/>
                <w:w w:val="97"/>
              </w:rPr>
              <w:t>57.</w:t>
            </w:r>
          </w:p>
        </w:tc>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Financial Statements</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0"/>
        </w:trPr>
        <w:tc>
          <w:tcPr>
            <w:tcW w:w="400" w:type="dxa"/>
            <w:vAlign w:val="bottom"/>
          </w:tcPr>
          <w:p>
            <w:pPr>
              <w:jc w:val="right"/>
              <w:ind w:right="68"/>
              <w:spacing w:after="0"/>
              <w:rPr>
                <w:sz w:val="20"/>
                <w:szCs w:val="20"/>
                <w:color w:val="auto"/>
              </w:rPr>
            </w:pPr>
            <w:r>
              <w:rPr>
                <w:rFonts w:ascii="Times New Roman" w:cs="Times New Roman" w:eastAsia="Times New Roman" w:hAnsi="Times New Roman"/>
                <w:sz w:val="18"/>
                <w:szCs w:val="18"/>
                <w:color w:val="auto"/>
                <w:w w:val="97"/>
              </w:rPr>
              <w:t>58.</w:t>
            </w:r>
          </w:p>
        </w:tc>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Tenant's Standing and Authority</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0"/>
        </w:trPr>
        <w:tc>
          <w:tcPr>
            <w:tcW w:w="400" w:type="dxa"/>
            <w:vAlign w:val="bottom"/>
          </w:tcPr>
          <w:p>
            <w:pPr>
              <w:jc w:val="right"/>
              <w:ind w:right="68"/>
              <w:spacing w:after="0"/>
              <w:rPr>
                <w:sz w:val="20"/>
                <w:szCs w:val="20"/>
                <w:color w:val="auto"/>
              </w:rPr>
            </w:pPr>
            <w:r>
              <w:rPr>
                <w:rFonts w:ascii="Times New Roman" w:cs="Times New Roman" w:eastAsia="Times New Roman" w:hAnsi="Times New Roman"/>
                <w:sz w:val="18"/>
                <w:szCs w:val="18"/>
                <w:color w:val="auto"/>
                <w:w w:val="97"/>
              </w:rPr>
              <w:t>59.</w:t>
            </w:r>
          </w:p>
        </w:tc>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Conference Center</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40"/>
        </w:trPr>
        <w:tc>
          <w:tcPr>
            <w:tcW w:w="400" w:type="dxa"/>
            <w:vAlign w:val="bottom"/>
          </w:tcPr>
          <w:p>
            <w:pPr>
              <w:jc w:val="right"/>
              <w:ind w:right="68"/>
              <w:spacing w:after="0"/>
              <w:rPr>
                <w:sz w:val="20"/>
                <w:szCs w:val="20"/>
                <w:color w:val="auto"/>
              </w:rPr>
            </w:pPr>
            <w:r>
              <w:rPr>
                <w:rFonts w:ascii="Times New Roman" w:cs="Times New Roman" w:eastAsia="Times New Roman" w:hAnsi="Times New Roman"/>
                <w:sz w:val="18"/>
                <w:szCs w:val="18"/>
                <w:color w:val="auto"/>
                <w:w w:val="97"/>
              </w:rPr>
              <w:t>60.</w:t>
            </w:r>
          </w:p>
        </w:tc>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Guaranty</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bl>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630555</wp:posOffset>
            </wp:positionV>
            <wp:extent cx="7178040" cy="4000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81">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40"/>
          </w:cols>
          <w:pgMar w:left="320" w:top="1164" w:right="339" w:bottom="1440" w:gutter="0" w:footer="0" w:header="0"/>
        </w:sectPr>
      </w:pPr>
    </w:p>
    <w:bookmarkStart w:id="154" w:name="page155"/>
    <w:bookmarkEnd w:id="154"/>
    <w:p>
      <w:pPr>
        <w:ind w:left="4580"/>
        <w:spacing w:after="0"/>
        <w:rPr>
          <w:sz w:val="20"/>
          <w:szCs w:val="20"/>
          <w:color w:val="auto"/>
        </w:rPr>
      </w:pPr>
      <w:r>
        <w:rPr>
          <w:rFonts w:ascii="Times New Roman" w:cs="Times New Roman" w:eastAsia="Times New Roman" w:hAnsi="Times New Roman"/>
          <w:sz w:val="18"/>
          <w:szCs w:val="18"/>
          <w:b w:val="1"/>
          <w:bCs w:val="1"/>
          <w:color w:val="auto"/>
        </w:rPr>
        <w:t>ADDISON CIRCLE ONE</w:t>
      </w:r>
    </w:p>
    <w:p>
      <w:pPr>
        <w:spacing w:after="0" w:line="2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u w:val="single" w:color="auto"/>
          <w:color w:val="auto"/>
        </w:rPr>
        <w:t>OFFICE LEASE AGREEMENT</w:t>
      </w:r>
    </w:p>
    <w:p>
      <w:pPr>
        <w:spacing w:after="0" w:line="164" w:lineRule="exact"/>
        <w:rPr>
          <w:sz w:val="20"/>
          <w:szCs w:val="20"/>
          <w:color w:val="auto"/>
        </w:rPr>
      </w:pPr>
    </w:p>
    <w:p>
      <w:pPr>
        <w:jc w:val="both"/>
        <w:ind w:left="140" w:right="120" w:firstLine="751"/>
        <w:spacing w:after="0" w:line="259" w:lineRule="auto"/>
        <w:rPr>
          <w:sz w:val="20"/>
          <w:szCs w:val="20"/>
          <w:color w:val="auto"/>
        </w:rPr>
      </w:pPr>
      <w:r>
        <w:rPr>
          <w:rFonts w:ascii="Times New Roman" w:cs="Times New Roman" w:eastAsia="Times New Roman" w:hAnsi="Times New Roman"/>
          <w:sz w:val="18"/>
          <w:szCs w:val="18"/>
          <w:color w:val="auto"/>
        </w:rPr>
        <w:t>THIS OFFICE LEASE AGREEMENT ("</w:t>
      </w:r>
      <w:r>
        <w:rPr>
          <w:rFonts w:ascii="Times New Roman" w:cs="Times New Roman" w:eastAsia="Times New Roman" w:hAnsi="Times New Roman"/>
          <w:sz w:val="18"/>
          <w:szCs w:val="18"/>
          <w:u w:val="single" w:color="auto"/>
          <w:color w:val="auto"/>
        </w:rPr>
        <w:t>Lease</w:t>
      </w:r>
      <w:r>
        <w:rPr>
          <w:rFonts w:ascii="Times New Roman" w:cs="Times New Roman" w:eastAsia="Times New Roman" w:hAnsi="Times New Roman"/>
          <w:sz w:val="18"/>
          <w:szCs w:val="18"/>
          <w:color w:val="auto"/>
        </w:rPr>
        <w:t>") is executed effective as of April 28, 2022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between FSP ADDISON CIRCLE LIMITED PARTNERSHIP, a Texas limited partnership ("</w:t>
      </w:r>
      <w:r>
        <w:rPr>
          <w:rFonts w:ascii="Times New Roman" w:cs="Times New Roman" w:eastAsia="Times New Roman" w:hAnsi="Times New Roman"/>
          <w:sz w:val="18"/>
          <w:szCs w:val="18"/>
          <w:u w:val="single" w:color="auto"/>
          <w:color w:val="auto"/>
        </w:rPr>
        <w:t>Landlord</w:t>
      </w:r>
      <w:r>
        <w:rPr>
          <w:rFonts w:ascii="Times New Roman" w:cs="Times New Roman" w:eastAsia="Times New Roman" w:hAnsi="Times New Roman"/>
          <w:sz w:val="18"/>
          <w:szCs w:val="18"/>
          <w:color w:val="auto"/>
        </w:rPr>
        <w:t>"), and CAROFFER, LLC, a Delaware limited liability company ("</w:t>
      </w:r>
      <w:r>
        <w:rPr>
          <w:rFonts w:ascii="Times New Roman" w:cs="Times New Roman" w:eastAsia="Times New Roman" w:hAnsi="Times New Roman"/>
          <w:sz w:val="18"/>
          <w:szCs w:val="18"/>
          <w:u w:val="single" w:color="auto"/>
          <w:color w:val="auto"/>
        </w:rPr>
        <w:t>Tenant</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W I T N E S S E T H:</w:t>
      </w:r>
    </w:p>
    <w:p>
      <w:pPr>
        <w:spacing w:after="0" w:line="184" w:lineRule="exact"/>
        <w:rPr>
          <w:sz w:val="20"/>
          <w:szCs w:val="20"/>
          <w:color w:val="auto"/>
        </w:rPr>
      </w:pPr>
    </w:p>
    <w:p>
      <w:pPr>
        <w:ind w:left="980" w:hanging="237"/>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in this Lease, the following terms will have the meanings set forth below:</w:t>
      </w:r>
    </w:p>
    <w:p>
      <w:pPr>
        <w:spacing w:after="0" w:line="184" w:lineRule="exact"/>
        <w:rPr>
          <w:rFonts w:ascii="Times New Roman" w:cs="Times New Roman" w:eastAsia="Times New Roman" w:hAnsi="Times New Roman"/>
          <w:sz w:val="18"/>
          <w:szCs w:val="18"/>
          <w:color w:val="auto"/>
        </w:rPr>
      </w:pPr>
    </w:p>
    <w:p>
      <w:pPr>
        <w:jc w:val="both"/>
        <w:ind w:firstLine="1043"/>
        <w:spacing w:after="0" w:line="259" w:lineRule="auto"/>
        <w:tabs>
          <w:tab w:leader="none" w:pos="1348"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Rent</w:t>
      </w:r>
      <w:r>
        <w:rPr>
          <w:rFonts w:ascii="Times New Roman" w:cs="Times New Roman" w:eastAsia="Times New Roman" w:hAnsi="Times New Roman"/>
          <w:sz w:val="18"/>
          <w:szCs w:val="18"/>
          <w:color w:val="auto"/>
        </w:rPr>
        <w:t xml:space="preserve">" means (i) Tenant's Allocated Share (as defined in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of the costs of electricity consumed on each floor of the Building of which the Premises is a part (each, a "</w:t>
      </w:r>
      <w:r>
        <w:rPr>
          <w:rFonts w:ascii="Times New Roman" w:cs="Times New Roman" w:eastAsia="Times New Roman" w:hAnsi="Times New Roman"/>
          <w:sz w:val="18"/>
          <w:szCs w:val="18"/>
          <w:u w:val="single" w:color="auto"/>
          <w:color w:val="auto"/>
        </w:rPr>
        <w:t>Building Floor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Tenant's Share of costs of all electricity used in the Common Areas of the Building and Complex (in each case, as provided in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(iii) Tenant's Share of Basic Operating Costs (as provided in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w:t>
      </w:r>
    </w:p>
    <w:p>
      <w:pPr>
        <w:spacing w:after="0" w:line="135" w:lineRule="exact"/>
        <w:rPr>
          <w:rFonts w:ascii="Times New Roman" w:cs="Times New Roman" w:eastAsia="Times New Roman" w:hAnsi="Times New Roman"/>
          <w:sz w:val="18"/>
          <w:szCs w:val="18"/>
          <w:color w:val="auto"/>
        </w:rPr>
      </w:pPr>
    </w:p>
    <w:p>
      <w:pPr>
        <w:ind w:left="1340" w:hanging="297"/>
        <w:spacing w:after="0"/>
        <w:tabs>
          <w:tab w:leader="none" w:pos="13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Allocated Share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ind w:left="1340" w:hanging="297"/>
        <w:spacing w:after="0"/>
        <w:tabs>
          <w:tab w:leader="none" w:pos="13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Rental</w:t>
      </w:r>
      <w:r>
        <w:rPr>
          <w:rFonts w:ascii="Times New Roman" w:cs="Times New Roman" w:eastAsia="Times New Roman" w:hAnsi="Times New Roman"/>
          <w:sz w:val="18"/>
          <w:szCs w:val="18"/>
          <w:color w:val="auto"/>
        </w:rPr>
        <w:t>" means the following:</w:t>
      </w:r>
    </w:p>
    <w:p>
      <w:pPr>
        <w:spacing w:after="0" w:line="217" w:lineRule="exact"/>
        <w:rPr>
          <w:sz w:val="20"/>
          <w:szCs w:val="20"/>
          <w:color w:val="auto"/>
        </w:rPr>
      </w:pPr>
    </w:p>
    <w:tbl>
      <w:tblPr>
        <w:tblLayout w:type="fixed"/>
        <w:tblInd w:w="270" w:type="dxa"/>
        <w:tblCellMar>
          <w:top w:w="0" w:type="dxa"/>
          <w:left w:w="0" w:type="dxa"/>
          <w:bottom w:w="0" w:type="dxa"/>
          <w:right w:w="0" w:type="dxa"/>
        </w:tblCellMar>
      </w:tblPr>
      <w:tr>
        <w:trPr>
          <w:trHeight w:val="207"/>
        </w:trPr>
        <w:tc>
          <w:tcPr>
            <w:tcW w:w="2100" w:type="dxa"/>
            <w:vAlign w:val="bottom"/>
            <w:tcBorders>
              <w:top w:val="single" w:sz="8" w:color="auto"/>
              <w:left w:val="single" w:sz="8" w:color="auto"/>
              <w:right w:val="single" w:sz="8" w:color="auto"/>
            </w:tcBorders>
            <w:vMerge w:val="restart"/>
          </w:tcPr>
          <w:p>
            <w:pPr>
              <w:ind w:left="820"/>
              <w:spacing w:after="0"/>
              <w:rPr>
                <w:sz w:val="20"/>
                <w:szCs w:val="20"/>
                <w:color w:val="auto"/>
              </w:rPr>
            </w:pPr>
            <w:r>
              <w:rPr>
                <w:rFonts w:ascii="Times New Roman" w:cs="Times New Roman" w:eastAsia="Times New Roman" w:hAnsi="Times New Roman"/>
                <w:sz w:val="18"/>
                <w:szCs w:val="18"/>
                <w:b w:val="1"/>
                <w:bCs w:val="1"/>
                <w:color w:val="auto"/>
              </w:rPr>
              <w:t>Lease</w:t>
            </w:r>
          </w:p>
        </w:tc>
        <w:tc>
          <w:tcPr>
            <w:tcW w:w="26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Annual Base</w:t>
            </w:r>
          </w:p>
        </w:tc>
        <w:tc>
          <w:tcPr>
            <w:tcW w:w="178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Annual</w:t>
            </w:r>
          </w:p>
        </w:tc>
        <w:tc>
          <w:tcPr>
            <w:tcW w:w="19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Monthly</w:t>
            </w:r>
          </w:p>
        </w:tc>
        <w:tc>
          <w:tcPr>
            <w:tcW w:w="238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4"/>
        </w:trPr>
        <w:tc>
          <w:tcPr>
            <w:tcW w:w="2100" w:type="dxa"/>
            <w:vAlign w:val="bottom"/>
            <w:tcBorders>
              <w:left w:val="single" w:sz="8" w:color="auto"/>
              <w:right w:val="single" w:sz="8" w:color="auto"/>
            </w:tcBorders>
            <w:vMerge w:val="continue"/>
          </w:tcPr>
          <w:p>
            <w:pPr>
              <w:spacing w:after="0"/>
              <w:rPr>
                <w:sz w:val="9"/>
                <w:szCs w:val="9"/>
                <w:color w:val="auto"/>
              </w:rPr>
            </w:pPr>
          </w:p>
        </w:tc>
        <w:tc>
          <w:tcPr>
            <w:tcW w:w="2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Rental Rate</w:t>
            </w:r>
          </w:p>
        </w:tc>
        <w:tc>
          <w:tcPr>
            <w:tcW w:w="1780" w:type="dxa"/>
            <w:vAlign w:val="bottom"/>
            <w:tcBorders>
              <w:right w:val="single" w:sz="8" w:color="auto"/>
            </w:tcBorders>
            <w:vMerge w:val="continue"/>
          </w:tcPr>
          <w:p>
            <w:pPr>
              <w:spacing w:after="0"/>
              <w:rPr>
                <w:sz w:val="9"/>
                <w:szCs w:val="9"/>
                <w:color w:val="auto"/>
              </w:rPr>
            </w:pPr>
          </w:p>
        </w:tc>
        <w:tc>
          <w:tcPr>
            <w:tcW w:w="1920" w:type="dxa"/>
            <w:vAlign w:val="bottom"/>
            <w:tcBorders>
              <w:right w:val="single" w:sz="8" w:color="auto"/>
            </w:tcBorders>
            <w:vMerge w:val="continue"/>
          </w:tcPr>
          <w:p>
            <w:pPr>
              <w:spacing w:after="0"/>
              <w:rPr>
                <w:sz w:val="9"/>
                <w:szCs w:val="9"/>
                <w:color w:val="auto"/>
              </w:rPr>
            </w:pPr>
          </w:p>
        </w:tc>
        <w:tc>
          <w:tcPr>
            <w:tcW w:w="2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Other*</w:t>
            </w:r>
          </w:p>
        </w:tc>
        <w:tc>
          <w:tcPr>
            <w:tcW w:w="0" w:type="dxa"/>
            <w:vAlign w:val="bottom"/>
          </w:tcPr>
          <w:p>
            <w:pPr>
              <w:spacing w:after="0"/>
              <w:rPr>
                <w:sz w:val="1"/>
                <w:szCs w:val="1"/>
                <w:color w:val="auto"/>
              </w:rPr>
            </w:pPr>
          </w:p>
        </w:tc>
      </w:tr>
      <w:tr>
        <w:trPr>
          <w:trHeight w:val="104"/>
        </w:trPr>
        <w:tc>
          <w:tcPr>
            <w:tcW w:w="2100" w:type="dxa"/>
            <w:vAlign w:val="bottom"/>
            <w:tcBorders>
              <w:left w:val="single" w:sz="8" w:color="auto"/>
              <w:right w:val="single" w:sz="8" w:color="auto"/>
            </w:tcBorders>
            <w:vMerge w:val="restart"/>
          </w:tcPr>
          <w:p>
            <w:pPr>
              <w:ind w:left="74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2620" w:type="dxa"/>
            <w:vAlign w:val="bottom"/>
            <w:tcBorders>
              <w:right w:val="single" w:sz="8" w:color="auto"/>
            </w:tcBorders>
            <w:vMerge w:val="continue"/>
          </w:tcPr>
          <w:p>
            <w:pPr>
              <w:spacing w:after="0"/>
              <w:rPr>
                <w:sz w:val="9"/>
                <w:szCs w:val="9"/>
                <w:color w:val="auto"/>
              </w:rPr>
            </w:pPr>
          </w:p>
        </w:tc>
        <w:tc>
          <w:tcPr>
            <w:tcW w:w="1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Base Rental</w:t>
            </w: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Installment</w:t>
            </w:r>
          </w:p>
        </w:tc>
        <w:tc>
          <w:tcPr>
            <w:tcW w:w="23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100" w:type="dxa"/>
            <w:vAlign w:val="bottom"/>
            <w:tcBorders>
              <w:left w:val="single" w:sz="8" w:color="auto"/>
              <w:right w:val="single" w:sz="8" w:color="auto"/>
            </w:tcBorders>
            <w:vMerge w:val="continue"/>
          </w:tcPr>
          <w:p>
            <w:pPr>
              <w:spacing w:after="0"/>
              <w:rPr>
                <w:sz w:val="12"/>
                <w:szCs w:val="12"/>
                <w:color w:val="auto"/>
              </w:rPr>
            </w:pPr>
          </w:p>
        </w:tc>
        <w:tc>
          <w:tcPr>
            <w:tcW w:w="2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Per RSF</w:t>
            </w:r>
          </w:p>
        </w:tc>
        <w:tc>
          <w:tcPr>
            <w:tcW w:w="1780" w:type="dxa"/>
            <w:vAlign w:val="bottom"/>
            <w:tcBorders>
              <w:right w:val="single" w:sz="8" w:color="auto"/>
            </w:tcBorders>
            <w:vMerge w:val="continue"/>
          </w:tcPr>
          <w:p>
            <w:pPr>
              <w:spacing w:after="0"/>
              <w:rPr>
                <w:sz w:val="12"/>
                <w:szCs w:val="12"/>
                <w:color w:val="auto"/>
              </w:rPr>
            </w:pPr>
          </w:p>
        </w:tc>
        <w:tc>
          <w:tcPr>
            <w:tcW w:w="1920" w:type="dxa"/>
            <w:vAlign w:val="bottom"/>
            <w:tcBorders>
              <w:right w:val="single" w:sz="8" w:color="auto"/>
            </w:tcBorders>
            <w:vMerge w:val="continue"/>
          </w:tcPr>
          <w:p>
            <w:pPr>
              <w:spacing w:after="0"/>
              <w:rPr>
                <w:sz w:val="12"/>
                <w:szCs w:val="12"/>
                <w:color w:val="auto"/>
              </w:rPr>
            </w:pPr>
          </w:p>
        </w:tc>
        <w:tc>
          <w:tcPr>
            <w:tcW w:w="23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100" w:type="dxa"/>
            <w:vAlign w:val="bottom"/>
            <w:tcBorders>
              <w:left w:val="single" w:sz="8" w:color="auto"/>
              <w:bottom w:val="single" w:sz="8" w:color="auto"/>
              <w:right w:val="single" w:sz="8" w:color="auto"/>
            </w:tcBorders>
          </w:tcPr>
          <w:p>
            <w:pPr>
              <w:spacing w:after="0"/>
              <w:rPr>
                <w:sz w:val="10"/>
                <w:szCs w:val="10"/>
                <w:color w:val="auto"/>
              </w:rPr>
            </w:pPr>
          </w:p>
        </w:tc>
        <w:tc>
          <w:tcPr>
            <w:tcW w:w="2620" w:type="dxa"/>
            <w:vAlign w:val="bottom"/>
            <w:tcBorders>
              <w:bottom w:val="single" w:sz="8" w:color="auto"/>
              <w:right w:val="single" w:sz="8" w:color="auto"/>
            </w:tcBorders>
            <w:vMerge w:val="continue"/>
          </w:tcPr>
          <w:p>
            <w:pPr>
              <w:spacing w:after="0"/>
              <w:rPr>
                <w:sz w:val="10"/>
                <w:szCs w:val="10"/>
                <w:color w:val="auto"/>
              </w:rPr>
            </w:pPr>
          </w:p>
        </w:tc>
        <w:tc>
          <w:tcPr>
            <w:tcW w:w="1780" w:type="dxa"/>
            <w:vAlign w:val="bottom"/>
            <w:tcBorders>
              <w:bottom w:val="single" w:sz="8" w:color="auto"/>
              <w:right w:val="single" w:sz="8" w:color="auto"/>
            </w:tcBorders>
          </w:tcPr>
          <w:p>
            <w:pPr>
              <w:spacing w:after="0"/>
              <w:rPr>
                <w:sz w:val="10"/>
                <w:szCs w:val="10"/>
                <w:color w:val="auto"/>
              </w:rPr>
            </w:pPr>
          </w:p>
        </w:tc>
        <w:tc>
          <w:tcPr>
            <w:tcW w:w="1920" w:type="dxa"/>
            <w:vAlign w:val="bottom"/>
            <w:tcBorders>
              <w:bottom w:val="single" w:sz="8" w:color="auto"/>
              <w:right w:val="single" w:sz="8" w:color="auto"/>
            </w:tcBorders>
          </w:tcPr>
          <w:p>
            <w:pPr>
              <w:spacing w:after="0"/>
              <w:rPr>
                <w:sz w:val="10"/>
                <w:szCs w:val="10"/>
                <w:color w:val="auto"/>
              </w:rPr>
            </w:pPr>
          </w:p>
        </w:tc>
        <w:tc>
          <w:tcPr>
            <w:tcW w:w="23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6"/>
        </w:trPr>
        <w:tc>
          <w:tcPr>
            <w:tcW w:w="2100" w:type="dxa"/>
            <w:vAlign w:val="bottom"/>
            <w:tcBorders>
              <w:left w:val="single" w:sz="8" w:color="auto"/>
              <w:bottom w:val="single" w:sz="8" w:color="auto"/>
              <w:right w:val="single" w:sz="8" w:color="auto"/>
            </w:tcBorders>
          </w:tcPr>
          <w:p>
            <w:pPr>
              <w:ind w:left="100"/>
              <w:spacing w:after="0" w:line="206" w:lineRule="exact"/>
              <w:rPr>
                <w:sz w:val="20"/>
                <w:szCs w:val="20"/>
                <w:color w:val="auto"/>
              </w:rPr>
            </w:pPr>
            <w:r>
              <w:rPr>
                <w:rFonts w:ascii="Times New Roman" w:cs="Times New Roman" w:eastAsia="Times New Roman" w:hAnsi="Times New Roman"/>
                <w:sz w:val="18"/>
                <w:szCs w:val="18"/>
                <w:color w:val="auto"/>
              </w:rPr>
              <w:t>Months 1-3</w:t>
            </w:r>
          </w:p>
        </w:tc>
        <w:tc>
          <w:tcPr>
            <w:tcW w:w="2620" w:type="dxa"/>
            <w:vAlign w:val="bottom"/>
            <w:tcBorders>
              <w:bottom w:val="single" w:sz="8" w:color="auto"/>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18"/>
                <w:szCs w:val="18"/>
                <w:color w:val="auto"/>
                <w:w w:val="98"/>
              </w:rPr>
              <w:t>$0.00</w:t>
            </w:r>
          </w:p>
        </w:tc>
        <w:tc>
          <w:tcPr>
            <w:tcW w:w="1780" w:type="dxa"/>
            <w:vAlign w:val="bottom"/>
            <w:tcBorders>
              <w:bottom w:val="single" w:sz="8" w:color="auto"/>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18"/>
                <w:szCs w:val="18"/>
                <w:color w:val="auto"/>
                <w:w w:val="98"/>
              </w:rPr>
              <w:t>$0.00</w:t>
            </w:r>
          </w:p>
        </w:tc>
        <w:tc>
          <w:tcPr>
            <w:tcW w:w="1920" w:type="dxa"/>
            <w:vAlign w:val="bottom"/>
            <w:tcBorders>
              <w:bottom w:val="single" w:sz="8" w:color="auto"/>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18"/>
                <w:szCs w:val="18"/>
                <w:color w:val="auto"/>
              </w:rPr>
              <w:t>$0.00</w:t>
            </w:r>
          </w:p>
        </w:tc>
        <w:tc>
          <w:tcPr>
            <w:tcW w:w="2380" w:type="dxa"/>
            <w:vAlign w:val="bottom"/>
            <w:tcBorders>
              <w:bottom w:val="single" w:sz="8" w:color="auto"/>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18"/>
                <w:szCs w:val="18"/>
                <w:color w:val="auto"/>
              </w:rPr>
              <w:t>+ electric</w:t>
            </w:r>
          </w:p>
        </w:tc>
        <w:tc>
          <w:tcPr>
            <w:tcW w:w="0" w:type="dxa"/>
            <w:vAlign w:val="bottom"/>
          </w:tcPr>
          <w:p>
            <w:pPr>
              <w:spacing w:after="0"/>
              <w:rPr>
                <w:sz w:val="1"/>
                <w:szCs w:val="1"/>
                <w:color w:val="auto"/>
              </w:rPr>
            </w:pPr>
          </w:p>
        </w:tc>
      </w:tr>
      <w:tr>
        <w:trPr>
          <w:trHeight w:val="222"/>
        </w:trPr>
        <w:tc>
          <w:tcPr>
            <w:tcW w:w="210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Months 4-6</w:t>
            </w:r>
          </w:p>
        </w:tc>
        <w:tc>
          <w:tcPr>
            <w:tcW w:w="2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w:t>
            </w:r>
          </w:p>
        </w:tc>
        <w:tc>
          <w:tcPr>
            <w:tcW w:w="2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electric/NNN</w:t>
            </w:r>
          </w:p>
        </w:tc>
        <w:tc>
          <w:tcPr>
            <w:tcW w:w="0" w:type="dxa"/>
            <w:vAlign w:val="bottom"/>
          </w:tcPr>
          <w:p>
            <w:pPr>
              <w:spacing w:after="0"/>
              <w:rPr>
                <w:sz w:val="1"/>
                <w:szCs w:val="1"/>
                <w:color w:val="auto"/>
              </w:rPr>
            </w:pPr>
          </w:p>
        </w:tc>
      </w:tr>
      <w:tr>
        <w:trPr>
          <w:trHeight w:val="222"/>
        </w:trPr>
        <w:tc>
          <w:tcPr>
            <w:tcW w:w="210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Months 7-14</w:t>
            </w:r>
          </w:p>
        </w:tc>
        <w:tc>
          <w:tcPr>
            <w:tcW w:w="2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$23.75</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$734,183.75</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$61,181.98</w:t>
            </w:r>
          </w:p>
        </w:tc>
        <w:tc>
          <w:tcPr>
            <w:tcW w:w="2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electric/NNN</w:t>
            </w:r>
          </w:p>
        </w:tc>
        <w:tc>
          <w:tcPr>
            <w:tcW w:w="0" w:type="dxa"/>
            <w:vAlign w:val="bottom"/>
          </w:tcPr>
          <w:p>
            <w:pPr>
              <w:spacing w:after="0"/>
              <w:rPr>
                <w:sz w:val="1"/>
                <w:szCs w:val="1"/>
                <w:color w:val="auto"/>
              </w:rPr>
            </w:pPr>
          </w:p>
        </w:tc>
      </w:tr>
      <w:tr>
        <w:trPr>
          <w:trHeight w:val="222"/>
        </w:trPr>
        <w:tc>
          <w:tcPr>
            <w:tcW w:w="210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Months 15-26</w:t>
            </w:r>
          </w:p>
        </w:tc>
        <w:tc>
          <w:tcPr>
            <w:tcW w:w="2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$24.50</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$757,368.50</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$63,114.04</w:t>
            </w:r>
          </w:p>
        </w:tc>
        <w:tc>
          <w:tcPr>
            <w:tcW w:w="2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electric/NNN</w:t>
            </w:r>
          </w:p>
        </w:tc>
        <w:tc>
          <w:tcPr>
            <w:tcW w:w="0" w:type="dxa"/>
            <w:vAlign w:val="bottom"/>
          </w:tcPr>
          <w:p>
            <w:pPr>
              <w:spacing w:after="0"/>
              <w:rPr>
                <w:sz w:val="1"/>
                <w:szCs w:val="1"/>
                <w:color w:val="auto"/>
              </w:rPr>
            </w:pPr>
          </w:p>
        </w:tc>
      </w:tr>
      <w:tr>
        <w:trPr>
          <w:trHeight w:val="222"/>
        </w:trPr>
        <w:tc>
          <w:tcPr>
            <w:tcW w:w="210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Months 27-38</w:t>
            </w:r>
          </w:p>
        </w:tc>
        <w:tc>
          <w:tcPr>
            <w:tcW w:w="2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$25.25</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$780,553.25</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$65,046.10</w:t>
            </w:r>
          </w:p>
        </w:tc>
        <w:tc>
          <w:tcPr>
            <w:tcW w:w="2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electric/NNN</w:t>
            </w:r>
          </w:p>
        </w:tc>
        <w:tc>
          <w:tcPr>
            <w:tcW w:w="0" w:type="dxa"/>
            <w:vAlign w:val="bottom"/>
          </w:tcPr>
          <w:p>
            <w:pPr>
              <w:spacing w:after="0"/>
              <w:rPr>
                <w:sz w:val="1"/>
                <w:szCs w:val="1"/>
                <w:color w:val="auto"/>
              </w:rPr>
            </w:pPr>
          </w:p>
        </w:tc>
      </w:tr>
      <w:tr>
        <w:trPr>
          <w:trHeight w:val="222"/>
        </w:trPr>
        <w:tc>
          <w:tcPr>
            <w:tcW w:w="210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Months 39-50</w:t>
            </w:r>
          </w:p>
        </w:tc>
        <w:tc>
          <w:tcPr>
            <w:tcW w:w="2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$26.00</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$803,738.00</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$66,978.17</w:t>
            </w:r>
          </w:p>
        </w:tc>
        <w:tc>
          <w:tcPr>
            <w:tcW w:w="2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electric/NNN</w:t>
            </w:r>
          </w:p>
        </w:tc>
        <w:tc>
          <w:tcPr>
            <w:tcW w:w="0" w:type="dxa"/>
            <w:vAlign w:val="bottom"/>
          </w:tcPr>
          <w:p>
            <w:pPr>
              <w:spacing w:after="0"/>
              <w:rPr>
                <w:sz w:val="1"/>
                <w:szCs w:val="1"/>
                <w:color w:val="auto"/>
              </w:rPr>
            </w:pPr>
          </w:p>
        </w:tc>
      </w:tr>
      <w:tr>
        <w:trPr>
          <w:trHeight w:val="222"/>
        </w:trPr>
        <w:tc>
          <w:tcPr>
            <w:tcW w:w="210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Months 51-62</w:t>
            </w:r>
          </w:p>
        </w:tc>
        <w:tc>
          <w:tcPr>
            <w:tcW w:w="2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$26.75</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$826,922.75</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$68,910.23</w:t>
            </w:r>
          </w:p>
        </w:tc>
        <w:tc>
          <w:tcPr>
            <w:tcW w:w="2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electric/NNN</w:t>
            </w:r>
          </w:p>
        </w:tc>
        <w:tc>
          <w:tcPr>
            <w:tcW w:w="0" w:type="dxa"/>
            <w:vAlign w:val="bottom"/>
          </w:tcPr>
          <w:p>
            <w:pPr>
              <w:spacing w:after="0"/>
              <w:rPr>
                <w:sz w:val="1"/>
                <w:szCs w:val="1"/>
                <w:color w:val="auto"/>
              </w:rPr>
            </w:pPr>
          </w:p>
        </w:tc>
      </w:tr>
      <w:tr>
        <w:trPr>
          <w:trHeight w:val="222"/>
        </w:trPr>
        <w:tc>
          <w:tcPr>
            <w:tcW w:w="210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Months 63-74</w:t>
            </w:r>
          </w:p>
        </w:tc>
        <w:tc>
          <w:tcPr>
            <w:tcW w:w="2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$27.50</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$850,107.50</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$70,842.29</w:t>
            </w:r>
          </w:p>
        </w:tc>
        <w:tc>
          <w:tcPr>
            <w:tcW w:w="2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electric/NNN</w:t>
            </w:r>
          </w:p>
        </w:tc>
        <w:tc>
          <w:tcPr>
            <w:tcW w:w="0" w:type="dxa"/>
            <w:vAlign w:val="bottom"/>
          </w:tcPr>
          <w:p>
            <w:pPr>
              <w:spacing w:after="0"/>
              <w:rPr>
                <w:sz w:val="1"/>
                <w:szCs w:val="1"/>
                <w:color w:val="auto"/>
              </w:rPr>
            </w:pPr>
          </w:p>
        </w:tc>
      </w:tr>
      <w:tr>
        <w:trPr>
          <w:trHeight w:val="222"/>
        </w:trPr>
        <w:tc>
          <w:tcPr>
            <w:tcW w:w="210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Months 75-86</w:t>
            </w:r>
          </w:p>
        </w:tc>
        <w:tc>
          <w:tcPr>
            <w:tcW w:w="2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$28.25</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$873,292.25</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$72,774.35</w:t>
            </w:r>
          </w:p>
        </w:tc>
        <w:tc>
          <w:tcPr>
            <w:tcW w:w="2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electric/NNN</w:t>
            </w:r>
          </w:p>
        </w:tc>
        <w:tc>
          <w:tcPr>
            <w:tcW w:w="0" w:type="dxa"/>
            <w:vAlign w:val="bottom"/>
          </w:tcPr>
          <w:p>
            <w:pPr>
              <w:spacing w:after="0"/>
              <w:rPr>
                <w:sz w:val="1"/>
                <w:szCs w:val="1"/>
                <w:color w:val="auto"/>
              </w:rPr>
            </w:pPr>
          </w:p>
        </w:tc>
      </w:tr>
    </w:tbl>
    <w:p>
      <w:pPr>
        <w:jc w:val="both"/>
        <w:ind w:left="260" w:right="140" w:hanging="7"/>
        <w:spacing w:after="0" w:line="264" w:lineRule="auto"/>
        <w:tabs>
          <w:tab w:leader="none" w:pos="376"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In addition to the above Base Rental, Tenant is required to pay for Tenant's Allocated Share of electricity costs for the Building Floor and Tenant's Share of electricity costs for the Building and the Complex (each as calculated pursuant to </w:t>
      </w:r>
      <w:r>
        <w:rPr>
          <w:rFonts w:ascii="Times New Roman" w:cs="Times New Roman" w:eastAsia="Times New Roman" w:hAnsi="Times New Roman"/>
          <w:sz w:val="15"/>
          <w:szCs w:val="15"/>
          <w:u w:val="single" w:color="auto"/>
          <w:color w:val="auto"/>
        </w:rPr>
        <w:t>Section 6</w:t>
      </w:r>
      <w:r>
        <w:rPr>
          <w:rFonts w:ascii="Times New Roman" w:cs="Times New Roman" w:eastAsia="Times New Roman" w:hAnsi="Times New Roman"/>
          <w:sz w:val="15"/>
          <w:szCs w:val="15"/>
          <w:color w:val="auto"/>
        </w:rPr>
        <w:t>) during the entire Lease Term, including during the free rent period specified above. Commencing on the fourth (4</w:t>
      </w:r>
      <w:r>
        <w:rPr>
          <w:rFonts w:ascii="Times New Roman" w:cs="Times New Roman" w:eastAsia="Times New Roman" w:hAnsi="Times New Roman"/>
          <w:sz w:val="9"/>
          <w:szCs w:val="9"/>
          <w:color w:val="auto"/>
        </w:rPr>
        <w:t>th</w:t>
      </w:r>
      <w:r>
        <w:rPr>
          <w:rFonts w:ascii="Times New Roman" w:cs="Times New Roman" w:eastAsia="Times New Roman" w:hAnsi="Times New Roman"/>
          <w:sz w:val="15"/>
          <w:szCs w:val="15"/>
          <w:color w:val="auto"/>
        </w:rPr>
        <w:t>) lease month and for the remainder of the Lease Term, Tenant also will pay Tenant's Share of Basic Operating Costs (as calculated pursuant to Section 6).</w:t>
      </w:r>
    </w:p>
    <w:p>
      <w:pPr>
        <w:spacing w:after="0" w:line="144" w:lineRule="exact"/>
        <w:rPr>
          <w:rFonts w:ascii="Times New Roman" w:cs="Times New Roman" w:eastAsia="Times New Roman" w:hAnsi="Times New Roman"/>
          <w:sz w:val="15"/>
          <w:szCs w:val="15"/>
          <w:color w:val="auto"/>
        </w:rPr>
      </w:pPr>
    </w:p>
    <w:p>
      <w:pPr>
        <w:ind w:left="1340" w:hanging="297"/>
        <w:spacing w:after="0"/>
        <w:tabs>
          <w:tab w:leader="none" w:pos="134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Basic Operating Costs</w:t>
      </w:r>
      <w:r>
        <w:rPr>
          <w:rFonts w:ascii="Times New Roman" w:cs="Times New Roman" w:eastAsia="Times New Roman" w:hAnsi="Times New Roman"/>
          <w:sz w:val="18"/>
          <w:szCs w:val="18"/>
          <w:color w:val="auto"/>
        </w:rPr>
        <w:t xml:space="preserve">" has the meaning given to such term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ind w:right="360" w:firstLine="1043"/>
        <w:spacing w:after="0" w:line="505" w:lineRule="auto"/>
        <w:tabs>
          <w:tab w:leader="none" w:pos="1348"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Broker</w:t>
      </w:r>
      <w:r>
        <w:rPr>
          <w:rFonts w:ascii="Times New Roman" w:cs="Times New Roman" w:eastAsia="Times New Roman" w:hAnsi="Times New Roman"/>
          <w:sz w:val="18"/>
          <w:szCs w:val="18"/>
          <w:color w:val="auto"/>
        </w:rPr>
        <w:t>" means, together, CBRE, Inc., as tenant's broker and CBRE, Inc. and Cushman &amp; Wakefield, together, Landlord's broker. OFFICE LEASE AGREEMENT-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464185</wp:posOffset>
            </wp:positionV>
            <wp:extent cx="7178040" cy="4000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82">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48" w:right="319" w:bottom="1440" w:gutter="0" w:footer="0" w:header="0"/>
        </w:sectPr>
      </w:pPr>
    </w:p>
    <w:bookmarkStart w:id="155" w:name="page156"/>
    <w:bookmarkEnd w:id="155"/>
    <w:p>
      <w:pPr>
        <w:ind w:left="1040"/>
        <w:spacing w:after="0"/>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Building</w:t>
      </w:r>
      <w:r>
        <w:rPr>
          <w:rFonts w:ascii="Times New Roman" w:cs="Times New Roman" w:eastAsia="Times New Roman" w:hAnsi="Times New Roman"/>
          <w:sz w:val="18"/>
          <w:szCs w:val="18"/>
          <w:color w:val="auto"/>
        </w:rPr>
        <w:t>" means the office building located upon the Property. The address of the Building is 15601 Dallas Parkway, Addison, Texas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75001.</w:t>
      </w:r>
    </w:p>
    <w:p>
      <w:pPr>
        <w:spacing w:after="0" w:line="164" w:lineRule="exact"/>
        <w:rPr>
          <w:sz w:val="20"/>
          <w:szCs w:val="20"/>
          <w:color w:val="auto"/>
        </w:rPr>
      </w:pPr>
    </w:p>
    <w:p>
      <w:pPr>
        <w:jc w:val="both"/>
        <w:ind w:firstLine="1043"/>
        <w:spacing w:after="0" w:line="252" w:lineRule="auto"/>
        <w:tabs>
          <w:tab w:leader="none" w:pos="139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Building Standard</w:t>
      </w:r>
      <w:r>
        <w:rPr>
          <w:rFonts w:ascii="Times New Roman" w:cs="Times New Roman" w:eastAsia="Times New Roman" w:hAnsi="Times New Roman"/>
          <w:sz w:val="18"/>
          <w:szCs w:val="18"/>
          <w:color w:val="auto"/>
        </w:rPr>
        <w:t>" means the level of service or type of equipment standard in the Building or the type, brand and/or quality of materials Landlord designates from time to time to be the minimum type, brand or quality to be used in the Building or the exclusive type, grade or quality of material to be used in the Building. Building Standard shall be commensurate with similar first-class office buildings in similar locations in the Market Area.</w:t>
      </w:r>
    </w:p>
    <w:p>
      <w:pPr>
        <w:spacing w:after="0" w:line="143" w:lineRule="exact"/>
        <w:rPr>
          <w:rFonts w:ascii="Times New Roman" w:cs="Times New Roman" w:eastAsia="Times New Roman" w:hAnsi="Times New Roman"/>
          <w:sz w:val="18"/>
          <w:szCs w:val="18"/>
          <w:color w:val="auto"/>
        </w:rPr>
      </w:pPr>
    </w:p>
    <w:p>
      <w:pPr>
        <w:ind w:left="1340" w:hanging="297"/>
        <w:spacing w:after="0"/>
        <w:tabs>
          <w:tab w:leader="none" w:pos="1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a Sunday, or a state or federal legal holiday in the State of Texas.</w:t>
      </w:r>
    </w:p>
    <w:p>
      <w:pPr>
        <w:spacing w:after="0" w:line="184" w:lineRule="exact"/>
        <w:rPr>
          <w:rFonts w:ascii="Times New Roman" w:cs="Times New Roman" w:eastAsia="Times New Roman" w:hAnsi="Times New Roman"/>
          <w:sz w:val="18"/>
          <w:szCs w:val="18"/>
          <w:color w:val="auto"/>
        </w:rPr>
      </w:pPr>
    </w:p>
    <w:p>
      <w:pPr>
        <w:ind w:firstLine="1043"/>
        <w:spacing w:after="0" w:line="278" w:lineRule="auto"/>
        <w:tabs>
          <w:tab w:leader="none" w:pos="131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Commencement Date</w:t>
      </w:r>
      <w:r>
        <w:rPr>
          <w:rFonts w:ascii="Times New Roman" w:cs="Times New Roman" w:eastAsia="Times New Roman" w:hAnsi="Times New Roman"/>
          <w:sz w:val="18"/>
          <w:szCs w:val="18"/>
          <w:color w:val="auto"/>
        </w:rPr>
        <w:t>" means the earlier to occur of (i) December 1, 2022, or (ii) Substantial Completion of the Premises (as defined in the Tenant Improvements Agreement), or (iii) the date on which Tenant commences business operations from the Premises.</w:t>
      </w:r>
    </w:p>
    <w:p>
      <w:pPr>
        <w:spacing w:after="0" w:line="118" w:lineRule="exact"/>
        <w:rPr>
          <w:rFonts w:ascii="Times New Roman" w:cs="Times New Roman" w:eastAsia="Times New Roman" w:hAnsi="Times New Roman"/>
          <w:sz w:val="18"/>
          <w:szCs w:val="18"/>
          <w:color w:val="auto"/>
        </w:rPr>
      </w:pPr>
    </w:p>
    <w:p>
      <w:pPr>
        <w:jc w:val="both"/>
        <w:ind w:firstLine="1043"/>
        <w:spacing w:after="0" w:line="246" w:lineRule="auto"/>
        <w:tabs>
          <w:tab w:leader="none" w:pos="135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Areas</w:t>
      </w:r>
      <w:r>
        <w:rPr>
          <w:rFonts w:ascii="Times New Roman" w:cs="Times New Roman" w:eastAsia="Times New Roman" w:hAnsi="Times New Roman"/>
          <w:sz w:val="18"/>
          <w:szCs w:val="18"/>
          <w:color w:val="auto"/>
        </w:rPr>
        <w:t>" means all areas, spaces, facilities and equipment (whether or not located within the Building) made available by Landlord for the common and joint use of Landlord, Tenant and others designated by Landlord using or occupying space in the Building, including, but not limited to, tunnels, loading docks, walkways, sidewalks and driveways necessary for access to the Building, Parking Areas, Building lobbies, atriums, landscaped areas, public corridors, public rest rooms, Building stairs, elevators open to the public, service elevators (provided that such service elevators will be available only for tenants of the Building and others designated by Landlord), drinking fountains, equipment rooms, risers, and any such other areas and facilities, if any, as are designated by Landlord from time to time as Common Areas, including, but not limited to, any such areas so designated by Landlord on a single tenant floor of the Building.</w:t>
      </w:r>
    </w:p>
    <w:p>
      <w:pPr>
        <w:spacing w:after="0" w:line="148" w:lineRule="exact"/>
        <w:rPr>
          <w:rFonts w:ascii="Times New Roman" w:cs="Times New Roman" w:eastAsia="Times New Roman" w:hAnsi="Times New Roman"/>
          <w:sz w:val="18"/>
          <w:szCs w:val="18"/>
          <w:color w:val="auto"/>
        </w:rPr>
      </w:pPr>
    </w:p>
    <w:p>
      <w:pPr>
        <w:ind w:left="1340" w:hanging="297"/>
        <w:spacing w:after="0"/>
        <w:tabs>
          <w:tab w:leader="none" w:pos="1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Complex</w:t>
      </w:r>
      <w:r>
        <w:rPr>
          <w:rFonts w:ascii="Times New Roman" w:cs="Times New Roman" w:eastAsia="Times New Roman" w:hAnsi="Times New Roman"/>
          <w:sz w:val="18"/>
          <w:szCs w:val="18"/>
          <w:color w:val="auto"/>
        </w:rPr>
        <w:t>" means the Property, the Building and the Parking Areas.</w:t>
      </w:r>
    </w:p>
    <w:p>
      <w:pPr>
        <w:spacing w:after="0" w:line="184" w:lineRule="exact"/>
        <w:rPr>
          <w:rFonts w:ascii="Times New Roman" w:cs="Times New Roman" w:eastAsia="Times New Roman" w:hAnsi="Times New Roman"/>
          <w:sz w:val="18"/>
          <w:szCs w:val="18"/>
          <w:color w:val="auto"/>
        </w:rPr>
      </w:pPr>
    </w:p>
    <w:p>
      <w:pPr>
        <w:ind w:right="20" w:firstLine="1043"/>
        <w:spacing w:after="0" w:line="278" w:lineRule="auto"/>
        <w:tabs>
          <w:tab w:leader="none" w:pos="137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Rate</w:t>
      </w:r>
      <w:r>
        <w:rPr>
          <w:rFonts w:ascii="Times New Roman" w:cs="Times New Roman" w:eastAsia="Times New Roman" w:hAnsi="Times New Roman"/>
          <w:sz w:val="18"/>
          <w:szCs w:val="18"/>
          <w:color w:val="auto"/>
        </w:rPr>
        <w:t>" means the lesser of (1) the rate of twelve percent (12%) per annum, and (2) the maximum rate of interest then permissible for a commercial loan to Tenant in the State of Texas.</w:t>
      </w:r>
    </w:p>
    <w:p>
      <w:pPr>
        <w:spacing w:after="0" w:line="118" w:lineRule="exact"/>
        <w:rPr>
          <w:rFonts w:ascii="Times New Roman" w:cs="Times New Roman" w:eastAsia="Times New Roman" w:hAnsi="Times New Roman"/>
          <w:sz w:val="18"/>
          <w:szCs w:val="18"/>
          <w:color w:val="auto"/>
        </w:rPr>
      </w:pPr>
    </w:p>
    <w:p>
      <w:pPr>
        <w:ind w:left="1400" w:hanging="357"/>
        <w:spacing w:after="0"/>
        <w:tabs>
          <w:tab w:leader="none" w:pos="14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means the date set forth in the initial paragraph of this Lease.</w:t>
      </w:r>
    </w:p>
    <w:p>
      <w:pPr>
        <w:spacing w:after="0" w:line="184" w:lineRule="exact"/>
        <w:rPr>
          <w:rFonts w:ascii="Times New Roman" w:cs="Times New Roman" w:eastAsia="Times New Roman" w:hAnsi="Times New Roman"/>
          <w:sz w:val="18"/>
          <w:szCs w:val="18"/>
          <w:color w:val="auto"/>
        </w:rPr>
      </w:pPr>
    </w:p>
    <w:p>
      <w:pPr>
        <w:ind w:left="1340" w:hanging="297"/>
        <w:spacing w:after="0"/>
        <w:tabs>
          <w:tab w:leader="none" w:pos="1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means CarGurus, Inc., a Delaware corporation.</w:t>
      </w:r>
    </w:p>
    <w:p>
      <w:pPr>
        <w:spacing w:after="0" w:line="184" w:lineRule="exact"/>
        <w:rPr>
          <w:rFonts w:ascii="Times New Roman" w:cs="Times New Roman" w:eastAsia="Times New Roman" w:hAnsi="Times New Roman"/>
          <w:sz w:val="18"/>
          <w:szCs w:val="18"/>
          <w:color w:val="auto"/>
        </w:rPr>
      </w:pPr>
    </w:p>
    <w:p>
      <w:pPr>
        <w:ind w:right="20" w:firstLine="1043"/>
        <w:spacing w:after="0" w:line="278" w:lineRule="auto"/>
        <w:tabs>
          <w:tab w:leader="none" w:pos="135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means any guaranty of the obligations and liabilities of Tenant arising under this Lease, executed by Guarantor to and for the benefit of Landlord, as the same may be amended, modified, supplemented or restated from time to time.</w:t>
      </w:r>
    </w:p>
    <w:p>
      <w:pPr>
        <w:spacing w:after="0" w:line="118" w:lineRule="exact"/>
        <w:rPr>
          <w:rFonts w:ascii="Times New Roman" w:cs="Times New Roman" w:eastAsia="Times New Roman" w:hAnsi="Times New Roman"/>
          <w:sz w:val="18"/>
          <w:szCs w:val="18"/>
          <w:color w:val="auto"/>
        </w:rPr>
      </w:pPr>
    </w:p>
    <w:p>
      <w:pPr>
        <w:ind w:firstLine="1043"/>
        <w:spacing w:after="0" w:line="278" w:lineRule="auto"/>
        <w:tabs>
          <w:tab w:leader="none" w:pos="139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Improvements</w:t>
      </w:r>
      <w:r>
        <w:rPr>
          <w:rFonts w:ascii="Times New Roman" w:cs="Times New Roman" w:eastAsia="Times New Roman" w:hAnsi="Times New Roman"/>
          <w:sz w:val="18"/>
          <w:szCs w:val="18"/>
          <w:color w:val="auto"/>
        </w:rPr>
        <w:t>" means those improvements to the Premises which Tenant elects to construct in the Premises in accordance with the Tenant Improvements Agreement.</w:t>
      </w:r>
    </w:p>
    <w:p>
      <w:pPr>
        <w:spacing w:after="0" w:line="118" w:lineRule="exact"/>
        <w:rPr>
          <w:rFonts w:ascii="Times New Roman" w:cs="Times New Roman" w:eastAsia="Times New Roman" w:hAnsi="Times New Roman"/>
          <w:sz w:val="18"/>
          <w:szCs w:val="18"/>
          <w:color w:val="auto"/>
        </w:rPr>
      </w:pPr>
    </w:p>
    <w:p>
      <w:pPr>
        <w:ind w:left="1340" w:hanging="297"/>
        <w:spacing w:after="0"/>
        <w:tabs>
          <w:tab w:leader="none" w:pos="1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Landlord Related Party</w:t>
      </w:r>
      <w:r>
        <w:rPr>
          <w:rFonts w:ascii="Times New Roman" w:cs="Times New Roman" w:eastAsia="Times New Roman" w:hAnsi="Times New Roman"/>
          <w:sz w:val="18"/>
          <w:szCs w:val="18"/>
          <w:color w:val="auto"/>
        </w:rPr>
        <w:t>" means any officer, director, partner, member, employee, agent or contractor of Landlord.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LEASE AGREEMENT- 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630555</wp:posOffset>
            </wp:positionV>
            <wp:extent cx="7178040" cy="4000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83">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336" w:right="319" w:bottom="1440" w:gutter="0" w:footer="0" w:header="0"/>
        </w:sectPr>
      </w:pPr>
    </w:p>
    <w:bookmarkStart w:id="156" w:name="page157"/>
    <w:bookmarkEnd w:id="156"/>
    <w:p>
      <w:pPr>
        <w:ind w:firstLine="1043"/>
        <w:spacing w:after="0" w:line="278" w:lineRule="auto"/>
        <w:tabs>
          <w:tab w:leader="none" w:pos="132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Lease Term</w:t>
      </w:r>
      <w:r>
        <w:rPr>
          <w:rFonts w:ascii="Times New Roman" w:cs="Times New Roman" w:eastAsia="Times New Roman" w:hAnsi="Times New Roman"/>
          <w:sz w:val="18"/>
          <w:szCs w:val="18"/>
          <w:color w:val="auto"/>
        </w:rPr>
        <w:t xml:space="preserve">" means the term commencing on the Commencement Date and ending eighty-six (86) months thereafter, plus any partial month at the beginning of the Lease Term, as such may be extended as provided in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w:t>
      </w:r>
    </w:p>
    <w:p>
      <w:pPr>
        <w:spacing w:after="0" w:line="118" w:lineRule="exact"/>
        <w:rPr>
          <w:rFonts w:ascii="Times New Roman" w:cs="Times New Roman" w:eastAsia="Times New Roman" w:hAnsi="Times New Roman"/>
          <w:sz w:val="18"/>
          <w:szCs w:val="18"/>
          <w:color w:val="auto"/>
        </w:rPr>
      </w:pPr>
    </w:p>
    <w:p>
      <w:pPr>
        <w:jc w:val="both"/>
        <w:ind w:firstLine="1043"/>
        <w:spacing w:after="0" w:line="259" w:lineRule="auto"/>
        <w:tabs>
          <w:tab w:leader="none" w:pos="133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Lease Year</w:t>
      </w:r>
      <w:r>
        <w:rPr>
          <w:rFonts w:ascii="Times New Roman" w:cs="Times New Roman" w:eastAsia="Times New Roman" w:hAnsi="Times New Roman"/>
          <w:sz w:val="18"/>
          <w:szCs w:val="18"/>
          <w:color w:val="auto"/>
        </w:rPr>
        <w:t>" means a period of twelve (12) consecutive calendar months with respect to each subsequent Lease Year. The first Lease Year will begin on the 1st day of the month following the Commencement Date unless the Commencement Date occurs on the 1st day of a month, in which event the first Lease Year will begin on the Commencement Date.</w:t>
      </w:r>
    </w:p>
    <w:p>
      <w:pPr>
        <w:spacing w:after="0" w:line="135" w:lineRule="exact"/>
        <w:rPr>
          <w:rFonts w:ascii="Times New Roman" w:cs="Times New Roman" w:eastAsia="Times New Roman" w:hAnsi="Times New Roman"/>
          <w:sz w:val="18"/>
          <w:szCs w:val="18"/>
          <w:color w:val="auto"/>
        </w:rPr>
      </w:pPr>
    </w:p>
    <w:p>
      <w:pPr>
        <w:ind w:firstLine="1043"/>
        <w:spacing w:after="0" w:line="278" w:lineRule="auto"/>
        <w:tabs>
          <w:tab w:leader="none" w:pos="1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Market Area</w:t>
      </w:r>
      <w:r>
        <w:rPr>
          <w:rFonts w:ascii="Times New Roman" w:cs="Times New Roman" w:eastAsia="Times New Roman" w:hAnsi="Times New Roman"/>
          <w:sz w:val="18"/>
          <w:szCs w:val="18"/>
          <w:color w:val="auto"/>
        </w:rPr>
        <w:t>" means the North Dallas Tollway office submarket of the Dallas, Texas, metropolitan area, located south of the Sam Rayburn Tollway (formerly S.H. 121) and north of Interstate 635.</w:t>
      </w:r>
    </w:p>
    <w:p>
      <w:pPr>
        <w:spacing w:after="0" w:line="118" w:lineRule="exact"/>
        <w:rPr>
          <w:rFonts w:ascii="Times New Roman" w:cs="Times New Roman" w:eastAsia="Times New Roman" w:hAnsi="Times New Roman"/>
          <w:sz w:val="18"/>
          <w:szCs w:val="18"/>
          <w:color w:val="auto"/>
        </w:rPr>
      </w:pPr>
    </w:p>
    <w:p>
      <w:pPr>
        <w:jc w:val="both"/>
        <w:ind w:firstLine="1043"/>
        <w:spacing w:after="0" w:line="259" w:lineRule="auto"/>
        <w:tabs>
          <w:tab w:leader="none" w:pos="139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Normal Business Holidays</w:t>
      </w:r>
      <w:r>
        <w:rPr>
          <w:rFonts w:ascii="Times New Roman" w:cs="Times New Roman" w:eastAsia="Times New Roman" w:hAnsi="Times New Roman"/>
          <w:sz w:val="18"/>
          <w:szCs w:val="18"/>
          <w:color w:val="auto"/>
        </w:rPr>
        <w:t>" means New Year's Day, Memorial Day, July 4th (Independence Day), Labor Day, Thanksgiving and Christmas Day and any other day which will be recognized by office tenants generally (excluding federal or state banking institutions) as a national holiday on which employees are not required to work.</w:t>
      </w:r>
    </w:p>
    <w:p>
      <w:pPr>
        <w:spacing w:after="0" w:line="135" w:lineRule="exact"/>
        <w:rPr>
          <w:rFonts w:ascii="Times New Roman" w:cs="Times New Roman" w:eastAsia="Times New Roman" w:hAnsi="Times New Roman"/>
          <w:sz w:val="18"/>
          <w:szCs w:val="18"/>
          <w:color w:val="auto"/>
        </w:rPr>
      </w:pPr>
    </w:p>
    <w:p>
      <w:pPr>
        <w:ind w:firstLine="1043"/>
        <w:spacing w:after="0" w:line="278" w:lineRule="auto"/>
        <w:tabs>
          <w:tab w:leader="none" w:pos="138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Normal Business Hours</w:t>
      </w:r>
      <w:r>
        <w:rPr>
          <w:rFonts w:ascii="Times New Roman" w:cs="Times New Roman" w:eastAsia="Times New Roman" w:hAnsi="Times New Roman"/>
          <w:sz w:val="18"/>
          <w:szCs w:val="18"/>
          <w:color w:val="auto"/>
        </w:rPr>
        <w:t>" for the Building means 7:00 a.m. to 6:00 p.m. on Monday through Friday, and 8:00 a.m. to 1:00 p.m. on Saturday, exclusive of Normal Business Holidays.</w:t>
      </w:r>
    </w:p>
    <w:p>
      <w:pPr>
        <w:spacing w:after="0" w:line="118" w:lineRule="exact"/>
        <w:rPr>
          <w:rFonts w:ascii="Times New Roman" w:cs="Times New Roman" w:eastAsia="Times New Roman" w:hAnsi="Times New Roman"/>
          <w:sz w:val="18"/>
          <w:szCs w:val="18"/>
          <w:color w:val="auto"/>
        </w:rPr>
      </w:pPr>
    </w:p>
    <w:p>
      <w:pPr>
        <w:ind w:firstLine="1043"/>
        <w:spacing w:after="0" w:line="278" w:lineRule="auto"/>
        <w:tabs>
          <w:tab w:leader="none" w:pos="139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Office Portion of the Parking Garage</w:t>
      </w:r>
      <w:r>
        <w:rPr>
          <w:rFonts w:ascii="Times New Roman" w:cs="Times New Roman" w:eastAsia="Times New Roman" w:hAnsi="Times New Roman"/>
          <w:sz w:val="18"/>
          <w:szCs w:val="18"/>
          <w:color w:val="auto"/>
        </w:rPr>
        <w:t>" means that portion of the Parking Garage designated by Landlord, from time to time, to be the portion of the Parking Garage dedicated for use by tenants of the Building.</w:t>
      </w:r>
    </w:p>
    <w:p>
      <w:pPr>
        <w:spacing w:after="0" w:line="118" w:lineRule="exact"/>
        <w:rPr>
          <w:rFonts w:ascii="Times New Roman" w:cs="Times New Roman" w:eastAsia="Times New Roman" w:hAnsi="Times New Roman"/>
          <w:sz w:val="18"/>
          <w:szCs w:val="18"/>
          <w:color w:val="auto"/>
        </w:rPr>
      </w:pPr>
    </w:p>
    <w:p>
      <w:pPr>
        <w:ind w:right="20" w:firstLine="1043"/>
        <w:spacing w:after="0" w:line="278" w:lineRule="auto"/>
        <w:tabs>
          <w:tab w:leader="none" w:pos="142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Parking Areas</w:t>
      </w:r>
      <w:r>
        <w:rPr>
          <w:rFonts w:ascii="Times New Roman" w:cs="Times New Roman" w:eastAsia="Times New Roman" w:hAnsi="Times New Roman"/>
          <w:sz w:val="18"/>
          <w:szCs w:val="18"/>
          <w:color w:val="auto"/>
        </w:rPr>
        <w:t>" means those areas located upon the Property designated by Landlord, from time to time, to be parking areas (including, without limitation, the Office Portion of the Parking Garage).</w:t>
      </w:r>
    </w:p>
    <w:p>
      <w:pPr>
        <w:spacing w:after="0" w:line="118" w:lineRule="exact"/>
        <w:rPr>
          <w:rFonts w:ascii="Times New Roman" w:cs="Times New Roman" w:eastAsia="Times New Roman" w:hAnsi="Times New Roman"/>
          <w:sz w:val="18"/>
          <w:szCs w:val="18"/>
          <w:color w:val="auto"/>
        </w:rPr>
      </w:pPr>
    </w:p>
    <w:p>
      <w:pPr>
        <w:ind w:left="1340" w:hanging="297"/>
        <w:spacing w:after="0"/>
        <w:tabs>
          <w:tab w:leader="none" w:pos="1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Parking Agreement</w:t>
      </w:r>
      <w:r>
        <w:rPr>
          <w:rFonts w:ascii="Times New Roman" w:cs="Times New Roman" w:eastAsia="Times New Roman" w:hAnsi="Times New Roman"/>
          <w:sz w:val="18"/>
          <w:szCs w:val="18"/>
          <w:color w:val="auto"/>
        </w:rPr>
        <w:t xml:space="preserve">" means the Parking Agreement attached to this Lease as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and incorporated herein by reference.</w:t>
      </w:r>
    </w:p>
    <w:p>
      <w:pPr>
        <w:spacing w:after="0" w:line="184" w:lineRule="exact"/>
        <w:rPr>
          <w:rFonts w:ascii="Times New Roman" w:cs="Times New Roman" w:eastAsia="Times New Roman" w:hAnsi="Times New Roman"/>
          <w:sz w:val="18"/>
          <w:szCs w:val="18"/>
          <w:color w:val="auto"/>
        </w:rPr>
      </w:pPr>
    </w:p>
    <w:p>
      <w:pPr>
        <w:ind w:firstLine="1043"/>
        <w:spacing w:after="0" w:line="278" w:lineRule="auto"/>
        <w:tabs>
          <w:tab w:leader="none" w:pos="135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Parking Garage</w:t>
      </w:r>
      <w:r>
        <w:rPr>
          <w:rFonts w:ascii="Times New Roman" w:cs="Times New Roman" w:eastAsia="Times New Roman" w:hAnsi="Times New Roman"/>
          <w:sz w:val="18"/>
          <w:szCs w:val="18"/>
          <w:color w:val="auto"/>
        </w:rPr>
        <w:t>" means that certain 6 level parking garage located on the Property and servicing both the Building and the adjacent retail and residential buildings of the Addison Circle development.</w:t>
      </w:r>
    </w:p>
    <w:p>
      <w:pPr>
        <w:spacing w:after="0" w:line="119" w:lineRule="exact"/>
        <w:rPr>
          <w:sz w:val="20"/>
          <w:szCs w:val="20"/>
          <w:color w:val="auto"/>
        </w:rPr>
      </w:pPr>
    </w:p>
    <w:p>
      <w:pPr>
        <w:ind w:right="20" w:firstLine="1043"/>
        <w:spacing w:after="0" w:line="278" w:lineRule="auto"/>
        <w:tabs>
          <w:tab w:leader="none" w:pos="145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Premises</w:t>
      </w:r>
      <w:r>
        <w:rPr>
          <w:rFonts w:ascii="Times New Roman" w:cs="Times New Roman" w:eastAsia="Times New Roman" w:hAnsi="Times New Roman"/>
          <w:sz w:val="18"/>
          <w:szCs w:val="18"/>
          <w:color w:val="auto"/>
        </w:rPr>
        <w:t xml:space="preserve">" means the suite of offices, known as Suite No. 800, located upon the eighth floor of the Building and outlined on the floor plan attached to this Lease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and incorporated herein by reference.</w:t>
      </w:r>
    </w:p>
    <w:p>
      <w:pPr>
        <w:spacing w:after="0" w:line="118" w:lineRule="exact"/>
        <w:rPr>
          <w:rFonts w:ascii="Times New Roman" w:cs="Times New Roman" w:eastAsia="Times New Roman" w:hAnsi="Times New Roman"/>
          <w:sz w:val="18"/>
          <w:szCs w:val="18"/>
          <w:color w:val="auto"/>
        </w:rPr>
      </w:pPr>
    </w:p>
    <w:p>
      <w:pPr>
        <w:ind w:left="1440" w:hanging="397"/>
        <w:spacing w:after="0"/>
        <w:tabs>
          <w:tab w:leader="none" w:pos="14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Property</w:t>
      </w:r>
      <w:r>
        <w:rPr>
          <w:rFonts w:ascii="Times New Roman" w:cs="Times New Roman" w:eastAsia="Times New Roman" w:hAnsi="Times New Roman"/>
          <w:sz w:val="18"/>
          <w:szCs w:val="18"/>
          <w:color w:val="auto"/>
        </w:rPr>
        <w:t xml:space="preserve">" means the land described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and incorporated herein by reference.</w:t>
      </w:r>
    </w:p>
    <w:p>
      <w:pPr>
        <w:spacing w:after="0" w:line="184" w:lineRule="exact"/>
        <w:rPr>
          <w:rFonts w:ascii="Times New Roman" w:cs="Times New Roman" w:eastAsia="Times New Roman" w:hAnsi="Times New Roman"/>
          <w:sz w:val="18"/>
          <w:szCs w:val="18"/>
          <w:color w:val="auto"/>
        </w:rPr>
      </w:pPr>
    </w:p>
    <w:p>
      <w:pPr>
        <w:ind w:right="20" w:firstLine="1043"/>
        <w:spacing w:after="0" w:line="278" w:lineRule="auto"/>
        <w:tabs>
          <w:tab w:leader="none" w:pos="142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Rent</w:t>
      </w:r>
      <w:r>
        <w:rPr>
          <w:rFonts w:ascii="Times New Roman" w:cs="Times New Roman" w:eastAsia="Times New Roman" w:hAnsi="Times New Roman"/>
          <w:sz w:val="18"/>
          <w:szCs w:val="18"/>
          <w:color w:val="auto"/>
        </w:rPr>
        <w:t>" means, collectively, the Base Rental, Additional Rent, the amounts to be paid by Tenant pursuant to the Tenant Improvements Agreement, and all other sums of money becoming due and payable by Tenant to Landlord under this Lease.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LEASE AGREEMENT- 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630555</wp:posOffset>
            </wp:positionV>
            <wp:extent cx="7178040" cy="4000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84">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336" w:right="319" w:bottom="1440" w:gutter="0" w:footer="0" w:header="0"/>
        </w:sectPr>
      </w:pPr>
    </w:p>
    <w:bookmarkStart w:id="157" w:name="page158"/>
    <w:bookmarkEnd w:id="157"/>
    <w:p>
      <w:pPr>
        <w:jc w:val="both"/>
        <w:ind w:firstLine="1043"/>
        <w:spacing w:after="0" w:line="246" w:lineRule="auto"/>
        <w:tabs>
          <w:tab w:leader="none" w:pos="145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Rentable Area</w:t>
      </w:r>
      <w:r>
        <w:rPr>
          <w:rFonts w:ascii="Times New Roman" w:cs="Times New Roman" w:eastAsia="Times New Roman" w:hAnsi="Times New Roman"/>
          <w:sz w:val="18"/>
          <w:szCs w:val="18"/>
          <w:color w:val="auto"/>
        </w:rPr>
        <w:t>" means (1) the "Usable Area" within any leased premises (i.e., the gross area enclosed by the surface of the exterior glass walls, the mid-point of any walls separating portions of the Premises from those of adjacent tenants, the slab penetration line of all walls separating such leased premises from Service Areas and the corridor side of walls separating such leased premises from Common Areas), plus (2) a pro rata part of the Common Areas and Service Areas within the Building, including the area encompassed by any columns or other structural elements which provide support to such leased premises and/or the Building, but excluding permanent vertical penetrations, such as fire stairs, elevator shafts, flues, pipe shafts and vertical ducts. The "Rentable Area" will be calculated in accordance with ANSI Z65.1-2010, Method B, as promulgated by the Building Owners and Managers Association (BOMA).</w:t>
      </w:r>
    </w:p>
    <w:p>
      <w:pPr>
        <w:spacing w:after="0" w:line="148" w:lineRule="exact"/>
        <w:rPr>
          <w:rFonts w:ascii="Times New Roman" w:cs="Times New Roman" w:eastAsia="Times New Roman" w:hAnsi="Times New Roman"/>
          <w:sz w:val="18"/>
          <w:szCs w:val="18"/>
          <w:color w:val="auto"/>
        </w:rPr>
      </w:pPr>
    </w:p>
    <w:p>
      <w:pPr>
        <w:ind w:left="1420" w:hanging="377"/>
        <w:spacing w:after="0"/>
        <w:tabs>
          <w:tab w:leader="none" w:pos="14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Rentable Area of the Building</w:t>
      </w:r>
      <w:r>
        <w:rPr>
          <w:rFonts w:ascii="Times New Roman" w:cs="Times New Roman" w:eastAsia="Times New Roman" w:hAnsi="Times New Roman"/>
          <w:sz w:val="18"/>
          <w:szCs w:val="18"/>
          <w:color w:val="auto"/>
        </w:rPr>
        <w:t>" means (and is hereby deemed to be) 289,340 square feet of Rentable Area.</w:t>
      </w:r>
    </w:p>
    <w:p>
      <w:pPr>
        <w:spacing w:after="0" w:line="184" w:lineRule="exact"/>
        <w:rPr>
          <w:rFonts w:ascii="Times New Roman" w:cs="Times New Roman" w:eastAsia="Times New Roman" w:hAnsi="Times New Roman"/>
          <w:sz w:val="18"/>
          <w:szCs w:val="18"/>
          <w:color w:val="auto"/>
        </w:rPr>
      </w:pPr>
    </w:p>
    <w:p>
      <w:pPr>
        <w:jc w:val="both"/>
        <w:ind w:firstLine="1043"/>
        <w:spacing w:after="0" w:line="259" w:lineRule="auto"/>
        <w:tabs>
          <w:tab w:leader="none" w:pos="138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Rentable Area of the Premises</w:t>
      </w:r>
      <w:r>
        <w:rPr>
          <w:rFonts w:ascii="Times New Roman" w:cs="Times New Roman" w:eastAsia="Times New Roman" w:hAnsi="Times New Roman"/>
          <w:sz w:val="18"/>
          <w:szCs w:val="18"/>
          <w:color w:val="auto"/>
        </w:rPr>
        <w:t>" means (and is hereby deemed to be) 30,913 square feet of Rentable Area, irrespective of whether the same should be more or less as a result of variations resulting from later re measurement or actual construction and completion of the Premises for occupancy.</w:t>
      </w:r>
    </w:p>
    <w:p>
      <w:pPr>
        <w:spacing w:after="0" w:line="135" w:lineRule="exact"/>
        <w:rPr>
          <w:rFonts w:ascii="Times New Roman" w:cs="Times New Roman" w:eastAsia="Times New Roman" w:hAnsi="Times New Roman"/>
          <w:sz w:val="18"/>
          <w:szCs w:val="18"/>
          <w:color w:val="auto"/>
        </w:rPr>
      </w:pPr>
    </w:p>
    <w:p>
      <w:pPr>
        <w:jc w:val="both"/>
        <w:ind w:firstLine="1043"/>
        <w:spacing w:after="0" w:line="259" w:lineRule="auto"/>
        <w:tabs>
          <w:tab w:leader="none" w:pos="147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Rules and Regulations</w:t>
      </w:r>
      <w:r>
        <w:rPr>
          <w:rFonts w:ascii="Times New Roman" w:cs="Times New Roman" w:eastAsia="Times New Roman" w:hAnsi="Times New Roman"/>
          <w:sz w:val="18"/>
          <w:szCs w:val="18"/>
          <w:color w:val="auto"/>
        </w:rPr>
        <w:t xml:space="preserve">" means the rules and regulations for the Complex set forth on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attached hereto and incorporated herein by reference, and the rules and regulations for the Parking Areas set forth in Section 5 of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and any rules and regulations that be adopted or altered by Landlord in accordance with Section 26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135" w:lineRule="exact"/>
        <w:rPr>
          <w:rFonts w:ascii="Times New Roman" w:cs="Times New Roman" w:eastAsia="Times New Roman" w:hAnsi="Times New Roman"/>
          <w:sz w:val="18"/>
          <w:szCs w:val="18"/>
          <w:color w:val="auto"/>
        </w:rPr>
      </w:pPr>
    </w:p>
    <w:p>
      <w:pPr>
        <w:ind w:left="1440" w:hanging="397"/>
        <w:spacing w:after="0"/>
        <w:tabs>
          <w:tab w:leader="none" w:pos="14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Deposit</w:t>
      </w:r>
      <w:r>
        <w:rPr>
          <w:rFonts w:ascii="Times New Roman" w:cs="Times New Roman" w:eastAsia="Times New Roman" w:hAnsi="Times New Roman"/>
          <w:sz w:val="18"/>
          <w:szCs w:val="18"/>
          <w:color w:val="auto"/>
        </w:rPr>
        <w:t xml:space="preserve">" means the sum of $93,511.83, such funds to be used by Landlord as described in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below.</w:t>
      </w:r>
    </w:p>
    <w:p>
      <w:pPr>
        <w:spacing w:after="0" w:line="184" w:lineRule="exact"/>
        <w:rPr>
          <w:rFonts w:ascii="Times New Roman" w:cs="Times New Roman" w:eastAsia="Times New Roman" w:hAnsi="Times New Roman"/>
          <w:sz w:val="18"/>
          <w:szCs w:val="18"/>
          <w:color w:val="auto"/>
        </w:rPr>
      </w:pPr>
    </w:p>
    <w:p>
      <w:pPr>
        <w:jc w:val="both"/>
        <w:ind w:firstLine="1043"/>
        <w:spacing w:after="0" w:line="259" w:lineRule="auto"/>
        <w:tabs>
          <w:tab w:leader="none" w:pos="136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Service Areas</w:t>
      </w:r>
      <w:r>
        <w:rPr>
          <w:rFonts w:ascii="Times New Roman" w:cs="Times New Roman" w:eastAsia="Times New Roman" w:hAnsi="Times New Roman"/>
          <w:sz w:val="18"/>
          <w:szCs w:val="18"/>
          <w:color w:val="auto"/>
        </w:rPr>
        <w:t>" means those areas, spaces, facilities and equipment serving the Building (whether or not located within the Building), but to which Tenant and other occupants of the Building will not have access, including, but not limited to, service elevators, mechanical, telephone, electrical, janitorial and similar rooms and air and water refrigeration equipment.</w:t>
      </w:r>
    </w:p>
    <w:p>
      <w:pPr>
        <w:spacing w:after="0" w:line="135" w:lineRule="exact"/>
        <w:rPr>
          <w:rFonts w:ascii="Times New Roman" w:cs="Times New Roman" w:eastAsia="Times New Roman" w:hAnsi="Times New Roman"/>
          <w:sz w:val="18"/>
          <w:szCs w:val="18"/>
          <w:color w:val="auto"/>
        </w:rPr>
      </w:pPr>
    </w:p>
    <w:p>
      <w:pPr>
        <w:ind w:left="1360" w:hanging="317"/>
        <w:spacing w:after="0"/>
        <w:tabs>
          <w:tab w:leader="none" w:pos="13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Sublease</w:t>
      </w:r>
      <w:r>
        <w:rPr>
          <w:rFonts w:ascii="Times New Roman" w:cs="Times New Roman" w:eastAsia="Times New Roman" w:hAnsi="Times New Roman"/>
          <w:sz w:val="18"/>
          <w:szCs w:val="18"/>
          <w:color w:val="auto"/>
        </w:rPr>
        <w:t xml:space="preserve">" and "Subleased Space" have the meanings assigned to such terms in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of this Lease.</w:t>
      </w:r>
    </w:p>
    <w:p>
      <w:pPr>
        <w:spacing w:after="0" w:line="184" w:lineRule="exact"/>
        <w:rPr>
          <w:rFonts w:ascii="Times New Roman" w:cs="Times New Roman" w:eastAsia="Times New Roman" w:hAnsi="Times New Roman"/>
          <w:sz w:val="18"/>
          <w:szCs w:val="18"/>
          <w:color w:val="auto"/>
        </w:rPr>
      </w:pPr>
    </w:p>
    <w:p>
      <w:pPr>
        <w:jc w:val="both"/>
        <w:ind w:firstLine="1043"/>
        <w:spacing w:after="0" w:line="247" w:lineRule="auto"/>
        <w:tabs>
          <w:tab w:leader="none" w:pos="145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all taxes, assessments and governmental charges, whether federal, state, county or municipal, and whether they be by taxing districts or authorities presently taxing the Complex or by others, subsequently created or otherwise and any other taxes, association dues and assessments attributable to the Complex or its operation, including taxes on Landlord attributable to revenues from the operation of the Complex, and fees and expenses of attorneys and ad valorem tax consultants which relate directly to the protest or reduction of such taxes, assessments and other governmental charges in respect of the Complex; excluding, however, federal and state income taxes, franchise taxes, inheritance, estate, gift, corporation, net profits or any similar tax for which Landlord becomes liable and/or which may be imposed upon or assessed against Landlord.</w:t>
      </w:r>
    </w:p>
    <w:p>
      <w:pPr>
        <w:spacing w:after="0" w:line="148" w:lineRule="exact"/>
        <w:rPr>
          <w:rFonts w:ascii="Times New Roman" w:cs="Times New Roman" w:eastAsia="Times New Roman" w:hAnsi="Times New Roman"/>
          <w:sz w:val="18"/>
          <w:szCs w:val="18"/>
          <w:color w:val="auto"/>
        </w:rPr>
      </w:pPr>
    </w:p>
    <w:p>
      <w:pPr>
        <w:ind w:right="20" w:firstLine="1043"/>
        <w:spacing w:after="0" w:line="278" w:lineRule="auto"/>
        <w:tabs>
          <w:tab w:leader="none" w:pos="136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Tenant Improvements Agreement</w:t>
      </w:r>
      <w:r>
        <w:rPr>
          <w:rFonts w:ascii="Times New Roman" w:cs="Times New Roman" w:eastAsia="Times New Roman" w:hAnsi="Times New Roman"/>
          <w:sz w:val="18"/>
          <w:szCs w:val="18"/>
          <w:color w:val="auto"/>
        </w:rPr>
        <w:t xml:space="preserve">" means the Tenant Improvements Agreement attached to this Lease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and incorporated herein by reference.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LEASE AGREEMENT- 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630555</wp:posOffset>
            </wp:positionV>
            <wp:extent cx="7178040" cy="4000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85">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336" w:right="319" w:bottom="1440" w:gutter="0" w:footer="0" w:header="0"/>
        </w:sectPr>
      </w:pPr>
    </w:p>
    <w:bookmarkStart w:id="158" w:name="page159"/>
    <w:bookmarkEnd w:id="158"/>
    <w:p>
      <w:pPr>
        <w:ind w:left="1540" w:hanging="497"/>
        <w:spacing w:after="0"/>
        <w:tabs>
          <w:tab w:leader="none" w:pos="1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Tenant Related Party</w:t>
      </w:r>
      <w:r>
        <w:rPr>
          <w:rFonts w:ascii="Times New Roman" w:cs="Times New Roman" w:eastAsia="Times New Roman" w:hAnsi="Times New Roman"/>
          <w:sz w:val="18"/>
          <w:szCs w:val="18"/>
          <w:color w:val="auto"/>
        </w:rPr>
        <w:t>" means any officer, director, partner, employee, agent or contractor of Tenant.</w:t>
      </w:r>
    </w:p>
    <w:p>
      <w:pPr>
        <w:spacing w:after="0" w:line="184" w:lineRule="exact"/>
        <w:rPr>
          <w:rFonts w:ascii="Times New Roman" w:cs="Times New Roman" w:eastAsia="Times New Roman" w:hAnsi="Times New Roman"/>
          <w:sz w:val="18"/>
          <w:szCs w:val="18"/>
          <w:color w:val="auto"/>
        </w:rPr>
      </w:pPr>
    </w:p>
    <w:p>
      <w:pPr>
        <w:ind w:left="1440" w:hanging="397"/>
        <w:spacing w:after="0"/>
        <w:tabs>
          <w:tab w:leader="none" w:pos="14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Tenant's Share</w:t>
      </w:r>
      <w:r>
        <w:rPr>
          <w:rFonts w:ascii="Times New Roman" w:cs="Times New Roman" w:eastAsia="Times New Roman" w:hAnsi="Times New Roman"/>
          <w:sz w:val="18"/>
          <w:szCs w:val="18"/>
          <w:color w:val="auto"/>
        </w:rPr>
        <w:t>" means 10.684%, which is the proportion which the Rentable Area of the Premises bears to the Rentable Area of the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Building.</w:t>
      </w:r>
    </w:p>
    <w:p>
      <w:pPr>
        <w:spacing w:after="0" w:line="164" w:lineRule="exact"/>
        <w:rPr>
          <w:sz w:val="20"/>
          <w:szCs w:val="20"/>
          <w:color w:val="auto"/>
        </w:rPr>
      </w:pPr>
    </w:p>
    <w:p>
      <w:pPr>
        <w:jc w:val="both"/>
        <w:ind w:firstLine="743"/>
        <w:spacing w:after="0" w:line="252" w:lineRule="auto"/>
        <w:tabs>
          <w:tab w:leader="none" w:pos="101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Lease Grant</w:t>
      </w:r>
      <w:r>
        <w:rPr>
          <w:rFonts w:ascii="Times New Roman" w:cs="Times New Roman" w:eastAsia="Times New Roman" w:hAnsi="Times New Roman"/>
          <w:sz w:val="18"/>
          <w:szCs w:val="18"/>
          <w:color w:val="auto"/>
        </w:rPr>
        <w:t>. Upon the terms of this Lease, Landlord leases to Tenant, and Tenant leases from Landlord, the Premises, which shall be delivered in as-is condition as of the Effective Date, and the non-exclusive right to use the Common Areas, subject to all of the terms and conditions of this Lease (including the Rules and Regulations). The Premises is currently vacant and Landlord will deliver possession of the Premises to Tenant upon the full execution of this Lease. The Premises are being leased by Landlord to Tenant in its "as-is" condition, subject to the terms of this Lease.</w:t>
      </w:r>
    </w:p>
    <w:p>
      <w:pPr>
        <w:spacing w:after="0" w:line="143" w:lineRule="exact"/>
        <w:rPr>
          <w:rFonts w:ascii="Times New Roman" w:cs="Times New Roman" w:eastAsia="Times New Roman" w:hAnsi="Times New Roman"/>
          <w:sz w:val="18"/>
          <w:szCs w:val="18"/>
          <w:color w:val="auto"/>
        </w:rPr>
      </w:pPr>
    </w:p>
    <w:p>
      <w:pPr>
        <w:ind w:left="980" w:hanging="237"/>
        <w:spacing w:after="0"/>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Lease Term; Acceptance of Premises</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jc w:val="both"/>
        <w:ind w:firstLine="1043"/>
        <w:spacing w:after="0" w:line="259" w:lineRule="auto"/>
        <w:tabs>
          <w:tab w:leader="none" w:pos="1391"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Lease will continue in force during a period beginning on the Effective Date of this Lease (though the Lease Term will not commence and no Rent will accrue until the Commencement Date) and ending on the expiration of the Lease Term, unless this Lease is terminated early (pursuant to a right to so terminate specifically set forth in this Lease) or extended to a later date pursuant to any other term or provision hereof.</w:t>
      </w:r>
    </w:p>
    <w:p>
      <w:pPr>
        <w:spacing w:after="0" w:line="135" w:lineRule="exact"/>
        <w:rPr>
          <w:rFonts w:ascii="Times New Roman" w:cs="Times New Roman" w:eastAsia="Times New Roman" w:hAnsi="Times New Roman"/>
          <w:sz w:val="18"/>
          <w:szCs w:val="18"/>
          <w:color w:val="auto"/>
        </w:rPr>
      </w:pPr>
    </w:p>
    <w:p>
      <w:pPr>
        <w:ind w:firstLine="1043"/>
        <w:spacing w:after="0" w:line="278" w:lineRule="auto"/>
        <w:tabs>
          <w:tab w:leader="none" w:pos="1388"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about the Commencement Date, Landlord and Tenant will execute an Acceptance of Premises Memorandum confirming the Commencement Date and the acceptance by Tenant of the Premises.</w:t>
      </w:r>
    </w:p>
    <w:p>
      <w:pPr>
        <w:spacing w:after="0" w:line="118" w:lineRule="exact"/>
        <w:rPr>
          <w:rFonts w:ascii="Times New Roman" w:cs="Times New Roman" w:eastAsia="Times New Roman" w:hAnsi="Times New Roman"/>
          <w:sz w:val="18"/>
          <w:szCs w:val="18"/>
          <w:color w:val="auto"/>
        </w:rPr>
      </w:pPr>
    </w:p>
    <w:p>
      <w:pPr>
        <w:jc w:val="both"/>
        <w:ind w:firstLine="743"/>
        <w:spacing w:after="0" w:line="245" w:lineRule="auto"/>
        <w:tabs>
          <w:tab w:leader="none" w:pos="99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w:t>
      </w:r>
      <w:r>
        <w:rPr>
          <w:rFonts w:ascii="Times New Roman" w:cs="Times New Roman" w:eastAsia="Times New Roman" w:hAnsi="Times New Roman"/>
          <w:sz w:val="18"/>
          <w:szCs w:val="18"/>
          <w:color w:val="auto"/>
        </w:rPr>
        <w:t>. The Premises will be used solely for general office, administrative and other lawful purposes consistent with similar types of tenant users in office buildings, specifically including online motor vehicle/auto sales, and for no other purpose; provided, however, in no event may Tenant conduct vehicle retail sales or display vehicles from the Premises or Common Areas. Tenant will (i) lock the doors to the Premises and take other reasonable steps to secure the Premises and the personal property of all Tenant Related Parties and any of Tenant's transferees, contractors or licensees in the Common Areas and the Complex, from unlawful intrusion, theft, fire and other hazards; (ii) keep and maintain in good working order all security and safety devices installed in the Premises by or for the benefit of Tenant (such as locks, smoke detectors and burglar alarms); and (iii) cooperate with Landlord and other tenants in the Building on Building safety matters. Tenant acknowledges that Landlord is not a guarantor of the security or safety of Tenant, its employees and invitees or their property and that such security and safety matters are the responsibility of Tenant and the local law enforcement authorities.</w:t>
      </w:r>
    </w:p>
    <w:p>
      <w:pPr>
        <w:spacing w:after="0" w:line="357" w:lineRule="exact"/>
        <w:rPr>
          <w:rFonts w:ascii="Times New Roman" w:cs="Times New Roman" w:eastAsia="Times New Roman" w:hAnsi="Times New Roman"/>
          <w:sz w:val="18"/>
          <w:szCs w:val="18"/>
          <w:color w:val="auto"/>
        </w:rPr>
      </w:pPr>
    </w:p>
    <w:p>
      <w:pPr>
        <w:jc w:val="both"/>
        <w:ind w:firstLine="743"/>
        <w:spacing w:after="0" w:line="247" w:lineRule="auto"/>
        <w:tabs>
          <w:tab w:leader="none" w:pos="100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Base Rental</w:t>
      </w:r>
      <w:r>
        <w:rPr>
          <w:rFonts w:ascii="Times New Roman" w:cs="Times New Roman" w:eastAsia="Times New Roman" w:hAnsi="Times New Roman"/>
          <w:sz w:val="18"/>
          <w:szCs w:val="18"/>
          <w:color w:val="auto"/>
        </w:rPr>
        <w:t>. Except as otherwise expressly provided in this Lease, the Base Rental will be due and payable to Landlord in advance in monthly installments on the first (1st) day of each calendar month during the Lease Term, at Landlord's address as provided on the signature page of this Lease or to such other person or at such other address as Landlord may from time to time designate in writing. Landlord may, at its option, bill Tenant for Base Rental, but no delay or failure by Landlord in providing such a bill shall relieve Tenant from the obligation to pay the Base Rental on the first (1st) day of each month as provided herein. Unless otherwise agreed by Landlord, all payments will be made either (i) via electronic funds transfer ("</w:t>
      </w:r>
      <w:r>
        <w:rPr>
          <w:rFonts w:ascii="Times New Roman" w:cs="Times New Roman" w:eastAsia="Times New Roman" w:hAnsi="Times New Roman"/>
          <w:sz w:val="18"/>
          <w:szCs w:val="18"/>
          <w:u w:val="single" w:color="auto"/>
          <w:color w:val="auto"/>
        </w:rPr>
        <w:t>ETF</w:t>
      </w:r>
      <w:r>
        <w:rPr>
          <w:rFonts w:ascii="Times New Roman" w:cs="Times New Roman" w:eastAsia="Times New Roman" w:hAnsi="Times New Roman"/>
          <w:sz w:val="18"/>
          <w:szCs w:val="18"/>
          <w:color w:val="auto"/>
        </w:rPr>
        <w:t>") pursuant to the ETF</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LEASE AGREEMENT- 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630555</wp:posOffset>
            </wp:positionV>
            <wp:extent cx="7178040" cy="4000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86">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336" w:right="319" w:bottom="1440" w:gutter="0" w:footer="0" w:header="0"/>
        </w:sectPr>
      </w:pPr>
    </w:p>
    <w:bookmarkStart w:id="159" w:name="page160"/>
    <w:bookmarkEnd w:id="159"/>
    <w:p>
      <w:pPr>
        <w:jc w:val="both"/>
        <w:spacing w:after="0" w:line="244" w:lineRule="auto"/>
        <w:rPr>
          <w:sz w:val="20"/>
          <w:szCs w:val="20"/>
          <w:color w:val="auto"/>
        </w:rPr>
      </w:pPr>
      <w:r>
        <w:rPr>
          <w:rFonts w:ascii="Times New Roman" w:cs="Times New Roman" w:eastAsia="Times New Roman" w:hAnsi="Times New Roman"/>
          <w:sz w:val="18"/>
          <w:szCs w:val="18"/>
          <w:color w:val="auto"/>
        </w:rPr>
        <w:t>account/routing information set forth on the signature page to this Lease (or such other ETF account/routing information as Landlord may designate by notice to Tenant from time to time) or (ii) in the form of a check, provided that payment by check will not be deemed made if the check is not duly honored with good funds. The Base Rental will be paid without notice, demand, abatement, deduction or offset, except as otherwise expressly provided in this Lease. If the Lease Term commences on other than the first (1st) day of a calendar month, then the Base Rental for such partial month will be prorated and paid at the rental rate applicable during the first full month of the Lease Term. Any such prorated Base Rental, plus the Base Rental for the first full month of the Lease Term, is being deposited with Landlord by Tenant contemporaneously with the delivery by Tenant to Landlord of an executed copy of this Lease and will be applied to the payment of Base Rental by Landlord for the appropriate periods without any further notice by Tenant. If the Lease Term commences or ends at any time other than the first day of a calendar year, the Tenant's Share of Basic Operating Costs shall be prorated for such year according to the number of days of the Lease Term in such year.</w:t>
      </w:r>
    </w:p>
    <w:p>
      <w:pPr>
        <w:spacing w:after="0" w:line="154" w:lineRule="exact"/>
        <w:rPr>
          <w:sz w:val="20"/>
          <w:szCs w:val="20"/>
          <w:color w:val="auto"/>
        </w:rPr>
      </w:pPr>
    </w:p>
    <w:p>
      <w:pPr>
        <w:ind w:left="980" w:hanging="237"/>
        <w:spacing w:after="0"/>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Electricity Costs; Basic Operating Costs; Taxes</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jc w:val="both"/>
        <w:ind w:firstLine="1043"/>
        <w:spacing w:after="0" w:line="242" w:lineRule="auto"/>
        <w:tabs>
          <w:tab w:leader="none" w:pos="1409"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floor of the Building is separately metered and Tenant's electricity costs will be determined based upon (i) the electricity consumed on each Building Floor during Normal Business Hours (and if the Premises ever includes less than a full Building Floor, such amount will be "grossed up" assuming 100% occupancy of each such Building Floor); and (ii) the electricity provided to the Common Areas within the Building and the remainder of the Complex. If Tenant does not occupy the entirety of any Building Floor, electricity costs will be apportioned to Tenant based upon the ratio (expressed as a percentage) of the Rentable Area of the Premises on such Building Floor to the total occupied Rentable Area of such Building Floor (such apportionment being referred to herein as Tenant's "</w:t>
      </w:r>
      <w:r>
        <w:rPr>
          <w:rFonts w:ascii="Times New Roman" w:cs="Times New Roman" w:eastAsia="Times New Roman" w:hAnsi="Times New Roman"/>
          <w:sz w:val="18"/>
          <w:szCs w:val="18"/>
          <w:u w:val="single" w:color="auto"/>
          <w:color w:val="auto"/>
        </w:rPr>
        <w:t>Allocated Share</w:t>
      </w:r>
      <w:r>
        <w:rPr>
          <w:rFonts w:ascii="Times New Roman" w:cs="Times New Roman" w:eastAsia="Times New Roman" w:hAnsi="Times New Roman"/>
          <w:sz w:val="18"/>
          <w:szCs w:val="18"/>
          <w:color w:val="auto"/>
        </w:rPr>
        <w:t xml:space="preserve">"). So, by way of example only, if Tenant occupies 10,000 square feet of the Rentable Area of any Building Floor (assuming for ease of calculation that such Building Floor contains 30,000 square feet of Rentable Area) and such Building Floor is fully occupied, Tenant's Allocated Share will be 30% and Tenant will pay Tenant's Allocated Share of the electricity consumed on such Building Floor during Normal Business Hours. However, if Tenant occupies 10,000 square feet of the Rentable Area of any Building Floor (assuming for ease of calculation that such Building Floor contains 30,000 square feet of Rentable Area) and Tenant is the only occupant of such Building Floor, Tenant's Allocated Share will be 100% and Tenant will pay Tenant's Allocated Share of the electricity consumed on such Building Floor. If Landlord reasonably determines that Tenant will require, or is consuming, special lighting in excess of Building Standard or Miscellaneous Power (as defined in </w:t>
      </w:r>
      <w:r>
        <w:rPr>
          <w:rFonts w:ascii="Times New Roman" w:cs="Times New Roman" w:eastAsia="Times New Roman" w:hAnsi="Times New Roman"/>
          <w:sz w:val="18"/>
          <w:szCs w:val="18"/>
          <w:u w:val="single" w:color="auto"/>
          <w:color w:val="auto"/>
        </w:rPr>
        <w:t>Section 9(a)(6)</w:t>
      </w:r>
      <w:r>
        <w:rPr>
          <w:rFonts w:ascii="Times New Roman" w:cs="Times New Roman" w:eastAsia="Times New Roman" w:hAnsi="Times New Roman"/>
          <w:sz w:val="18"/>
          <w:szCs w:val="18"/>
          <w:color w:val="auto"/>
        </w:rPr>
        <w:t xml:space="preserve"> below) in excess of the Building Standard Electrical Design Load (as defined in </w:t>
      </w:r>
      <w:r>
        <w:rPr>
          <w:rFonts w:ascii="Times New Roman" w:cs="Times New Roman" w:eastAsia="Times New Roman" w:hAnsi="Times New Roman"/>
          <w:sz w:val="18"/>
          <w:szCs w:val="18"/>
          <w:u w:val="single" w:color="auto"/>
          <w:color w:val="auto"/>
        </w:rPr>
        <w:t>Section 9(a)(6)</w:t>
      </w:r>
      <w:r>
        <w:rPr>
          <w:rFonts w:ascii="Times New Roman" w:cs="Times New Roman" w:eastAsia="Times New Roman" w:hAnsi="Times New Roman"/>
          <w:sz w:val="18"/>
          <w:szCs w:val="18"/>
          <w:color w:val="auto"/>
        </w:rPr>
        <w:t xml:space="preserve"> below), (i) Tenant will be required to reimburse Landlord for the cost of any additional equipment, such as transformers, risers and supplemental air conditioning equipment, that Landlord's engineer reasonably deems necessary to accommodate such above standard consumption (without implying any obligation on the part of Landlord to accommodate such use), and (ii) Landlord may install separate sub-meters to all or a portion of the Premises, at Tenant's cost, and require all charges for the utilities separately sub-metered to the Premises to be billed to and paid directly by Tenant. If the Premises on any Building Floor is separately sub-metered, Landlord will make a corresponding adjustment to Tenant's electricity costs for such Building Floor (so that Tenant's electricity costs for such Building Floor will include only the cost of electricity for the portion of such Building Floor that is not sub-metered). Other than as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LEASE AGREEMENT- 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630555</wp:posOffset>
            </wp:positionV>
            <wp:extent cx="7178040" cy="4000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87">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336" w:right="319" w:bottom="1440" w:gutter="0" w:footer="0" w:header="0"/>
        </w:sectPr>
      </w:pPr>
    </w:p>
    <w:bookmarkStart w:id="160" w:name="page161"/>
    <w:bookmarkEnd w:id="160"/>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specifically addressed in this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Landlord agrees to provide Tenant written notice of any decision or determination of Landlord to change the manner of billing for Tenant's electricity charges or of any action related to Tenant's consumption of electricity in excess of Building Standard, as addressed in this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promptly after such decision or determination by Landlord is made.</w:t>
      </w:r>
    </w:p>
    <w:p>
      <w:pPr>
        <w:spacing w:after="0" w:line="135" w:lineRule="exact"/>
        <w:rPr>
          <w:sz w:val="20"/>
          <w:szCs w:val="20"/>
          <w:color w:val="auto"/>
        </w:rPr>
      </w:pPr>
    </w:p>
    <w:p>
      <w:pPr>
        <w:jc w:val="both"/>
        <w:ind w:firstLine="1043"/>
        <w:spacing w:after="0" w:line="244" w:lineRule="auto"/>
        <w:tabs>
          <w:tab w:leader="none" w:pos="139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Base Rental, Tenant will pay to Landlord, without any offset or deduction, Tenant's Share of Basic Operating Costs incurred by Landlord during any full or partial calendar year during the Lease Term. Prior to the commencement of each calendar year during the Lease Term beginning with calendar year 2023, Landlord may, at its option, provide Tenant with a then current estimate of Basic Operating Costs for the upcoming calendar year, and thereafter Tenant will pay, as additional rental, in monthly installments, the estimated Tenant's Share of Basic Operating Costs for the calendar year (or partial calendar year) in question. The failure of Landlord to estimate Basic Operating Costs and bill Tenant on monthly or annual basis shall in no event relieve Tenant of its obligation to pay Tenant's Share of Basic Operating Costs. In the event the Building is not at least ninety-five percent (95%) occupied during any year of the Lease Term (including the calendar year in which the Lease Term commences), the Basic Operating Costs shall be "grossed up" by increasing the variable components of Basic Operating Costs to the amount which Landlord projects would have been incurred had the Building been ninety-five percent (95%) occupied during such year, such amount to be annualized for any partial year, except that Taxes will be based upon annual assessments and will not be "grossed up" as other Basic Operating Costs.</w:t>
      </w:r>
    </w:p>
    <w:p>
      <w:pPr>
        <w:spacing w:after="0" w:line="150" w:lineRule="exact"/>
        <w:rPr>
          <w:rFonts w:ascii="Times New Roman" w:cs="Times New Roman" w:eastAsia="Times New Roman" w:hAnsi="Times New Roman"/>
          <w:sz w:val="18"/>
          <w:szCs w:val="18"/>
          <w:color w:val="auto"/>
        </w:rPr>
      </w:pPr>
    </w:p>
    <w:p>
      <w:pPr>
        <w:ind w:left="1340" w:hanging="297"/>
        <w:spacing w:after="0"/>
        <w:tabs>
          <w:tab w:leader="none" w:pos="1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w:t>
      </w:r>
    </w:p>
    <w:p>
      <w:pPr>
        <w:spacing w:after="0" w:line="184" w:lineRule="exact"/>
        <w:rPr>
          <w:rFonts w:ascii="Times New Roman" w:cs="Times New Roman" w:eastAsia="Times New Roman" w:hAnsi="Times New Roman"/>
          <w:sz w:val="18"/>
          <w:szCs w:val="18"/>
          <w:color w:val="auto"/>
        </w:rPr>
      </w:pPr>
    </w:p>
    <w:p>
      <w:pPr>
        <w:jc w:val="both"/>
        <w:ind w:firstLine="1043"/>
        <w:spacing w:after="0" w:line="243" w:lineRule="auto"/>
        <w:tabs>
          <w:tab w:leader="none" w:pos="138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before April 1 of each calendar year during Tenant's occupancy (including the calendar year following the year in which the Lease Term is terminated), or as soon thereafter as possible, Landlord will furnish to Tenant the following statements (together, the "</w:t>
      </w:r>
      <w:r>
        <w:rPr>
          <w:rFonts w:ascii="Times New Roman" w:cs="Times New Roman" w:eastAsia="Times New Roman" w:hAnsi="Times New Roman"/>
          <w:sz w:val="18"/>
          <w:szCs w:val="18"/>
          <w:u w:val="single" w:color="auto"/>
          <w:color w:val="auto"/>
        </w:rPr>
        <w:t>Statement</w:t>
      </w:r>
      <w:r>
        <w:rPr>
          <w:rFonts w:ascii="Times New Roman" w:cs="Times New Roman" w:eastAsia="Times New Roman" w:hAnsi="Times New Roman"/>
          <w:sz w:val="18"/>
          <w:szCs w:val="18"/>
          <w:color w:val="auto"/>
        </w:rPr>
        <w:t>"): (i) a reasonably detailed statement showing Tenant's Allocated Share of costs of electricity for each Building Floor and Tenant's Share of costs of electricity for the Common Areas of the Building and Complex for the prior calendar year (or partial year, if the Commencement Date is on a date other than the first day of a calendar year), and (ii) a statement of Tenant's Share of Basic Operating Costs for the prior calendar year. In the event of an underpayment by Tenant because of any difference between (i) the Estimated Additional Rent for such calendar year collected by Landlord from Tenant, and (ii) the actual amount of Additional Rent for such calendar year, Tenant will pay to Landlord the amount of the underpayment within thirty (30) days after receipt of the Statement. In the event of an overpayment by Tenant because of any difference between (y) the Estimated Additional Rent collected by Landlord from Tenant for such calendar year, and (z) the actual amount of Additional Rent for such calendar year, Landlord will reimburse Tenant in the amount of such overpayment within thirty (30) days after receipt of the Statement. Any overpayment by Tenant during the last year of the then existing Lease Term will be refunded by Landlord to Tenant within thirty (30) days following the expiration of such Lease Term. Any underpayment by Tenant will be paid to Landlord within thirty (30) days after receipt by Tenant of an invoice therefor. The obligation to refund underpayments and overpayments will survive the expiration of this Lease.</w:t>
      </w:r>
    </w:p>
    <w:p>
      <w:pPr>
        <w:spacing w:after="0" w:line="151" w:lineRule="exact"/>
        <w:rPr>
          <w:rFonts w:ascii="Times New Roman" w:cs="Times New Roman" w:eastAsia="Times New Roman" w:hAnsi="Times New Roman"/>
          <w:sz w:val="18"/>
          <w:szCs w:val="18"/>
          <w:color w:val="auto"/>
        </w:rPr>
      </w:pPr>
    </w:p>
    <w:p>
      <w:pPr>
        <w:ind w:right="20" w:firstLine="1043"/>
        <w:spacing w:after="0" w:line="278" w:lineRule="auto"/>
        <w:tabs>
          <w:tab w:leader="none" w:pos="135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Basic Operating Costs</w:t>
      </w:r>
      <w:r>
        <w:rPr>
          <w:rFonts w:ascii="Times New Roman" w:cs="Times New Roman" w:eastAsia="Times New Roman" w:hAnsi="Times New Roman"/>
          <w:sz w:val="18"/>
          <w:szCs w:val="18"/>
          <w:color w:val="auto"/>
        </w:rPr>
        <w:t xml:space="preserve">" means all direct and, to the extent provided in </w:t>
      </w:r>
      <w:r>
        <w:rPr>
          <w:rFonts w:ascii="Times New Roman" w:cs="Times New Roman" w:eastAsia="Times New Roman" w:hAnsi="Times New Roman"/>
          <w:sz w:val="18"/>
          <w:szCs w:val="18"/>
          <w:u w:val="single" w:color="auto"/>
          <w:color w:val="auto"/>
        </w:rPr>
        <w:t>Section 6(e)(1)</w:t>
      </w:r>
      <w:r>
        <w:rPr>
          <w:rFonts w:ascii="Times New Roman" w:cs="Times New Roman" w:eastAsia="Times New Roman" w:hAnsi="Times New Roman"/>
          <w:sz w:val="18"/>
          <w:szCs w:val="18"/>
          <w:color w:val="auto"/>
        </w:rPr>
        <w:t>, indirect costs and expenses incurred in each calendar year of operating, maintaining, repairing,</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LEASE AGREEMENT- 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630555</wp:posOffset>
            </wp:positionV>
            <wp:extent cx="7178040" cy="4000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88">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336" w:right="31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color w:val="auto"/>
        </w:rPr>
        <w:t>managing and, to the extent specifically provided below, owning the Complex, including, without limitation, the following:</w:t>
      </w:r>
    </w:p>
    <w:p>
      <w:pPr>
        <w:spacing w:after="0" w:line="184" w:lineRule="exact"/>
        <w:rPr>
          <w:sz w:val="20"/>
          <w:szCs w:val="20"/>
          <w:color w:val="auto"/>
        </w:rPr>
      </w:pPr>
    </w:p>
    <w:p>
      <w:pPr>
        <w:jc w:val="both"/>
        <w:ind w:firstLine="1494"/>
        <w:spacing w:after="0" w:line="247" w:lineRule="auto"/>
        <w:tabs>
          <w:tab w:leader="none" w:pos="185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Wages, salaries and other compensation of all employees engaged in the direct operation and maintenance of the Complex, employer's social security taxes, unemployment taxes or insurance and any other taxes which may be levied on such wages, salaries and other compensation, and the cost of medical, disability (including worker's compensation) and life insurance and pension or retirement benefits for such employees and costs of uniforms, training and similar, customary employee benefits; provided, however, with respect to employees engaged in the operation and maintenance of other buildings owned by Landlord (or an affiliate of Landlord), other than the Complex, such items will be fairly apportioned among all such buildings;</w:t>
      </w:r>
    </w:p>
    <w:p>
      <w:pPr>
        <w:spacing w:after="0" w:line="148" w:lineRule="exact"/>
        <w:rPr>
          <w:rFonts w:ascii="Times New Roman" w:cs="Times New Roman" w:eastAsia="Times New Roman" w:hAnsi="Times New Roman"/>
          <w:sz w:val="18"/>
          <w:szCs w:val="18"/>
          <w:color w:val="auto"/>
        </w:rPr>
      </w:pPr>
    </w:p>
    <w:p>
      <w:pPr>
        <w:ind w:right="20" w:firstLine="1494"/>
        <w:spacing w:after="0" w:line="278" w:lineRule="auto"/>
        <w:tabs>
          <w:tab w:leader="none" w:pos="181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leasing or purchasing all supplies, tools, equipment and materials (which are not capital in nature) used in the operation, maintenance, repair and management of the Complex;</w:t>
      </w:r>
    </w:p>
    <w:p>
      <w:pPr>
        <w:spacing w:after="0" w:line="118" w:lineRule="exact"/>
        <w:rPr>
          <w:rFonts w:ascii="Times New Roman" w:cs="Times New Roman" w:eastAsia="Times New Roman" w:hAnsi="Times New Roman"/>
          <w:sz w:val="18"/>
          <w:szCs w:val="18"/>
          <w:color w:val="auto"/>
        </w:rPr>
      </w:pPr>
    </w:p>
    <w:p>
      <w:pPr>
        <w:ind w:firstLine="1494"/>
        <w:spacing w:after="0" w:line="278" w:lineRule="auto"/>
        <w:tabs>
          <w:tab w:leader="none" w:pos="180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all utilities for the Complex (both interior and exterior), including, without limitation, the cost of water and power (other than electricity), sewage, telephone/internet, heating, lighting, air conditioning and ventilation for the Complex and recycling and trash removal;</w:t>
      </w:r>
    </w:p>
    <w:p>
      <w:pPr>
        <w:spacing w:after="0" w:line="118" w:lineRule="exact"/>
        <w:rPr>
          <w:rFonts w:ascii="Times New Roman" w:cs="Times New Roman" w:eastAsia="Times New Roman" w:hAnsi="Times New Roman"/>
          <w:sz w:val="18"/>
          <w:szCs w:val="18"/>
          <w:color w:val="auto"/>
        </w:rPr>
      </w:pPr>
    </w:p>
    <w:p>
      <w:pPr>
        <w:jc w:val="both"/>
        <w:ind w:firstLine="1494"/>
        <w:spacing w:after="0" w:line="252" w:lineRule="auto"/>
        <w:tabs>
          <w:tab w:leader="none" w:pos="187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all maintenance and service agreements for the Complex and surrounding grounds, including, but not limited to, janitorial service, pest control, security service, equipment leasing, energy management system, landscape maintenance, alarm and life safety service, window cleaning, parking, metal finishing and maintenance of mechanical systems including elevators, HVAC, chillers, air handlers, water treatment/cooling tower, access controls, and costs for permit or license renewals and inspections;</w:t>
      </w:r>
    </w:p>
    <w:p>
      <w:pPr>
        <w:spacing w:after="0" w:line="143" w:lineRule="exact"/>
        <w:rPr>
          <w:rFonts w:ascii="Times New Roman" w:cs="Times New Roman" w:eastAsia="Times New Roman" w:hAnsi="Times New Roman"/>
          <w:sz w:val="18"/>
          <w:szCs w:val="18"/>
          <w:color w:val="auto"/>
        </w:rPr>
      </w:pPr>
    </w:p>
    <w:p>
      <w:pPr>
        <w:jc w:val="both"/>
        <w:ind w:firstLine="1494"/>
        <w:spacing w:after="0" w:line="259" w:lineRule="auto"/>
        <w:tabs>
          <w:tab w:leader="none" w:pos="183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all insurance relating to the Complex, including, but not limited to, fire and extended coverage insurance and liability insurance applicable to the Complex and Landlord's personal property used in connection therewith, plus the cost of all deductible payments made by Landlord in connection therewith (but only to the extent not already deducted as a Basic Operating Cost);</w:t>
      </w:r>
    </w:p>
    <w:p>
      <w:pPr>
        <w:spacing w:after="0" w:line="135" w:lineRule="exact"/>
        <w:rPr>
          <w:rFonts w:ascii="Times New Roman" w:cs="Times New Roman" w:eastAsia="Times New Roman" w:hAnsi="Times New Roman"/>
          <w:sz w:val="18"/>
          <w:szCs w:val="18"/>
          <w:color w:val="auto"/>
        </w:rPr>
      </w:pPr>
    </w:p>
    <w:p>
      <w:pPr>
        <w:ind w:left="1800" w:hanging="306"/>
        <w:spacing w:after="0"/>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Taxes;</w:t>
      </w:r>
    </w:p>
    <w:p>
      <w:pPr>
        <w:spacing w:after="0" w:line="184" w:lineRule="exact"/>
        <w:rPr>
          <w:rFonts w:ascii="Times New Roman" w:cs="Times New Roman" w:eastAsia="Times New Roman" w:hAnsi="Times New Roman"/>
          <w:sz w:val="18"/>
          <w:szCs w:val="18"/>
          <w:color w:val="auto"/>
        </w:rPr>
      </w:pPr>
    </w:p>
    <w:p>
      <w:pPr>
        <w:ind w:right="20" w:firstLine="1494"/>
        <w:spacing w:after="0" w:line="278" w:lineRule="auto"/>
        <w:tabs>
          <w:tab w:leader="none" w:pos="183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repairs and general maintenance for the Complex (excluding such repairs and general maintenance paid by insurance proceeds or by Tenant or other third parties);</w:t>
      </w:r>
    </w:p>
    <w:p>
      <w:pPr>
        <w:spacing w:after="0" w:line="118" w:lineRule="exact"/>
        <w:rPr>
          <w:rFonts w:ascii="Times New Roman" w:cs="Times New Roman" w:eastAsia="Times New Roman" w:hAnsi="Times New Roman"/>
          <w:sz w:val="18"/>
          <w:szCs w:val="18"/>
          <w:color w:val="auto"/>
        </w:rPr>
      </w:pPr>
    </w:p>
    <w:p>
      <w:pPr>
        <w:ind w:right="20" w:firstLine="1494"/>
        <w:spacing w:after="0" w:line="278" w:lineRule="auto"/>
        <w:tabs>
          <w:tab w:leader="none" w:pos="189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performing responsibilities allocable to Landlord's Premises and costs of contributions allocable to Landlord's Premises in connection with the common elements and operation of the Complex;</w:t>
      </w:r>
    </w:p>
    <w:p>
      <w:pPr>
        <w:spacing w:after="0" w:line="118" w:lineRule="exact"/>
        <w:rPr>
          <w:rFonts w:ascii="Times New Roman" w:cs="Times New Roman" w:eastAsia="Times New Roman" w:hAnsi="Times New Roman"/>
          <w:sz w:val="18"/>
          <w:szCs w:val="18"/>
          <w:color w:val="auto"/>
        </w:rPr>
      </w:pPr>
    </w:p>
    <w:p>
      <w:pPr>
        <w:jc w:val="both"/>
        <w:ind w:firstLine="1494"/>
        <w:spacing w:after="0" w:line="252" w:lineRule="auto"/>
        <w:tabs>
          <w:tab w:leader="none" w:pos="182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expenses incurred with respect to the Complex which relate directly to the operation of the Complex and which benefit all of the tenants of the Complex generally, such as legal proceedings to abate offensive activities or uses, but excluding legal expenses related to the collection of Rent, foreclosure or eviction proceedings, or to the sale, leasing or financing of the Complex and legal expenses related to the reduction of taxes which are deemed part of Taxes;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LEASE AGREEMENT- 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630555</wp:posOffset>
            </wp:positionV>
            <wp:extent cx="7178040" cy="4000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89">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336" w:right="319" w:bottom="1440" w:gutter="0" w:footer="0" w:header="0"/>
        </w:sectPr>
      </w:pPr>
    </w:p>
    <w:bookmarkStart w:id="162" w:name="page163"/>
    <w:bookmarkEnd w:id="162"/>
    <w:p>
      <w:pPr>
        <w:jc w:val="both"/>
        <w:ind w:right="20" w:firstLine="1494"/>
        <w:spacing w:after="0" w:line="259" w:lineRule="auto"/>
        <w:tabs>
          <w:tab w:leader="none" w:pos="1911"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for management services, whether provided by an independent management company, by Landlord or by any affiliate of Landlord, but only to the extent that the costs of such services do not exceed competitive costs for comparable services in comparable buildings of the class, type, size, age and location of the Building in the Market Area;</w:t>
      </w:r>
    </w:p>
    <w:p>
      <w:pPr>
        <w:spacing w:after="0" w:line="135" w:lineRule="exact"/>
        <w:rPr>
          <w:rFonts w:ascii="Times New Roman" w:cs="Times New Roman" w:eastAsia="Times New Roman" w:hAnsi="Times New Roman"/>
          <w:sz w:val="18"/>
          <w:szCs w:val="18"/>
          <w:color w:val="auto"/>
        </w:rPr>
      </w:pPr>
    </w:p>
    <w:p>
      <w:pPr>
        <w:ind w:firstLine="1494"/>
        <w:spacing w:after="0" w:line="278" w:lineRule="auto"/>
        <w:tabs>
          <w:tab w:leader="none" w:pos="1902"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order to comply with any federal, state or municipal law, code or ordinance, or regulation which was not promulgated, or which was promulgated but not in effect or applicable to the Complex, as of the Effective Date of this Lease; and</w:t>
      </w:r>
    </w:p>
    <w:p>
      <w:pPr>
        <w:spacing w:after="0" w:line="118" w:lineRule="exact"/>
        <w:rPr>
          <w:rFonts w:ascii="Times New Roman" w:cs="Times New Roman" w:eastAsia="Times New Roman" w:hAnsi="Times New Roman"/>
          <w:sz w:val="18"/>
          <w:szCs w:val="18"/>
          <w:color w:val="auto"/>
        </w:rPr>
      </w:pPr>
    </w:p>
    <w:p>
      <w:pPr>
        <w:jc w:val="both"/>
        <w:ind w:firstLine="1494"/>
        <w:spacing w:after="0" w:line="247" w:lineRule="auto"/>
        <w:tabs>
          <w:tab w:leader="none" w:pos="1946"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the cost of installation of capital investment items which (A) Landlord reasonably believes will either (i) reduce (or avoid increases in) Basic Operating Costs, or (ii) promote safety, or (B) may be required in order to comply with any federal, state or municipal law, code or ordinance, or regulation which was not promulgated, or which was promulgated but was not in effect or applicable to the Complex, as of the Effective Date of this Lease. All costs of such capital investment items will be amortized, together with an amount equal to interest at eight percent (8%) per annum, with the amortization schedule being determined in accordance with generally accepted accounting principles and in no event will the amortization period extend beyond the remaining useful life of the Building.</w:t>
      </w:r>
    </w:p>
    <w:p>
      <w:pPr>
        <w:spacing w:after="0" w:line="148" w:lineRule="exact"/>
        <w:rPr>
          <w:rFonts w:ascii="Times New Roman" w:cs="Times New Roman" w:eastAsia="Times New Roman" w:hAnsi="Times New Roman"/>
          <w:sz w:val="18"/>
          <w:szCs w:val="18"/>
          <w:color w:val="auto"/>
        </w:rPr>
      </w:pPr>
    </w:p>
    <w:p>
      <w:pPr>
        <w:ind w:left="1320" w:hanging="277"/>
        <w:spacing w:after="0"/>
        <w:tabs>
          <w:tab w:leader="none" w:pos="13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Lease, Basic Operating Costs will not include any expenses or costs for the following</w:t>
      </w:r>
    </w:p>
    <w:p>
      <w:pPr>
        <w:spacing w:after="0" w:line="2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items:</w:t>
      </w:r>
    </w:p>
    <w:p>
      <w:pPr>
        <w:spacing w:after="0" w:line="164" w:lineRule="exact"/>
        <w:rPr>
          <w:rFonts w:ascii="Times New Roman" w:cs="Times New Roman" w:eastAsia="Times New Roman" w:hAnsi="Times New Roman"/>
          <w:sz w:val="18"/>
          <w:szCs w:val="18"/>
          <w:color w:val="auto"/>
        </w:rPr>
      </w:pPr>
    </w:p>
    <w:p>
      <w:pPr>
        <w:ind w:firstLine="1494"/>
        <w:spacing w:after="0" w:line="278" w:lineRule="auto"/>
        <w:tabs>
          <w:tab w:leader="none" w:pos="1808"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provided in </w:t>
      </w:r>
      <w:r>
        <w:rPr>
          <w:rFonts w:ascii="Times New Roman" w:cs="Times New Roman" w:eastAsia="Times New Roman" w:hAnsi="Times New Roman"/>
          <w:sz w:val="18"/>
          <w:szCs w:val="18"/>
          <w:u w:val="single" w:color="auto"/>
          <w:color w:val="auto"/>
        </w:rPr>
        <w:t>Section 6(e)(12)</w:t>
      </w:r>
      <w:r>
        <w:rPr>
          <w:rFonts w:ascii="Times New Roman" w:cs="Times New Roman" w:eastAsia="Times New Roman" w:hAnsi="Times New Roman"/>
          <w:sz w:val="18"/>
          <w:szCs w:val="18"/>
          <w:color w:val="auto"/>
        </w:rPr>
        <w:t>, costs that under generally accepted accounting principles are required to be classified as capital expenditures, and related amortization thereof;</w:t>
      </w:r>
    </w:p>
    <w:p>
      <w:pPr>
        <w:spacing w:after="0" w:line="118" w:lineRule="exact"/>
        <w:rPr>
          <w:rFonts w:ascii="Times New Roman" w:cs="Times New Roman" w:eastAsia="Times New Roman" w:hAnsi="Times New Roman"/>
          <w:sz w:val="18"/>
          <w:szCs w:val="18"/>
          <w:color w:val="auto"/>
        </w:rPr>
      </w:pPr>
    </w:p>
    <w:p>
      <w:pPr>
        <w:ind w:left="1800" w:hanging="306"/>
        <w:spacing w:after="0"/>
        <w:tabs>
          <w:tab w:leader="none" w:pos="180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provided in </w:t>
      </w:r>
      <w:r>
        <w:rPr>
          <w:rFonts w:ascii="Times New Roman" w:cs="Times New Roman" w:eastAsia="Times New Roman" w:hAnsi="Times New Roman"/>
          <w:sz w:val="18"/>
          <w:szCs w:val="18"/>
          <w:u w:val="single" w:color="auto"/>
          <w:color w:val="auto"/>
        </w:rPr>
        <w:t>Section 6(e)(12)</w:t>
      </w:r>
      <w:r>
        <w:rPr>
          <w:rFonts w:ascii="Times New Roman" w:cs="Times New Roman" w:eastAsia="Times New Roman" w:hAnsi="Times New Roman"/>
          <w:sz w:val="18"/>
          <w:szCs w:val="18"/>
          <w:color w:val="auto"/>
        </w:rPr>
        <w:t>, depreciation or amortization of the Building or its contents or components;</w:t>
      </w:r>
    </w:p>
    <w:p>
      <w:pPr>
        <w:spacing w:after="0" w:line="184" w:lineRule="exact"/>
        <w:rPr>
          <w:rFonts w:ascii="Times New Roman" w:cs="Times New Roman" w:eastAsia="Times New Roman" w:hAnsi="Times New Roman"/>
          <w:sz w:val="18"/>
          <w:szCs w:val="18"/>
          <w:color w:val="auto"/>
        </w:rPr>
      </w:pPr>
    </w:p>
    <w:p>
      <w:pPr>
        <w:jc w:val="both"/>
        <w:ind w:firstLine="1494"/>
        <w:spacing w:after="0" w:line="259" w:lineRule="auto"/>
        <w:tabs>
          <w:tab w:leader="none" w:pos="1809"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for the preparation of space (including tenant finish out costs) or other similar type work which Landlord performs for any tenant or prospective tenant of the Building including permit, license and inspection costs incurred with respect to the installation of improvements within space within the Building leased to any tenant or prospective tenant (excluding, specifically, the Common Areas).</w:t>
      </w:r>
    </w:p>
    <w:p>
      <w:pPr>
        <w:spacing w:after="0" w:line="135" w:lineRule="exact"/>
        <w:rPr>
          <w:rFonts w:ascii="Times New Roman" w:cs="Times New Roman" w:eastAsia="Times New Roman" w:hAnsi="Times New Roman"/>
          <w:sz w:val="18"/>
          <w:szCs w:val="18"/>
          <w:color w:val="auto"/>
        </w:rPr>
      </w:pPr>
    </w:p>
    <w:p>
      <w:pPr>
        <w:jc w:val="both"/>
        <w:ind w:firstLine="1494"/>
        <w:spacing w:after="0" w:line="249" w:lineRule="auto"/>
        <w:tabs>
          <w:tab w:leader="none" w:pos="185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leasing or obtaining new tenants or retaining existing tenants, including, but not limited to, marketing costs and leasing commissions, attorneys' fees in connection with the negotiation and preparation of letters, deal memos, letters of intent, leases, subleases and/or assignments, space planning costs, and other costs and expenses incurred in connection with lease, sublease and/or assignment negotiations and transactions with present or prospective tenants or other occupants of the Building, including bad debt expenses, attorneys' fees and other costs and expenditures incurred in connection with disputes with present or prospective tenants or other occupants of the Building;</w:t>
      </w:r>
    </w:p>
    <w:p>
      <w:pPr>
        <w:spacing w:after="0" w:line="145" w:lineRule="exact"/>
        <w:rPr>
          <w:rFonts w:ascii="Times New Roman" w:cs="Times New Roman" w:eastAsia="Times New Roman" w:hAnsi="Times New Roman"/>
          <w:sz w:val="18"/>
          <w:szCs w:val="18"/>
          <w:color w:val="auto"/>
        </w:rPr>
      </w:pPr>
    </w:p>
    <w:p>
      <w:pPr>
        <w:ind w:left="1800" w:hanging="306"/>
        <w:spacing w:after="0"/>
        <w:tabs>
          <w:tab w:leader="none" w:pos="180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provided in </w:t>
      </w:r>
      <w:r>
        <w:rPr>
          <w:rFonts w:ascii="Times New Roman" w:cs="Times New Roman" w:eastAsia="Times New Roman" w:hAnsi="Times New Roman"/>
          <w:sz w:val="18"/>
          <w:szCs w:val="18"/>
          <w:u w:val="single" w:color="auto"/>
          <w:color w:val="auto"/>
        </w:rPr>
        <w:t>Section 6(e)(9)</w:t>
      </w:r>
      <w:r>
        <w:rPr>
          <w:rFonts w:ascii="Times New Roman" w:cs="Times New Roman" w:eastAsia="Times New Roman" w:hAnsi="Times New Roman"/>
          <w:sz w:val="18"/>
          <w:szCs w:val="18"/>
          <w:color w:val="auto"/>
        </w:rPr>
        <w:t>, legal expenses;</w:t>
      </w:r>
    </w:p>
    <w:p>
      <w:pPr>
        <w:spacing w:after="0" w:line="184" w:lineRule="exact"/>
        <w:rPr>
          <w:rFonts w:ascii="Times New Roman" w:cs="Times New Roman" w:eastAsia="Times New Roman" w:hAnsi="Times New Roman"/>
          <w:sz w:val="18"/>
          <w:szCs w:val="18"/>
          <w:color w:val="auto"/>
        </w:rPr>
      </w:pPr>
    </w:p>
    <w:p>
      <w:pPr>
        <w:ind w:firstLine="1494"/>
        <w:spacing w:after="0" w:line="278" w:lineRule="auto"/>
        <w:tabs>
          <w:tab w:leader="none" w:pos="184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amortization or other costs associated with any mortgage, loan or refinancing of the Complex (except in connection with the financing of items which may be included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LEASE AGREEMENT- 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630555</wp:posOffset>
            </wp:positionV>
            <wp:extent cx="7178040" cy="4000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90">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336" w:right="319" w:bottom="1440" w:gutter="0" w:footer="0" w:header="0"/>
        </w:sectPr>
      </w:pPr>
    </w:p>
    <w:bookmarkStart w:id="163" w:name="page164"/>
    <w:bookmarkEnd w:id="163"/>
    <w:p>
      <w:pPr>
        <w:spacing w:after="0" w:line="278" w:lineRule="auto"/>
        <w:rPr>
          <w:sz w:val="20"/>
          <w:szCs w:val="20"/>
          <w:color w:val="auto"/>
        </w:rPr>
      </w:pPr>
      <w:r>
        <w:rPr>
          <w:rFonts w:ascii="Times New Roman" w:cs="Times New Roman" w:eastAsia="Times New Roman" w:hAnsi="Times New Roman"/>
          <w:sz w:val="18"/>
          <w:szCs w:val="18"/>
          <w:color w:val="auto"/>
        </w:rPr>
        <w:t>in Basic Operating Costs) including amortization on any mortgages or any other debt instrument encumbering the Building or the Complex (including the land on which the Building is situated);</w:t>
      </w:r>
    </w:p>
    <w:p>
      <w:pPr>
        <w:spacing w:after="0" w:line="119" w:lineRule="exact"/>
        <w:rPr>
          <w:sz w:val="20"/>
          <w:szCs w:val="20"/>
          <w:color w:val="auto"/>
        </w:rPr>
      </w:pPr>
    </w:p>
    <w:p>
      <w:pPr>
        <w:ind w:left="1800" w:hanging="306"/>
        <w:spacing w:after="0"/>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ground rent incurred for the Complex;</w:t>
      </w:r>
    </w:p>
    <w:p>
      <w:pPr>
        <w:spacing w:after="0" w:line="184" w:lineRule="exact"/>
        <w:rPr>
          <w:rFonts w:ascii="Times New Roman" w:cs="Times New Roman" w:eastAsia="Times New Roman" w:hAnsi="Times New Roman"/>
          <w:sz w:val="18"/>
          <w:szCs w:val="18"/>
          <w:color w:val="auto"/>
        </w:rPr>
      </w:pPr>
    </w:p>
    <w:p>
      <w:pPr>
        <w:jc w:val="both"/>
        <w:ind w:right="20" w:firstLine="1494"/>
        <w:spacing w:after="0" w:line="259" w:lineRule="auto"/>
        <w:tabs>
          <w:tab w:leader="none" w:pos="184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any items (including but not limited to, costs incurred by Landlord for the repair of damage to the Building) to the extent Landlord receives reimbursement from insurance proceeds or from a third party (which proceeds will be credited to Basic Operating Costs in the year in which received (unless received after end of term, then Landlord shall pay Tenant within thirty (30) days of receipt of funds by Landlord);</w:t>
      </w:r>
    </w:p>
    <w:p>
      <w:pPr>
        <w:spacing w:after="0" w:line="135" w:lineRule="exact"/>
        <w:rPr>
          <w:rFonts w:ascii="Times New Roman" w:cs="Times New Roman" w:eastAsia="Times New Roman" w:hAnsi="Times New Roman"/>
          <w:sz w:val="18"/>
          <w:szCs w:val="18"/>
          <w:color w:val="auto"/>
        </w:rPr>
      </w:pPr>
    </w:p>
    <w:p>
      <w:pPr>
        <w:jc w:val="both"/>
        <w:ind w:right="20" w:firstLine="1494"/>
        <w:spacing w:after="0" w:line="259" w:lineRule="auto"/>
        <w:tabs>
          <w:tab w:leader="none" w:pos="186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any special services provided to other tenants of the Complex (but not to all tenants, generally) or any other amounts paid by Landlord for which Landlord is entitled to be reimbursed by such other tenants as an additional charge or rental over and above the Base Rental and Basic Operating Costs under the lease or any other agreement with such tenants of the Complex;</w:t>
      </w:r>
    </w:p>
    <w:p>
      <w:pPr>
        <w:spacing w:after="0" w:line="135" w:lineRule="exact"/>
        <w:rPr>
          <w:rFonts w:ascii="Times New Roman" w:cs="Times New Roman" w:eastAsia="Times New Roman" w:hAnsi="Times New Roman"/>
          <w:sz w:val="18"/>
          <w:szCs w:val="18"/>
          <w:color w:val="auto"/>
        </w:rPr>
      </w:pPr>
    </w:p>
    <w:p>
      <w:pPr>
        <w:ind w:right="20" w:firstLine="1494"/>
        <w:spacing w:after="0" w:line="278" w:lineRule="auto"/>
        <w:tabs>
          <w:tab w:leader="none" w:pos="190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or penalties caused by violations by Landlord of any of the terms and conditions of this Lease or any other lease or other agreement relating to the Complex;</w:t>
      </w:r>
    </w:p>
    <w:p>
      <w:pPr>
        <w:spacing w:after="0" w:line="118" w:lineRule="exact"/>
        <w:rPr>
          <w:rFonts w:ascii="Times New Roman" w:cs="Times New Roman" w:eastAsia="Times New Roman" w:hAnsi="Times New Roman"/>
          <w:sz w:val="18"/>
          <w:szCs w:val="18"/>
          <w:color w:val="auto"/>
        </w:rPr>
      </w:pPr>
    </w:p>
    <w:p>
      <w:pPr>
        <w:jc w:val="both"/>
        <w:ind w:firstLine="1494"/>
        <w:spacing w:after="0" w:line="259" w:lineRule="auto"/>
        <w:tabs>
          <w:tab w:leader="none" w:pos="189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Overhead and/or profit to any subsidiary or affiliate of Landlord (other than property management fees), or for goods, supplies or other materials, to the extent that the costs of such services, goods, supplies and/or materials exceed the costs that would have been paid had the services, goods, supplies or materials been provided by parties unaffiliated with Landlord, of similar skill, competence and experience;</w:t>
      </w:r>
    </w:p>
    <w:p>
      <w:pPr>
        <w:spacing w:after="0" w:line="135" w:lineRule="exact"/>
        <w:rPr>
          <w:rFonts w:ascii="Times New Roman" w:cs="Times New Roman" w:eastAsia="Times New Roman" w:hAnsi="Times New Roman"/>
          <w:sz w:val="18"/>
          <w:szCs w:val="18"/>
          <w:color w:val="auto"/>
        </w:rPr>
      </w:pPr>
    </w:p>
    <w:p>
      <w:pPr>
        <w:ind w:right="20" w:firstLine="1494"/>
        <w:spacing w:after="0" w:line="278" w:lineRule="auto"/>
        <w:tabs>
          <w:tab w:leader="none" w:pos="193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Organizational expenses associated with the operation of the entity that is Landlord (as distinguished from the costs of the operation, management, repair and accounting for the Complex); and</w:t>
      </w:r>
    </w:p>
    <w:p>
      <w:pPr>
        <w:spacing w:after="0" w:line="118" w:lineRule="exact"/>
        <w:rPr>
          <w:rFonts w:ascii="Times New Roman" w:cs="Times New Roman" w:eastAsia="Times New Roman" w:hAnsi="Times New Roman"/>
          <w:sz w:val="18"/>
          <w:szCs w:val="18"/>
          <w:color w:val="auto"/>
        </w:rPr>
      </w:pPr>
    </w:p>
    <w:p>
      <w:pPr>
        <w:ind w:left="1900" w:hanging="406"/>
        <w:spacing w:after="0"/>
        <w:tabs>
          <w:tab w:leader="none" w:pos="1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political or charitable donations or contributions;</w:t>
      </w:r>
    </w:p>
    <w:p>
      <w:pPr>
        <w:spacing w:after="0" w:line="184" w:lineRule="exact"/>
        <w:rPr>
          <w:rFonts w:ascii="Times New Roman" w:cs="Times New Roman" w:eastAsia="Times New Roman" w:hAnsi="Times New Roman"/>
          <w:sz w:val="18"/>
          <w:szCs w:val="18"/>
          <w:color w:val="auto"/>
        </w:rPr>
      </w:pPr>
    </w:p>
    <w:p>
      <w:pPr>
        <w:ind w:left="1900" w:hanging="406"/>
        <w:spacing w:after="0"/>
        <w:tabs>
          <w:tab w:leader="none" w:pos="1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art work in the Complex or replacing any of same;</w:t>
      </w:r>
    </w:p>
    <w:p>
      <w:pPr>
        <w:spacing w:after="0" w:line="184" w:lineRule="exact"/>
        <w:rPr>
          <w:rFonts w:ascii="Times New Roman" w:cs="Times New Roman" w:eastAsia="Times New Roman" w:hAnsi="Times New Roman"/>
          <w:sz w:val="18"/>
          <w:szCs w:val="18"/>
          <w:color w:val="auto"/>
        </w:rPr>
      </w:pPr>
    </w:p>
    <w:p>
      <w:pPr>
        <w:ind w:left="1900" w:hanging="406"/>
        <w:spacing w:after="0"/>
        <w:tabs>
          <w:tab w:leader="none" w:pos="19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bad debt loss, rent loss or reserves for bad debts or rent loss;</w:t>
      </w:r>
    </w:p>
    <w:p>
      <w:pPr>
        <w:spacing w:after="0" w:line="184" w:lineRule="exact"/>
        <w:rPr>
          <w:rFonts w:ascii="Times New Roman" w:cs="Times New Roman" w:eastAsia="Times New Roman" w:hAnsi="Times New Roman"/>
          <w:sz w:val="18"/>
          <w:szCs w:val="18"/>
          <w:color w:val="auto"/>
        </w:rPr>
      </w:pPr>
    </w:p>
    <w:p>
      <w:pPr>
        <w:ind w:right="20" w:firstLine="1494"/>
        <w:spacing w:after="0" w:line="278" w:lineRule="auto"/>
        <w:tabs>
          <w:tab w:leader="none" w:pos="193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the negotiation or renegotiation of any ground lease affecting the Complex including, legal and accounting fees, transfer and gains taxes and recording charges incurred in connection with any such ground lease;</w:t>
      </w:r>
    </w:p>
    <w:p>
      <w:pPr>
        <w:spacing w:after="0" w:line="118" w:lineRule="exact"/>
        <w:rPr>
          <w:rFonts w:ascii="Times New Roman" w:cs="Times New Roman" w:eastAsia="Times New Roman" w:hAnsi="Times New Roman"/>
          <w:sz w:val="18"/>
          <w:szCs w:val="18"/>
          <w:color w:val="auto"/>
        </w:rPr>
      </w:pPr>
    </w:p>
    <w:p>
      <w:pPr>
        <w:ind w:firstLine="1494"/>
        <w:spacing w:after="0" w:line="278" w:lineRule="auto"/>
        <w:tabs>
          <w:tab w:leader="none" w:pos="193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fines, interest, penalties, legal costs and costs of litigation incurred due to late payment by Landlord of any costs or expenses related to the Complex;</w:t>
      </w:r>
    </w:p>
    <w:p>
      <w:pPr>
        <w:spacing w:after="0" w:line="118" w:lineRule="exact"/>
        <w:rPr>
          <w:rFonts w:ascii="Times New Roman" w:cs="Times New Roman" w:eastAsia="Times New Roman" w:hAnsi="Times New Roman"/>
          <w:sz w:val="18"/>
          <w:szCs w:val="18"/>
          <w:color w:val="auto"/>
        </w:rPr>
      </w:pPr>
    </w:p>
    <w:p>
      <w:pPr>
        <w:ind w:firstLine="1494"/>
        <w:spacing w:after="0" w:line="278" w:lineRule="auto"/>
        <w:tabs>
          <w:tab w:leader="none" w:pos="193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compensation paid to clerks, attendants or other persons in commercial concessions (such as a snack bar, restaurant or newsstand, if any) operated by Landlord for a profit within the Complex; and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LEASE AGREEMENT- 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630555</wp:posOffset>
            </wp:positionV>
            <wp:extent cx="7178040" cy="4000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91">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336" w:right="319" w:bottom="1440" w:gutter="0" w:footer="0" w:header="0"/>
        </w:sectPr>
      </w:pPr>
    </w:p>
    <w:bookmarkStart w:id="164" w:name="page165"/>
    <w:bookmarkEnd w:id="164"/>
    <w:p>
      <w:pPr>
        <w:ind w:firstLine="1494"/>
        <w:spacing w:after="0" w:line="278" w:lineRule="auto"/>
        <w:tabs>
          <w:tab w:leader="none" w:pos="1921"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after-hours electricity provided to a tenant and for which Landlord is entitled to be reimbursed by such tenant as an additional charge under the lease with such tenant, whether or not Landlord in fact receives such reimbursement.</w:t>
      </w:r>
    </w:p>
    <w:p>
      <w:pPr>
        <w:spacing w:after="0" w:line="118" w:lineRule="exact"/>
        <w:rPr>
          <w:rFonts w:ascii="Times New Roman" w:cs="Times New Roman" w:eastAsia="Times New Roman" w:hAnsi="Times New Roman"/>
          <w:sz w:val="18"/>
          <w:szCs w:val="18"/>
          <w:color w:val="auto"/>
        </w:rPr>
      </w:pPr>
    </w:p>
    <w:p>
      <w:pPr>
        <w:jc w:val="both"/>
        <w:ind w:firstLine="1043"/>
        <w:spacing w:after="0" w:line="242" w:lineRule="auto"/>
        <w:tabs>
          <w:tab w:leader="none" w:pos="138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exists any dispute as to the calculation of Tenant's Share of Basic Operating Costs (a "</w:t>
      </w:r>
      <w:r>
        <w:rPr>
          <w:rFonts w:ascii="Times New Roman" w:cs="Times New Roman" w:eastAsia="Times New Roman" w:hAnsi="Times New Roman"/>
          <w:sz w:val="18"/>
          <w:szCs w:val="18"/>
          <w:u w:val="single" w:color="auto"/>
          <w:color w:val="auto"/>
        </w:rPr>
        <w:t>Dispute</w:t>
      </w:r>
      <w:r>
        <w:rPr>
          <w:rFonts w:ascii="Times New Roman" w:cs="Times New Roman" w:eastAsia="Times New Roman" w:hAnsi="Times New Roman"/>
          <w:sz w:val="18"/>
          <w:szCs w:val="18"/>
          <w:color w:val="auto"/>
        </w:rPr>
        <w:t xml:space="preserve">"), the events, errors, acts or omissions giving rise to the Dispute shall not constitute a breach or default by Landlord nor will Landlord be liable to Tenant, except as specifically provided below. If there is a Dispute, Tenant will so notify Landlord in writing within sixty (60) days after receipt of the Statement. Such notice shall specify the items in Dispute. Notwithstanding the existence of a Dispute, Tenant will timely pay the amount in dispute as and when required under this Lease, provided such payment shall be without prejudice to Tenant's position. Upon receipt of such payment, Landlord will thereafter provide Tenant with such supplementary information regarding the items in Dispute as may be reasonably requested by Tenant in an effort to resolve such Dispute; provided, however, that Landlord will not be required to provide any supplementary information to Tenant unless all sums shown to be due by Tenant on the Statement are paid in full. If Landlord and Tenant are unable to resolve such Dispute, such Dispute will be referred to a mutually satisfactory third party certified public accountant for final resolution, subject to the audit rights of Tenant contained in </w:t>
      </w:r>
      <w:r>
        <w:rPr>
          <w:rFonts w:ascii="Times New Roman" w:cs="Times New Roman" w:eastAsia="Times New Roman" w:hAnsi="Times New Roman"/>
          <w:sz w:val="18"/>
          <w:szCs w:val="18"/>
          <w:u w:val="single" w:color="auto"/>
          <w:color w:val="auto"/>
        </w:rPr>
        <w:t>Section 6(h)</w:t>
      </w:r>
      <w:r>
        <w:rPr>
          <w:rFonts w:ascii="Times New Roman" w:cs="Times New Roman" w:eastAsia="Times New Roman" w:hAnsi="Times New Roman"/>
          <w:sz w:val="18"/>
          <w:szCs w:val="18"/>
          <w:color w:val="auto"/>
        </w:rPr>
        <w:t xml:space="preserve">. The cost of such certified public accountant shall be paid by the party found to be least accurate (in terms of dollars in dispute). If a Dispute is resolved in favor of Tenant, Landlord will, within thirty (30) days thereafter, refund any overpayment to Tenant, together with interest from the time of such overpayment at ten percent (10%) per annum. The determination of such certified public accountant shall be final and binding, subject to the audit rights of Tenant contained in </w:t>
      </w:r>
      <w:r>
        <w:rPr>
          <w:rFonts w:ascii="Times New Roman" w:cs="Times New Roman" w:eastAsia="Times New Roman" w:hAnsi="Times New Roman"/>
          <w:sz w:val="18"/>
          <w:szCs w:val="18"/>
          <w:u w:val="single" w:color="auto"/>
          <w:color w:val="auto"/>
        </w:rPr>
        <w:t>Section 6(h)</w:t>
      </w:r>
      <w:r>
        <w:rPr>
          <w:rFonts w:ascii="Times New Roman" w:cs="Times New Roman" w:eastAsia="Times New Roman" w:hAnsi="Times New Roman"/>
          <w:sz w:val="18"/>
          <w:szCs w:val="18"/>
          <w:color w:val="auto"/>
        </w:rPr>
        <w:t xml:space="preserve">, and final settlement shall be made within thirty (30) days after receipt of such accountant's decision. If Tenant fails to dispute the calculation of Tenant's Share of Basic Operating Costs in accordance with the procedures and within the time periods specified in this </w:t>
      </w:r>
      <w:r>
        <w:rPr>
          <w:rFonts w:ascii="Times New Roman" w:cs="Times New Roman" w:eastAsia="Times New Roman" w:hAnsi="Times New Roman"/>
          <w:sz w:val="18"/>
          <w:szCs w:val="18"/>
          <w:u w:val="single" w:color="auto"/>
          <w:color w:val="auto"/>
        </w:rPr>
        <w:t>Section 6(g)</w:t>
      </w:r>
      <w:r>
        <w:rPr>
          <w:rFonts w:ascii="Times New Roman" w:cs="Times New Roman" w:eastAsia="Times New Roman" w:hAnsi="Times New Roman"/>
          <w:sz w:val="18"/>
          <w:szCs w:val="18"/>
          <w:color w:val="auto"/>
        </w:rPr>
        <w:t xml:space="preserve">, or request an audit of the Basic Operating Costs in accordance with the procedures and within the time periods specified in </w:t>
      </w:r>
      <w:r>
        <w:rPr>
          <w:rFonts w:ascii="Times New Roman" w:cs="Times New Roman" w:eastAsia="Times New Roman" w:hAnsi="Times New Roman"/>
          <w:sz w:val="18"/>
          <w:szCs w:val="18"/>
          <w:u w:val="single" w:color="auto"/>
          <w:color w:val="auto"/>
        </w:rPr>
        <w:t>Section 6(h)</w:t>
      </w:r>
      <w:r>
        <w:rPr>
          <w:rFonts w:ascii="Times New Roman" w:cs="Times New Roman" w:eastAsia="Times New Roman" w:hAnsi="Times New Roman"/>
          <w:sz w:val="18"/>
          <w:szCs w:val="18"/>
          <w:color w:val="auto"/>
        </w:rPr>
        <w:t>, the Statement will be considered final and binding for the calendar year in question.</w:t>
      </w:r>
    </w:p>
    <w:p>
      <w:pPr>
        <w:spacing w:after="0" w:line="158" w:lineRule="exact"/>
        <w:rPr>
          <w:rFonts w:ascii="Times New Roman" w:cs="Times New Roman" w:eastAsia="Times New Roman" w:hAnsi="Times New Roman"/>
          <w:sz w:val="18"/>
          <w:szCs w:val="18"/>
          <w:color w:val="auto"/>
        </w:rPr>
      </w:pPr>
    </w:p>
    <w:p>
      <w:pPr>
        <w:jc w:val="both"/>
        <w:ind w:firstLine="1043"/>
        <w:spacing w:after="0" w:line="247" w:lineRule="auto"/>
        <w:tabs>
          <w:tab w:leader="none" w:pos="14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Tenant, at Tenant's expense, will have the right, no more frequently than once per calendar year, following thirty (30) days' prior written notice (such written notice to be given within sixty [60] days following Tenant's receipt of Landlord's Statement delivered in accordance with </w:t>
      </w:r>
      <w:r>
        <w:rPr>
          <w:rFonts w:ascii="Times New Roman" w:cs="Times New Roman" w:eastAsia="Times New Roman" w:hAnsi="Times New Roman"/>
          <w:sz w:val="18"/>
          <w:szCs w:val="18"/>
          <w:u w:val="single" w:color="auto"/>
          <w:color w:val="auto"/>
        </w:rPr>
        <w:t>Section 6(d)</w:t>
      </w:r>
      <w:r>
        <w:rPr>
          <w:rFonts w:ascii="Times New Roman" w:cs="Times New Roman" w:eastAsia="Times New Roman" w:hAnsi="Times New Roman"/>
          <w:sz w:val="18"/>
          <w:szCs w:val="18"/>
          <w:color w:val="auto"/>
        </w:rPr>
        <w:t>) to Landlord, to audit Landlord's books and records relating to Basic Operating Costs for the immediately preceding calendar year only; provided that such audit must be concluded within ninety (90) days after Tenant's receipt of Landlord's Statement for the year to which such audit relates; and provided further that the conduct of such audit must not unreasonably interfere with the conduct of Landlord's business. Without limitation upon the foregoing, Tenant's right to audit Landlord's books and records will be subject to the following conditions</w:t>
      </w:r>
    </w:p>
    <w:p>
      <w:pPr>
        <w:spacing w:after="0" w:line="148" w:lineRule="exact"/>
        <w:rPr>
          <w:rFonts w:ascii="Times New Roman" w:cs="Times New Roman" w:eastAsia="Times New Roman" w:hAnsi="Times New Roman"/>
          <w:sz w:val="18"/>
          <w:szCs w:val="18"/>
          <w:color w:val="auto"/>
        </w:rPr>
      </w:pPr>
    </w:p>
    <w:p>
      <w:pPr>
        <w:ind w:firstLine="1494"/>
        <w:spacing w:after="0" w:line="278" w:lineRule="auto"/>
        <w:tabs>
          <w:tab w:leader="none" w:pos="1857"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audit will be allowed unless Basic Operating Costs for the calendar year in question have increased by more than five percent (5%) over Basic Operating Costs for the immediately preceding calendar year;</w:t>
      </w:r>
    </w:p>
    <w:p>
      <w:pPr>
        <w:spacing w:after="0" w:line="118" w:lineRule="exact"/>
        <w:rPr>
          <w:rFonts w:ascii="Times New Roman" w:cs="Times New Roman" w:eastAsia="Times New Roman" w:hAnsi="Times New Roman"/>
          <w:sz w:val="18"/>
          <w:szCs w:val="18"/>
          <w:color w:val="auto"/>
        </w:rPr>
      </w:pPr>
    </w:p>
    <w:p>
      <w:pPr>
        <w:ind w:left="1860" w:hanging="366"/>
        <w:spacing w:after="0"/>
        <w:tabs>
          <w:tab w:leader="none" w:pos="186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audit will be conducted during Normal Business Hours and at the location where Landlord maintains its books and</w:t>
      </w:r>
    </w:p>
    <w:p>
      <w:pPr>
        <w:spacing w:after="0" w:line="2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records;</w:t>
      </w:r>
    </w:p>
    <w:p>
      <w:pPr>
        <w:spacing w:after="0" w:line="164" w:lineRule="exact"/>
        <w:rPr>
          <w:rFonts w:ascii="Times New Roman" w:cs="Times New Roman" w:eastAsia="Times New Roman" w:hAnsi="Times New Roman"/>
          <w:sz w:val="18"/>
          <w:szCs w:val="18"/>
          <w:color w:val="auto"/>
        </w:rPr>
      </w:pPr>
    </w:p>
    <w:p>
      <w:pPr>
        <w:ind w:left="1800" w:hanging="306"/>
        <w:spacing w:after="0"/>
        <w:tabs>
          <w:tab w:leader="none" w:pos="18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will deliver to Landlord a copy of the results of such audit within ten (10) days after its receipt by Tenant;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LEASE AGREEMENT- 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630555</wp:posOffset>
            </wp:positionV>
            <wp:extent cx="7178040" cy="4000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92">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336" w:right="319" w:bottom="1440" w:gutter="0" w:footer="0" w:header="0"/>
        </w:sectPr>
      </w:pPr>
    </w:p>
    <w:bookmarkStart w:id="165" w:name="page166"/>
    <w:bookmarkEnd w:id="165"/>
    <w:p>
      <w:pPr>
        <w:ind w:firstLine="1494"/>
        <w:spacing w:after="0" w:line="278" w:lineRule="auto"/>
        <w:tabs>
          <w:tab w:leader="none" w:pos="184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audit will be permitted if an Event of Default by Tenant has occurred and is continuing under this Lease, including any failure by Tenant to pay an amount in Dispute;</w:t>
      </w:r>
    </w:p>
    <w:p>
      <w:pPr>
        <w:spacing w:after="0" w:line="118" w:lineRule="exact"/>
        <w:rPr>
          <w:rFonts w:ascii="Times New Roman" w:cs="Times New Roman" w:eastAsia="Times New Roman" w:hAnsi="Times New Roman"/>
          <w:sz w:val="18"/>
          <w:szCs w:val="18"/>
          <w:color w:val="auto"/>
        </w:rPr>
      </w:pPr>
    </w:p>
    <w:p>
      <w:pPr>
        <w:ind w:left="1820" w:hanging="326"/>
        <w:spacing w:after="0"/>
        <w:tabs>
          <w:tab w:leader="none" w:pos="18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will reimburse Landlord within ten (10) days following written demand for the cost of all copies requested by Tenant's</w:t>
      </w:r>
    </w:p>
    <w:p>
      <w:pPr>
        <w:spacing w:after="0" w:line="2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auditor;</w:t>
      </w:r>
    </w:p>
    <w:p>
      <w:pPr>
        <w:spacing w:after="0" w:line="164" w:lineRule="exact"/>
        <w:rPr>
          <w:rFonts w:ascii="Times New Roman" w:cs="Times New Roman" w:eastAsia="Times New Roman" w:hAnsi="Times New Roman"/>
          <w:sz w:val="18"/>
          <w:szCs w:val="18"/>
          <w:color w:val="auto"/>
        </w:rPr>
      </w:pPr>
    </w:p>
    <w:p>
      <w:pPr>
        <w:jc w:val="both"/>
        <w:ind w:firstLine="1494"/>
        <w:spacing w:after="0" w:line="252" w:lineRule="auto"/>
        <w:tabs>
          <w:tab w:leader="none" w:pos="182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audit must be conducted by an independent, nationally recognized accounting firm or a local accounting firm reasonably acceptable to Landlord that is not being compensated by Tenant on a contingency fee basis and which has agreed with Landlord in writing to keep the results of such audit confidential by executing and delivering to Landlord a confidentiality agreement in the form of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attached to this Lease, such confidentiality agreement to also be signed and delivered to Landlord by Tenant;</w:t>
      </w:r>
    </w:p>
    <w:p>
      <w:pPr>
        <w:spacing w:after="0" w:line="143" w:lineRule="exact"/>
        <w:rPr>
          <w:rFonts w:ascii="Times New Roman" w:cs="Times New Roman" w:eastAsia="Times New Roman" w:hAnsi="Times New Roman"/>
          <w:sz w:val="18"/>
          <w:szCs w:val="18"/>
          <w:color w:val="auto"/>
        </w:rPr>
      </w:pPr>
    </w:p>
    <w:p>
      <w:pPr>
        <w:ind w:left="1800" w:hanging="306"/>
        <w:spacing w:after="0"/>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subtenant will have the right to audit;</w:t>
      </w:r>
    </w:p>
    <w:p>
      <w:pPr>
        <w:spacing w:after="0" w:line="184" w:lineRule="exact"/>
        <w:rPr>
          <w:rFonts w:ascii="Times New Roman" w:cs="Times New Roman" w:eastAsia="Times New Roman" w:hAnsi="Times New Roman"/>
          <w:sz w:val="18"/>
          <w:szCs w:val="18"/>
          <w:color w:val="auto"/>
        </w:rPr>
      </w:pPr>
    </w:p>
    <w:p>
      <w:pPr>
        <w:jc w:val="both"/>
        <w:ind w:firstLine="1494"/>
        <w:spacing w:after="0" w:line="252" w:lineRule="auto"/>
        <w:tabs>
          <w:tab w:leader="none" w:pos="181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for any calendar year, an assignee of Tenant (as permitted by this Lease) has audited or given notice of an audit, Tenant will be prohibited from auditing such calendar year, unless in the case of an audit having been noticed but not yet performed by such assignee, the assignee withdraws its audit notice, and, similarly, if Tenant has audited such calendar year or given such notice, the foregoing restrictions of this </w:t>
      </w:r>
      <w:r>
        <w:rPr>
          <w:rFonts w:ascii="Times New Roman" w:cs="Times New Roman" w:eastAsia="Times New Roman" w:hAnsi="Times New Roman"/>
          <w:sz w:val="18"/>
          <w:szCs w:val="18"/>
          <w:u w:val="single" w:color="auto"/>
          <w:color w:val="auto"/>
        </w:rPr>
        <w:t>Section 6(h)(8)</w:t>
      </w:r>
      <w:r>
        <w:rPr>
          <w:rFonts w:ascii="Times New Roman" w:cs="Times New Roman" w:eastAsia="Times New Roman" w:hAnsi="Times New Roman"/>
          <w:sz w:val="18"/>
          <w:szCs w:val="18"/>
          <w:color w:val="auto"/>
        </w:rPr>
        <w:t xml:space="preserve"> will apply to the assignee's right to audit; and</w:t>
      </w:r>
    </w:p>
    <w:p>
      <w:pPr>
        <w:spacing w:after="0" w:line="143" w:lineRule="exact"/>
        <w:rPr>
          <w:rFonts w:ascii="Times New Roman" w:cs="Times New Roman" w:eastAsia="Times New Roman" w:hAnsi="Times New Roman"/>
          <w:sz w:val="18"/>
          <w:szCs w:val="18"/>
          <w:color w:val="auto"/>
        </w:rPr>
      </w:pPr>
    </w:p>
    <w:p>
      <w:pPr>
        <w:ind w:left="1800" w:hanging="306"/>
        <w:spacing w:after="0"/>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assignee's audit right will be limited to the period after the effective date of the assignment.</w:t>
      </w:r>
    </w:p>
    <w:p>
      <w:pPr>
        <w:spacing w:after="0" w:line="18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Unless Landlord in good faith disputes the results of such audit, an appropriate adjustment will be made between Landlord and Tenant to reflect any overpayment or underpayment of Tenant's Share of Basic Operating Costs within thirty (30) days after delivery of such audit to Landlord. In the event of an overpayment by Tenant, within thirty (30) days following the delivery of such audit, Landlord will, if no Event of Default exists hereunder, make a cash payment to Tenant in the amount of such overpayment, or, if an Event of Default exists hereunder, credit such overpayment against delinquent Rent and make a cash payment to Tenant for the balance. In the event Landlord in good faith disputes the results of any such audit, the parties will in good faith attempt to resolve any disputed items. If Landlord and Tenant are able to resolve such dispute, final settlement will be made within thirty (30) days after resolution of the dispute. If the parties are unable to resolve any such dispute, any sum on which there is no longer dispute will be paid and any remaining disputed items shall be referred to a mutually satisfactory third party certified public accountant for final resolution. The cost of such certified public accountant will be paid by the party found to be least accurate (in terms of dollars in dispute). The determination of such certified public accountant shall be final and binding and final settlement will be made within thirty (30) days after receipt of such accountant's decision.</w:t>
      </w:r>
    </w:p>
    <w:p>
      <w:pPr>
        <w:spacing w:after="0" w:line="151" w:lineRule="exact"/>
        <w:rPr>
          <w:sz w:val="20"/>
          <w:szCs w:val="20"/>
          <w:color w:val="auto"/>
        </w:rPr>
      </w:pPr>
    </w:p>
    <w:p>
      <w:pPr>
        <w:jc w:val="both"/>
        <w:ind w:firstLine="1419"/>
        <w:spacing w:after="0" w:line="247" w:lineRule="auto"/>
        <w:tabs>
          <w:tab w:leader="none" w:pos="171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Landlord and Tenant are knowledgeable and experienced in commercial transactions and agree that the provisions of this Lease for determining charges, amounts and rent payable by Tenant (including without limitation, payments of Additional Rent) are commercially reasonable and valid even though such methods may not state a precise mathematical formula for determining such charges. </w:t>
      </w:r>
      <w:r>
        <w:rPr>
          <w:rFonts w:ascii="Times New Roman" w:cs="Times New Roman" w:eastAsia="Times New Roman" w:hAnsi="Times New Roman"/>
          <w:sz w:val="18"/>
          <w:szCs w:val="18"/>
          <w:b w:val="1"/>
          <w:bCs w:val="1"/>
          <w:color w:val="auto"/>
        </w:rPr>
        <w:t>ACCORDINGLY, TENANT</w:t>
      </w:r>
    </w:p>
    <w:p>
      <w:pPr>
        <w:spacing w:after="0" w:line="2" w:lineRule="exact"/>
        <w:rPr>
          <w:rFonts w:ascii="Times New Roman" w:cs="Times New Roman" w:eastAsia="Times New Roman" w:hAnsi="Times New Roman"/>
          <w:sz w:val="18"/>
          <w:szCs w:val="18"/>
          <w:color w:val="auto"/>
        </w:rPr>
      </w:pPr>
    </w:p>
    <w:p>
      <w:pPr>
        <w:ind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VOLUNTARILY AND KNOWINGLY WAIVES ALL RIGHTS AND BENEFITS OF TENANT UNDER SECTION 93.012 OF THE TEXAS PROPERTY CODE, AS AMENDED FROM TIME TO TIME.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LEASE AGREEMENT- 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630555</wp:posOffset>
            </wp:positionV>
            <wp:extent cx="7178040" cy="4000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93">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336" w:right="319" w:bottom="1440" w:gutter="0" w:footer="0" w:header="0"/>
        </w:sectPr>
      </w:pPr>
    </w:p>
    <w:bookmarkStart w:id="166" w:name="page167"/>
    <w:bookmarkEnd w:id="166"/>
    <w:p>
      <w:pPr>
        <w:ind w:left="980" w:hanging="237"/>
        <w:spacing w:after="0"/>
        <w:tabs>
          <w:tab w:leader="none" w:pos="9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Late Payments; Dishonored Checks.</w:t>
      </w:r>
    </w:p>
    <w:p>
      <w:pPr>
        <w:spacing w:after="0" w:line="184" w:lineRule="exact"/>
        <w:rPr>
          <w:rFonts w:ascii="Times New Roman" w:cs="Times New Roman" w:eastAsia="Times New Roman" w:hAnsi="Times New Roman"/>
          <w:sz w:val="18"/>
          <w:szCs w:val="18"/>
          <w:color w:val="auto"/>
        </w:rPr>
      </w:pPr>
    </w:p>
    <w:p>
      <w:pPr>
        <w:jc w:val="both"/>
        <w:ind w:firstLine="1043"/>
        <w:spacing w:after="0" w:line="243" w:lineRule="auto"/>
        <w:tabs>
          <w:tab w:leader="none" w:pos="1371"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any installment of Rent is not received within five (5) days after the date due (without in any way implying Landlord's consent to such late payment), Tenant, to the extent permitted by law, agrees to pay, in addition to said installment of Rent, a late payment charge equal to five percent (5%) of the installment of Rent due, it being understood that said late payment charge shall be for the purpose of reimbursing Landlord for the additional costs and expenses which Landlord presently expects to incur in connection with the handling and processing of late payments. Notwithstanding the foregoing, the late payment charge will increase to ten percent (10%) of the installment of Rent due if Tenant becomes responsible for a late payment charge more than twice during any consecutive twelve (12) month period. Such charge shall revert to five percent (5%) after Tenant has paid Rent for twelve (12) consecutive months without incurring a late charge. In the event of any such late payment(s) by Tenant, the additional costs and expenses so resulting to Landlord will be difficult to ascertain precisely and the foregoing charge constitutes a reasonable and good faith estimate by the parties of the extent of such additional costs and expenses. Acceptance of such late charge by Landlord will in no event constitute a waiver of Tenant's default with respect to such overdue amount, nor prevent Landlord from exercising any other rights or remedies granted hereunder unless such default is otherwise cured within the time period provided in this Lease. Provided, however, it is agreed and understood that for the first instance of late payment during any 12-month period, no late charge shall be owed by Tenant provided Tenant pays the installment of Rent due within three (3) Business Days following written notice of same by Landlord.</w:t>
      </w:r>
    </w:p>
    <w:p>
      <w:pPr>
        <w:spacing w:after="0" w:line="151" w:lineRule="exact"/>
        <w:rPr>
          <w:rFonts w:ascii="Times New Roman" w:cs="Times New Roman" w:eastAsia="Times New Roman" w:hAnsi="Times New Roman"/>
          <w:sz w:val="18"/>
          <w:szCs w:val="18"/>
          <w:color w:val="auto"/>
        </w:rPr>
      </w:pPr>
    </w:p>
    <w:p>
      <w:pPr>
        <w:ind w:firstLine="1043"/>
        <w:spacing w:after="0" w:line="278" w:lineRule="auto"/>
        <w:tabs>
          <w:tab w:leader="none" w:pos="1358"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the late payment charge contained in </w:t>
      </w:r>
      <w:r>
        <w:rPr>
          <w:rFonts w:ascii="Times New Roman" w:cs="Times New Roman" w:eastAsia="Times New Roman" w:hAnsi="Times New Roman"/>
          <w:sz w:val="18"/>
          <w:szCs w:val="18"/>
          <w:u w:val="single" w:color="auto"/>
          <w:color w:val="auto"/>
        </w:rPr>
        <w:t>Section 7(a)</w:t>
      </w:r>
      <w:r>
        <w:rPr>
          <w:rFonts w:ascii="Times New Roman" w:cs="Times New Roman" w:eastAsia="Times New Roman" w:hAnsi="Times New Roman"/>
          <w:sz w:val="18"/>
          <w:szCs w:val="18"/>
          <w:color w:val="auto"/>
        </w:rPr>
        <w:t>, all Rent, if not paid within thirty (30) days of the date due, will, at the option of Landlord, and to the extent permitted by law, bear interest from the date due until paid at the Default Rate.</w:t>
      </w:r>
    </w:p>
    <w:p>
      <w:pPr>
        <w:spacing w:after="0" w:line="118" w:lineRule="exact"/>
        <w:rPr>
          <w:rFonts w:ascii="Times New Roman" w:cs="Times New Roman" w:eastAsia="Times New Roman" w:hAnsi="Times New Roman"/>
          <w:sz w:val="18"/>
          <w:szCs w:val="18"/>
          <w:color w:val="auto"/>
        </w:rPr>
      </w:pPr>
    </w:p>
    <w:p>
      <w:pPr>
        <w:ind w:right="20" w:firstLine="1043"/>
        <w:spacing w:after="0" w:line="278" w:lineRule="auto"/>
        <w:tabs>
          <w:tab w:leader="none" w:pos="1361"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check is tendered by Tenant and not duly honored with good funds, Tenant will, in addition to any other remedies available to Landlord under this Lease, pay Landlord a "NSF" fee of $100.00.</w:t>
      </w:r>
    </w:p>
    <w:p>
      <w:pPr>
        <w:spacing w:after="0" w:line="118" w:lineRule="exact"/>
        <w:rPr>
          <w:rFonts w:ascii="Times New Roman" w:cs="Times New Roman" w:eastAsia="Times New Roman" w:hAnsi="Times New Roman"/>
          <w:sz w:val="18"/>
          <w:szCs w:val="18"/>
          <w:color w:val="auto"/>
        </w:rPr>
      </w:pPr>
    </w:p>
    <w:p>
      <w:pPr>
        <w:jc w:val="both"/>
        <w:ind w:firstLine="743"/>
        <w:spacing w:after="0" w:line="244" w:lineRule="auto"/>
        <w:tabs>
          <w:tab w:leader="none" w:pos="101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Security Deposit</w:t>
      </w:r>
      <w:r>
        <w:rPr>
          <w:rFonts w:ascii="Times New Roman" w:cs="Times New Roman" w:eastAsia="Times New Roman" w:hAnsi="Times New Roman"/>
          <w:sz w:val="18"/>
          <w:szCs w:val="18"/>
          <w:color w:val="auto"/>
        </w:rPr>
        <w:t>. The Security Deposit will be deposited with Landlord by Tenant upon full execution of this Lease by Landlord and Tenant. The Security Deposit will be held by Landlord, without liability for interest, as security for the performance by Tenant of Tenant's covenants and obligations under this Lease, it being expressly understood that the Security Deposit will not be considered an advance payment of Rent or a measure of Tenant's liability for damages in case of default by Tenant. Landlord may, from time to time, without prejudice to any other remedy, use the Security Deposit to the extent necessary to make good any arrearages of Rent or to satisfy any other covenant or obligation of Tenant hereunder. Following any such application of the Security Deposit, Tenant will pay to Landlord on demand the amount so applied in order to restore the Security Deposit to its original amount. If Landlord transfers its interest in the Project during the term of this Lease, Landlord shall assign the Security Deposit to the transferee and upon the written assumption by such transferee of liability for the Security Deposit, Landlord will have no further liability for the return of such Security Deposit. The Security Deposit shall be returned to Tenant within thirty (30) days after the expiration of the Lease Term and upon Tenant vacating the Premises in accordance with this Lease.</w:t>
      </w:r>
    </w:p>
    <w:p>
      <w:pPr>
        <w:spacing w:after="0" w:line="150" w:lineRule="exact"/>
        <w:rPr>
          <w:rFonts w:ascii="Times New Roman" w:cs="Times New Roman" w:eastAsia="Times New Roman" w:hAnsi="Times New Roman"/>
          <w:sz w:val="18"/>
          <w:szCs w:val="18"/>
          <w:color w:val="auto"/>
        </w:rPr>
      </w:pPr>
    </w:p>
    <w:p>
      <w:pPr>
        <w:ind w:left="980" w:hanging="237"/>
        <w:spacing w:after="0"/>
        <w:tabs>
          <w:tab w:leader="none" w:pos="9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Services to be Furnished by Landlord</w:t>
      </w:r>
      <w:r>
        <w:rPr>
          <w:rFonts w:ascii="Times New Roman" w:cs="Times New Roman" w:eastAsia="Times New Roman" w:hAnsi="Times New Roman"/>
          <w:sz w:val="18"/>
          <w:szCs w:val="18"/>
          <w:color w:val="auto"/>
        </w:rPr>
        <w: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LEASE AGREEMENT- 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630555</wp:posOffset>
            </wp:positionV>
            <wp:extent cx="7178040" cy="4000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94">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336" w:right="319" w:bottom="1440" w:gutter="0" w:footer="0" w:header="0"/>
        </w:sectPr>
      </w:pPr>
    </w:p>
    <w:bookmarkStart w:id="167" w:name="page168"/>
    <w:bookmarkEnd w:id="167"/>
    <w:p>
      <w:pPr>
        <w:ind w:left="1040"/>
        <w:spacing w:after="0"/>
        <w:rPr>
          <w:sz w:val="20"/>
          <w:szCs w:val="20"/>
          <w:color w:val="auto"/>
        </w:rPr>
      </w:pPr>
      <w:r>
        <w:rPr>
          <w:rFonts w:ascii="Times New Roman" w:cs="Times New Roman" w:eastAsia="Times New Roman" w:hAnsi="Times New Roman"/>
          <w:sz w:val="18"/>
          <w:szCs w:val="18"/>
          <w:color w:val="auto"/>
        </w:rPr>
        <w:t>(a)  So long as no Event of Default exists under this Lease, Landlord agrees to furnish Tenant the following services to the Building</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Standard:</w:t>
      </w:r>
    </w:p>
    <w:p>
      <w:pPr>
        <w:spacing w:after="0" w:line="164" w:lineRule="exact"/>
        <w:rPr>
          <w:sz w:val="20"/>
          <w:szCs w:val="20"/>
          <w:color w:val="auto"/>
        </w:rPr>
      </w:pPr>
    </w:p>
    <w:p>
      <w:pPr>
        <w:jc w:val="both"/>
        <w:ind w:firstLine="1494"/>
        <w:spacing w:after="0" w:line="247" w:lineRule="auto"/>
        <w:tabs>
          <w:tab w:leader="none" w:pos="185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Facilities for hot and cold water at those points of supply provided for general use of other tenants in the Building and as necessary to service any kitchen facilities within the Premises approved by Landlord and provided solely for the use of Tenant and its employees, and central heat and air conditioning in season (the cost of such service to be paid by Tenant and other tenants of the Complex in accordance with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6(e)(3)</w:t>
      </w:r>
      <w:r>
        <w:rPr>
          <w:rFonts w:ascii="Times New Roman" w:cs="Times New Roman" w:eastAsia="Times New Roman" w:hAnsi="Times New Roman"/>
          <w:sz w:val="18"/>
          <w:szCs w:val="18"/>
          <w:color w:val="auto"/>
        </w:rPr>
        <w:t xml:space="preserve">, and the cost of such service during other than Normal Business Hours to be paid as set forth in </w:t>
      </w:r>
      <w:r>
        <w:rPr>
          <w:rFonts w:ascii="Times New Roman" w:cs="Times New Roman" w:eastAsia="Times New Roman" w:hAnsi="Times New Roman"/>
          <w:sz w:val="18"/>
          <w:szCs w:val="18"/>
          <w:u w:val="single" w:color="auto"/>
          <w:color w:val="auto"/>
        </w:rPr>
        <w:t>Section 9(a)(8)</w:t>
      </w:r>
      <w:r>
        <w:rPr>
          <w:rFonts w:ascii="Times New Roman" w:cs="Times New Roman" w:eastAsia="Times New Roman" w:hAnsi="Times New Roman"/>
          <w:sz w:val="18"/>
          <w:szCs w:val="18"/>
          <w:color w:val="auto"/>
        </w:rPr>
        <w:t>), during Normal Business Hours, at such temperatures and in such amounts as are considered to be standard for similar class office buildings within a three (3) mile radius of the Building (not to exceed existing Building design loads/capacity) or as required by governmental authorities (including energy conservation requirements).</w:t>
      </w:r>
    </w:p>
    <w:p>
      <w:pPr>
        <w:spacing w:after="0" w:line="148" w:lineRule="exact"/>
        <w:rPr>
          <w:rFonts w:ascii="Times New Roman" w:cs="Times New Roman" w:eastAsia="Times New Roman" w:hAnsi="Times New Roman"/>
          <w:sz w:val="18"/>
          <w:szCs w:val="18"/>
          <w:color w:val="auto"/>
        </w:rPr>
      </w:pPr>
    </w:p>
    <w:p>
      <w:pPr>
        <w:ind w:left="1840" w:hanging="346"/>
        <w:spacing w:after="0"/>
        <w:tabs>
          <w:tab w:leader="none" w:pos="18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Routine maintenance for all Common Areas and Service Areas of the Building in the manner and to the extent deemed by</w:t>
      </w:r>
    </w:p>
    <w:p>
      <w:pPr>
        <w:spacing w:after="0" w:line="2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to be standard.</w:t>
      </w:r>
    </w:p>
    <w:p>
      <w:pPr>
        <w:spacing w:after="0" w:line="164" w:lineRule="exact"/>
        <w:rPr>
          <w:rFonts w:ascii="Times New Roman" w:cs="Times New Roman" w:eastAsia="Times New Roman" w:hAnsi="Times New Roman"/>
          <w:sz w:val="18"/>
          <w:szCs w:val="18"/>
          <w:color w:val="auto"/>
        </w:rPr>
      </w:pPr>
    </w:p>
    <w:p>
      <w:pPr>
        <w:jc w:val="both"/>
        <w:ind w:firstLine="1494"/>
        <w:spacing w:after="0" w:line="259" w:lineRule="auto"/>
        <w:tabs>
          <w:tab w:leader="none" w:pos="183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Janitorial service, five (5) days per week, exclusive of Normal Business Holidays, pursuant to the building standard janitorial schedule as shown on </w:t>
      </w:r>
      <w:r>
        <w:rPr>
          <w:rFonts w:ascii="Times New Roman" w:cs="Times New Roman" w:eastAsia="Times New Roman" w:hAnsi="Times New Roman"/>
          <w:sz w:val="18"/>
          <w:szCs w:val="18"/>
          <w:u w:val="single" w:color="auto"/>
          <w:color w:val="auto"/>
        </w:rPr>
        <w:t>Exhibit K</w:t>
      </w:r>
      <w:r>
        <w:rPr>
          <w:rFonts w:ascii="Times New Roman" w:cs="Times New Roman" w:eastAsia="Times New Roman" w:hAnsi="Times New Roman"/>
          <w:sz w:val="18"/>
          <w:szCs w:val="18"/>
          <w:color w:val="auto"/>
        </w:rPr>
        <w:t>, attached hereto, at a level comparable to that provided in similar class office buildings within a three (3) mile radius of the Building.</w:t>
      </w:r>
    </w:p>
    <w:p>
      <w:pPr>
        <w:spacing w:after="0" w:line="135" w:lineRule="exact"/>
        <w:rPr>
          <w:rFonts w:ascii="Times New Roman" w:cs="Times New Roman" w:eastAsia="Times New Roman" w:hAnsi="Times New Roman"/>
          <w:sz w:val="18"/>
          <w:szCs w:val="18"/>
          <w:color w:val="auto"/>
        </w:rPr>
      </w:pPr>
    </w:p>
    <w:p>
      <w:pPr>
        <w:ind w:left="1800" w:hanging="306"/>
        <w:spacing w:after="0"/>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Building Standard lighting and ballast replacement in the Common Areas and the Service Areas.</w:t>
      </w:r>
    </w:p>
    <w:p>
      <w:pPr>
        <w:spacing w:after="0" w:line="184" w:lineRule="exact"/>
        <w:rPr>
          <w:rFonts w:ascii="Times New Roman" w:cs="Times New Roman" w:eastAsia="Times New Roman" w:hAnsi="Times New Roman"/>
          <w:sz w:val="18"/>
          <w:szCs w:val="18"/>
          <w:color w:val="auto"/>
        </w:rPr>
      </w:pPr>
    </w:p>
    <w:p>
      <w:pPr>
        <w:jc w:val="both"/>
        <w:ind w:firstLine="1494"/>
        <w:spacing w:after="0" w:line="245" w:lineRule="auto"/>
        <w:tabs>
          <w:tab w:leader="none" w:pos="181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Access to the Building during Normal Business Hours and limited access during all other hours through the use of master entry cards and/or keys fobs. Tenant will receive no more than 155 master entry cards and/or key fobs for the Premises. Tenant will reimburse Landlord for the cost of each additional card and/or key fob and for each replacement card and/or key fob and for any card and/or key fob lost by or stolen from Tenant. Tenant agrees to surrender all master entry cards and/or key fobs in its possession upon the expiration or earlier termination of this Lease. Any lost cards and/or key fobs will be canceled. </w:t>
      </w:r>
      <w:r>
        <w:rPr>
          <w:rFonts w:ascii="Times New Roman" w:cs="Times New Roman" w:eastAsia="Times New Roman" w:hAnsi="Times New Roman"/>
          <w:sz w:val="18"/>
          <w:szCs w:val="18"/>
          <w:b w:val="1"/>
          <w:bCs w:val="1"/>
          <w:color w:val="auto"/>
        </w:rPr>
        <w:t>Landlord will have no liability to Tenant, its employees, agents, contractors, invitees, or licensees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losses due to theft or burglary (other than theft or burglary committed by employees of Landlord), or for damages done by unauthorized persons in the Premises or on the Complex. </w:t>
      </w:r>
      <w:r>
        <w:rPr>
          <w:rFonts w:ascii="Times New Roman" w:cs="Times New Roman" w:eastAsia="Times New Roman" w:hAnsi="Times New Roman"/>
          <w:sz w:val="18"/>
          <w:szCs w:val="18"/>
          <w:color w:val="auto"/>
        </w:rPr>
        <w:t>Tenant will cooperate fully in Landlord's efforts to control access in the Building and will follow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regulations promulgated by Landlord with respect thereto which are adopted in accordance with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150" w:lineRule="exact"/>
        <w:rPr>
          <w:rFonts w:ascii="Times New Roman" w:cs="Times New Roman" w:eastAsia="Times New Roman" w:hAnsi="Times New Roman"/>
          <w:sz w:val="18"/>
          <w:szCs w:val="18"/>
          <w:color w:val="auto"/>
        </w:rPr>
      </w:pPr>
    </w:p>
    <w:p>
      <w:pPr>
        <w:jc w:val="both"/>
        <w:ind w:firstLine="1494"/>
        <w:spacing w:after="0" w:line="246" w:lineRule="auto"/>
        <w:tabs>
          <w:tab w:leader="none" w:pos="184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Electricity and proper facilities to furnish (A) Building Standard lighting (which shall be defined as an average load of 0.82 watts per square foot of Rentable Area of the Premises multiplied by the number of Normal Business Hours in each month), and (B) sufficient electrical power for normal office machines and other machines of similar electrical consumption ("</w:t>
      </w:r>
      <w:r>
        <w:rPr>
          <w:rFonts w:ascii="Times New Roman" w:cs="Times New Roman" w:eastAsia="Times New Roman" w:hAnsi="Times New Roman"/>
          <w:sz w:val="18"/>
          <w:szCs w:val="18"/>
          <w:u w:val="single" w:color="auto"/>
          <w:color w:val="auto"/>
        </w:rPr>
        <w:t>Miscellaneous Power</w:t>
      </w:r>
      <w:r>
        <w:rPr>
          <w:rFonts w:ascii="Times New Roman" w:cs="Times New Roman" w:eastAsia="Times New Roman" w:hAnsi="Times New Roman"/>
          <w:sz w:val="18"/>
          <w:szCs w:val="18"/>
          <w:color w:val="auto"/>
        </w:rPr>
        <w:t>"), provided that Tenant's Miscellaneous Power requirements shall not exceed eight (8) watts per square foot of Rentable Area of the Premises, of connected load or 0.82 watts per square foot of Rentable Area of the Premises of demand load multiplied by the number of Normal Business Hours in each month (as measured by one or more separate watt hour meters), or require a voltage greater than 120/208 volts 3 phase or require more than 500 watts for any piece of equipment (the "</w:t>
      </w:r>
      <w:r>
        <w:rPr>
          <w:rFonts w:ascii="Times New Roman" w:cs="Times New Roman" w:eastAsia="Times New Roman" w:hAnsi="Times New Roman"/>
          <w:sz w:val="18"/>
          <w:szCs w:val="18"/>
          <w:u w:val="single" w:color="auto"/>
          <w:color w:val="auto"/>
        </w:rPr>
        <w:t>Building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Standard Electrical Design Load</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LEASE AGREEMENT- 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630555</wp:posOffset>
            </wp:positionV>
            <wp:extent cx="7178040" cy="4000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95">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336" w:right="319" w:bottom="1440" w:gutter="0" w:footer="0" w:header="0"/>
        </w:sectPr>
      </w:pPr>
    </w:p>
    <w:bookmarkStart w:id="168" w:name="page169"/>
    <w:bookmarkEnd w:id="168"/>
    <w:p>
      <w:pPr>
        <w:jc w:val="both"/>
        <w:ind w:firstLine="1494"/>
        <w:spacing w:after="0" w:line="249" w:lineRule="auto"/>
        <w:tabs>
          <w:tab w:leader="none" w:pos="1816"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Passenger elevator service in common with other tenants of the Building for ingress to and egress from the floor(s) upon which the Premises are situated, twenty four (24) hours a day, seven (7) days a week, and non-exclusive freight elevator service to the Premises during Normal Business Hours and at other times upon reasonable prior notice to Landlord and approval of the Building manager. Any passenger or freight elevator use shall be subject to the Rules and Regulations for the Building and shall be subject to temporary cessation for ordinary repair and maintenance and during times when life safety systems override normal Building operating systems.</w:t>
      </w:r>
    </w:p>
    <w:p>
      <w:pPr>
        <w:spacing w:after="0" w:line="145" w:lineRule="exact"/>
        <w:rPr>
          <w:rFonts w:ascii="Times New Roman" w:cs="Times New Roman" w:eastAsia="Times New Roman" w:hAnsi="Times New Roman"/>
          <w:sz w:val="18"/>
          <w:szCs w:val="18"/>
          <w:color w:val="auto"/>
        </w:rPr>
      </w:pPr>
    </w:p>
    <w:p>
      <w:pPr>
        <w:jc w:val="both"/>
        <w:ind w:firstLine="1494"/>
        <w:spacing w:after="0" w:line="247" w:lineRule="auto"/>
        <w:tabs>
          <w:tab w:leader="none" w:pos="1816"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Heating and air conditioning during other than Normal Business Hours shall be furnished only upon the prior request of Tenant made in accordance with such procedures as are, from time to time, prescribed by the Building manager, and Tenant will bear the cost of such heating and air conditioning service at a rate equal to $65 per hour; provided, however, there will be a two (2) hour minimum charge when such service is requested and the after-hours HVAC rate may be adjusted, from time to time, to reflect increases in the costs incurred by Landlord in providing such service. In the event any other tenant within the same HVAC zone as the Premises also requests after hours heating or air conditioning during the same period as Tenant, Landlord will equitably allocate the cost thereof among all tenants within the same HVAC zone requesting such service.</w:t>
      </w:r>
    </w:p>
    <w:p>
      <w:pPr>
        <w:spacing w:after="0" w:line="148" w:lineRule="exact"/>
        <w:rPr>
          <w:rFonts w:ascii="Times New Roman" w:cs="Times New Roman" w:eastAsia="Times New Roman" w:hAnsi="Times New Roman"/>
          <w:sz w:val="18"/>
          <w:szCs w:val="18"/>
          <w:color w:val="auto"/>
        </w:rPr>
      </w:pPr>
    </w:p>
    <w:p>
      <w:pPr>
        <w:jc w:val="both"/>
        <w:ind w:firstLine="1043"/>
        <w:spacing w:after="0" w:line="246" w:lineRule="auto"/>
        <w:tabs>
          <w:tab w:leader="none" w:pos="137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Landlord agrees to provide any additional services at the specific request of Tenant, without implying any obligation on the part of Landlord to do so, the provision of such services shall, unless otherwise specifically agreed in writing, be subject to the availability of Building personnel, and, if the provision of any such service requires Landlord to incur any out of pocket cost, Tenant will reimburse Landlord for the cost of providing such service (plus an administrative charge equal to ten percent [10%] of such cost, plus applicable sales tax) within ten (10) days following receipt of an invoice from Landlord. Unless Landlord has agreed with Tenant to the contrary in writing, Landlord may discontinue the provision of such additional service at any time upon thirty (30) days advance written notice (or immediately upon the occurrence of an Event of Default).</w:t>
      </w:r>
    </w:p>
    <w:p>
      <w:pPr>
        <w:spacing w:after="0" w:line="360" w:lineRule="exact"/>
        <w:rPr>
          <w:rFonts w:ascii="Times New Roman" w:cs="Times New Roman" w:eastAsia="Times New Roman" w:hAnsi="Times New Roman"/>
          <w:sz w:val="18"/>
          <w:szCs w:val="18"/>
          <w:color w:val="auto"/>
        </w:rPr>
      </w:pPr>
    </w:p>
    <w:p>
      <w:pPr>
        <w:jc w:val="both"/>
        <w:ind w:firstLine="1043"/>
        <w:spacing w:after="0" w:line="243" w:lineRule="auto"/>
        <w:tabs>
          <w:tab w:leader="none" w:pos="14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unintentional failure by Landlord, to any extent, to furnish services required to be furnished by Landlord hereunder, or any cessation thereof, will not render Landlord liable in any respect for damages (including, without limitation, business interruption damages) to persons or property, nor be construed as an eviction of Tenant, nor work an abatement of Rent, nor relieve Tenant from fulfillment of any covenant or agreement set forth in this Lease. Should any of such services be interrupted, Landlord will use reasonable diligence to restore the same promptly, but Tenant will have no claim for rebate of Rent, damages or eviction on account thereof. Notwithstanding the foregoing, subject to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(Casualty Damage) and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(Condemnation), if any portion of the Premises becomes unfit for occupancy because Landlord fails to deliver any service required under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for any period exceeding five (5) consecutive Business Days (excluding Normal Business Holidays) after receipt of notice of such failure from Tenant, and provided such failure is not caused by Tenant or any Tenant Related Party, Landlord will allow Tenant an equitable abatement of Rent (based on the severity of the interruption and the amount of space unfit for occupancy) effective from the sixth (6th) Business Day (excluding Normal Business Holidays) following the earlier to occur of (i) the date on which Tenant first provided Landlord with written notice of the interruption of such service, and (ii) the date on which Landlord first acquired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LEASE AGREEMENT- 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630555</wp:posOffset>
            </wp:positionV>
            <wp:extent cx="7178040" cy="4000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96">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336" w:right="31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color w:val="auto"/>
        </w:rPr>
        <w:t>actual knowledge of the interruption of such service, until such portion of the Premises is again fit for occupancy and such service is restored.</w:t>
      </w:r>
    </w:p>
    <w:p>
      <w:pPr>
        <w:spacing w:after="0" w:line="184" w:lineRule="exact"/>
        <w:rPr>
          <w:sz w:val="20"/>
          <w:szCs w:val="20"/>
          <w:color w:val="auto"/>
        </w:rPr>
      </w:pPr>
    </w:p>
    <w:p>
      <w:pPr>
        <w:ind w:left="1060" w:hanging="317"/>
        <w:spacing w:after="0"/>
        <w:tabs>
          <w:tab w:leader="none" w:pos="10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Graphics; Signage</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jc w:val="both"/>
        <w:ind w:firstLine="1043"/>
        <w:spacing w:after="0" w:line="243" w:lineRule="auto"/>
        <w:tabs>
          <w:tab w:leader="none" w:pos="1365"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will, at Tenant's sole cost, provide and install one (1) Building Standard identification sign on the front door of entrance to the Premises and add Tenant's name and suite number to the Building directory in the lobby (the "</w:t>
      </w:r>
      <w:r>
        <w:rPr>
          <w:rFonts w:ascii="Times New Roman" w:cs="Times New Roman" w:eastAsia="Times New Roman" w:hAnsi="Times New Roman"/>
          <w:sz w:val="18"/>
          <w:szCs w:val="18"/>
          <w:u w:val="single" w:color="auto"/>
          <w:color w:val="auto"/>
        </w:rPr>
        <w:t>Base Building Signage</w:t>
      </w:r>
      <w:r>
        <w:rPr>
          <w:rFonts w:ascii="Times New Roman" w:cs="Times New Roman" w:eastAsia="Times New Roman" w:hAnsi="Times New Roman"/>
          <w:sz w:val="18"/>
          <w:szCs w:val="18"/>
          <w:color w:val="auto"/>
        </w:rPr>
        <w:t>"). Any other signage requested by Tenant in addition to the Base Building Signage will be subject to the prior approval of Landlord and the Town of Addison, and will be provided, constructed and installed by Landlord; provided, however, Tenant will reimburse Landlord for Landlord's cost of providing such service, plus an administrative charge equal to ten percent (10%) of Landlord's cost. All such additional signage shall be in the standard graphics for the Building and no others will be used or permitted without Landlord's prior written consent. Tenant and Landlord acknowledge that in connection with Tenant's use of the Premises, Tenant must comply with the signage requirements of Rule §215.140 ("</w:t>
      </w:r>
      <w:r>
        <w:rPr>
          <w:rFonts w:ascii="Times New Roman" w:cs="Times New Roman" w:eastAsia="Times New Roman" w:hAnsi="Times New Roman"/>
          <w:sz w:val="18"/>
          <w:szCs w:val="18"/>
          <w:u w:val="single" w:color="auto"/>
          <w:color w:val="auto"/>
        </w:rPr>
        <w:t>Rule 215.140</w:t>
      </w:r>
      <w:r>
        <w:rPr>
          <w:rFonts w:ascii="Times New Roman" w:cs="Times New Roman" w:eastAsia="Times New Roman" w:hAnsi="Times New Roman"/>
          <w:sz w:val="18"/>
          <w:szCs w:val="18"/>
          <w:color w:val="auto"/>
        </w:rPr>
        <w:t xml:space="preserve">") of the Texas Administrative Code (43 Tex. Admin Code §215.140), a copy of which is attached hereto as </w:t>
      </w:r>
      <w:r>
        <w:rPr>
          <w:rFonts w:ascii="Times New Roman" w:cs="Times New Roman" w:eastAsia="Times New Roman" w:hAnsi="Times New Roman"/>
          <w:sz w:val="18"/>
          <w:szCs w:val="18"/>
          <w:u w:val="single" w:color="auto"/>
          <w:color w:val="auto"/>
        </w:rPr>
        <w:t>Exhibit L</w:t>
      </w:r>
      <w:r>
        <w:rPr>
          <w:rFonts w:ascii="Times New Roman" w:cs="Times New Roman" w:eastAsia="Times New Roman" w:hAnsi="Times New Roman"/>
          <w:sz w:val="18"/>
          <w:szCs w:val="18"/>
          <w:color w:val="auto"/>
        </w:rPr>
        <w:t xml:space="preserve"> and Landlord will not withhold its consent to the content of such signage required by said Rule 215.140. Unless required otherwise by Rule 215.140, as the same may be amended or modified in the future, any such signage will be limited to the floors of the Building in which Tenant occupies the full floor. Tenant, at its sole cost and expense, will remove all non-Building Standard signage (if such non-Building Standard signage was permitted by Landlord) upon the termination of this Lease and repair any damage caused by such removal.</w:t>
      </w:r>
    </w:p>
    <w:p>
      <w:pPr>
        <w:spacing w:after="0" w:line="156" w:lineRule="exact"/>
        <w:rPr>
          <w:rFonts w:ascii="Times New Roman" w:cs="Times New Roman" w:eastAsia="Times New Roman" w:hAnsi="Times New Roman"/>
          <w:sz w:val="18"/>
          <w:szCs w:val="18"/>
          <w:color w:val="auto"/>
        </w:rPr>
      </w:pPr>
    </w:p>
    <w:p>
      <w:pPr>
        <w:jc w:val="both"/>
        <w:ind w:firstLine="1043"/>
        <w:spacing w:after="0" w:line="244" w:lineRule="auto"/>
        <w:tabs>
          <w:tab w:leader="none" w:pos="1429"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is hereby made to that certain Sublease Agreement dated as of January 25, 2021, as amended by that certain First Amendment to Sublease Agreement dated as of February, 2022, and as consented to by Landlord dated March 9, 2022 (as amended, the "</w:t>
      </w:r>
      <w:r>
        <w:rPr>
          <w:rFonts w:ascii="Times New Roman" w:cs="Times New Roman" w:eastAsia="Times New Roman" w:hAnsi="Times New Roman"/>
          <w:sz w:val="18"/>
          <w:szCs w:val="18"/>
          <w:u w:val="single" w:color="auto"/>
          <w:color w:val="auto"/>
        </w:rPr>
        <w:t>Sublease</w:t>
      </w:r>
      <w:r>
        <w:rPr>
          <w:rFonts w:ascii="Times New Roman" w:cs="Times New Roman" w:eastAsia="Times New Roman" w:hAnsi="Times New Roman"/>
          <w:sz w:val="18"/>
          <w:szCs w:val="18"/>
          <w:color w:val="auto"/>
        </w:rPr>
        <w:t>"), executed by Tenant and CYXTERA Management, Inc., a Delaware corporation ("</w:t>
      </w:r>
      <w:r>
        <w:rPr>
          <w:rFonts w:ascii="Times New Roman" w:cs="Times New Roman" w:eastAsia="Times New Roman" w:hAnsi="Times New Roman"/>
          <w:sz w:val="18"/>
          <w:szCs w:val="18"/>
          <w:u w:val="single" w:color="auto"/>
          <w:color w:val="auto"/>
        </w:rPr>
        <w:t>Cyxtera</w:t>
      </w:r>
      <w:r>
        <w:rPr>
          <w:rFonts w:ascii="Times New Roman" w:cs="Times New Roman" w:eastAsia="Times New Roman" w:hAnsi="Times New Roman"/>
          <w:sz w:val="18"/>
          <w:szCs w:val="18"/>
          <w:color w:val="auto"/>
        </w:rPr>
        <w:t>"), pursuant to which Tenant subleases Suites 600 and 700 comprising 61,826 rentable square feet in the Building (the "</w:t>
      </w:r>
      <w:r>
        <w:rPr>
          <w:rFonts w:ascii="Times New Roman" w:cs="Times New Roman" w:eastAsia="Times New Roman" w:hAnsi="Times New Roman"/>
          <w:sz w:val="18"/>
          <w:szCs w:val="18"/>
          <w:u w:val="single" w:color="auto"/>
          <w:color w:val="auto"/>
        </w:rPr>
        <w:t>Subleased Space</w:t>
      </w:r>
      <w:r>
        <w:rPr>
          <w:rFonts w:ascii="Times New Roman" w:cs="Times New Roman" w:eastAsia="Times New Roman" w:hAnsi="Times New Roman"/>
          <w:sz w:val="18"/>
          <w:szCs w:val="18"/>
          <w:color w:val="auto"/>
        </w:rPr>
        <w:t>") from Cyxtera. Cyxtera leased the Subleased Space from Landlord pursuant to that certain Office Lease Agreement dated September 29, 2017, as amended by that certain First Amendment to Office Lease Agreement dated December 28, 2018 (as amended, the "</w:t>
      </w:r>
      <w:r>
        <w:rPr>
          <w:rFonts w:ascii="Times New Roman" w:cs="Times New Roman" w:eastAsia="Times New Roman" w:hAnsi="Times New Roman"/>
          <w:sz w:val="18"/>
          <w:szCs w:val="18"/>
          <w:u w:val="single" w:color="auto"/>
          <w:color w:val="auto"/>
        </w:rPr>
        <w:t>Underlying Lease</w:t>
      </w:r>
      <w:r>
        <w:rPr>
          <w:rFonts w:ascii="Times New Roman" w:cs="Times New Roman" w:eastAsia="Times New Roman" w:hAnsi="Times New Roman"/>
          <w:sz w:val="18"/>
          <w:szCs w:val="18"/>
          <w:color w:val="auto"/>
        </w:rPr>
        <w:t>," and together with the Sublease, the "</w:t>
      </w:r>
      <w:r>
        <w:rPr>
          <w:rFonts w:ascii="Times New Roman" w:cs="Times New Roman" w:eastAsia="Times New Roman" w:hAnsi="Times New Roman"/>
          <w:sz w:val="18"/>
          <w:szCs w:val="18"/>
          <w:u w:val="single" w:color="auto"/>
          <w:color w:val="auto"/>
        </w:rPr>
        <w:t>Prime Lease</w:t>
      </w:r>
      <w:r>
        <w:rPr>
          <w:rFonts w:ascii="Times New Roman" w:cs="Times New Roman" w:eastAsia="Times New Roman" w:hAnsi="Times New Roman"/>
          <w:sz w:val="18"/>
          <w:szCs w:val="18"/>
          <w:color w:val="auto"/>
        </w:rPr>
        <w:t>"). Under the Prime Lease, Tenant has the right to certain signage located at the top of the Building, subject to the restrictions set for in that certain Consent to Sublease dated January 25, 2021, between Landlord, Tenant, and Original Tenant (the "</w:t>
      </w:r>
      <w:r>
        <w:rPr>
          <w:rFonts w:ascii="Times New Roman" w:cs="Times New Roman" w:eastAsia="Times New Roman" w:hAnsi="Times New Roman"/>
          <w:sz w:val="18"/>
          <w:szCs w:val="18"/>
          <w:u w:val="single" w:color="auto"/>
          <w:color w:val="auto"/>
        </w:rPr>
        <w:t>Sublease Consent</w:t>
      </w:r>
      <w:r>
        <w:rPr>
          <w:rFonts w:ascii="Times New Roman" w:cs="Times New Roman" w:eastAsia="Times New Roman" w:hAnsi="Times New Roman"/>
          <w:sz w:val="18"/>
          <w:szCs w:val="18"/>
          <w:color w:val="auto"/>
        </w:rPr>
        <w:t>"). Landlord hereby waives its right to demand the removal of Tenant's crown signage (the "</w:t>
      </w:r>
      <w:r>
        <w:rPr>
          <w:rFonts w:ascii="Times New Roman" w:cs="Times New Roman" w:eastAsia="Times New Roman" w:hAnsi="Times New Roman"/>
          <w:sz w:val="18"/>
          <w:szCs w:val="18"/>
          <w:u w:val="single" w:color="auto"/>
          <w:color w:val="auto"/>
        </w:rPr>
        <w:t>Crown Signage</w:t>
      </w:r>
      <w:r>
        <w:rPr>
          <w:rFonts w:ascii="Times New Roman" w:cs="Times New Roman" w:eastAsia="Times New Roman" w:hAnsi="Times New Roman"/>
          <w:sz w:val="18"/>
          <w:szCs w:val="18"/>
          <w:color w:val="auto"/>
        </w:rPr>
        <w:t>"), as set forth in Section 9 of the Sublease Consent, provided that no uncured Event of Default exists, and Tenant is occupying three (3) full floors of the Building. Landlord and Tenant agree that all other terms of the Sublease Consent are hereby ratified and unchanged.</w:t>
      </w:r>
    </w:p>
    <w:p>
      <w:pPr>
        <w:spacing w:after="0" w:line="357" w:lineRule="exact"/>
        <w:rPr>
          <w:rFonts w:ascii="Times New Roman" w:cs="Times New Roman" w:eastAsia="Times New Roman" w:hAnsi="Times New Roman"/>
          <w:sz w:val="18"/>
          <w:szCs w:val="18"/>
          <w:color w:val="auto"/>
        </w:rPr>
      </w:pPr>
    </w:p>
    <w:p>
      <w:pPr>
        <w:ind w:left="1060" w:hanging="317"/>
        <w:spacing w:after="0"/>
        <w:tabs>
          <w:tab w:leader="none" w:pos="10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Telecommunications.</w:t>
      </w:r>
    </w:p>
    <w:p>
      <w:pPr>
        <w:spacing w:after="0" w:line="184" w:lineRule="exact"/>
        <w:rPr>
          <w:rFonts w:ascii="Times New Roman" w:cs="Times New Roman" w:eastAsia="Times New Roman" w:hAnsi="Times New Roman"/>
          <w:sz w:val="18"/>
          <w:szCs w:val="18"/>
          <w:color w:val="auto"/>
        </w:rPr>
      </w:pPr>
    </w:p>
    <w:p>
      <w:pPr>
        <w:jc w:val="both"/>
        <w:ind w:firstLine="1043"/>
        <w:spacing w:after="0" w:line="252" w:lineRule="auto"/>
        <w:tabs>
          <w:tab w:leader="none" w:pos="135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Tenant wishes to utilize the services of a telephone or telecommunications provider whose equipment is not servicing the Building as of the date of Tenant's execution of this Lease ("</w:t>
      </w:r>
      <w:r>
        <w:rPr>
          <w:rFonts w:ascii="Times New Roman" w:cs="Times New Roman" w:eastAsia="Times New Roman" w:hAnsi="Times New Roman"/>
          <w:sz w:val="18"/>
          <w:szCs w:val="18"/>
          <w:u w:val="single" w:color="auto"/>
          <w:color w:val="auto"/>
        </w:rPr>
        <w:t>Provider</w:t>
      </w:r>
      <w:r>
        <w:rPr>
          <w:rFonts w:ascii="Times New Roman" w:cs="Times New Roman" w:eastAsia="Times New Roman" w:hAnsi="Times New Roman"/>
          <w:sz w:val="18"/>
          <w:szCs w:val="18"/>
          <w:color w:val="auto"/>
        </w:rPr>
        <w:t>"), such Provider will be required to obtain the prior written consent of Landlord, which consent shall not be unreasonably withheld or delayed, before installing its lines or equipment within the Complex. In no event will the Provider be permitted to provide service to</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LEASE AGREEMENT- 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630555</wp:posOffset>
            </wp:positionV>
            <wp:extent cx="7178040" cy="4000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97">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336" w:right="319" w:bottom="1440" w:gutter="0" w:footer="0" w:header="0"/>
        </w:sectPr>
      </w:pPr>
    </w:p>
    <w:bookmarkStart w:id="170" w:name="page171"/>
    <w:bookmarkEnd w:id="170"/>
    <w:p>
      <w:pPr>
        <w:ind w:right="20"/>
        <w:spacing w:after="0" w:line="278" w:lineRule="auto"/>
        <w:rPr>
          <w:sz w:val="20"/>
          <w:szCs w:val="20"/>
          <w:color w:val="auto"/>
        </w:rPr>
      </w:pPr>
      <w:r>
        <w:rPr>
          <w:rFonts w:ascii="Times New Roman" w:cs="Times New Roman" w:eastAsia="Times New Roman" w:hAnsi="Times New Roman"/>
          <w:sz w:val="18"/>
          <w:szCs w:val="18"/>
          <w:color w:val="auto"/>
        </w:rPr>
        <w:t>any occupant of the Complex other than Tenant, without the prior written consent of Landlord, which consent shall not be unreasonably withheld or delayed.</w:t>
      </w:r>
    </w:p>
    <w:p>
      <w:pPr>
        <w:spacing w:after="0" w:line="119" w:lineRule="exact"/>
        <w:rPr>
          <w:sz w:val="20"/>
          <w:szCs w:val="20"/>
          <w:color w:val="auto"/>
        </w:rPr>
      </w:pPr>
    </w:p>
    <w:p>
      <w:pPr>
        <w:jc w:val="both"/>
        <w:ind w:firstLine="1043"/>
        <w:spacing w:after="0" w:line="259" w:lineRule="auto"/>
        <w:tabs>
          <w:tab w:leader="none" w:pos="136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Landlord's refusal to give its consent to the installation of lines or equipment by the Provider will be deemed reasonable unless all of the following conditions are satisfied to Landlord's satisfaction, the satisfaction of such conditions to be evidenced by a written agreement between Provider and Landlord or by any other means acceptable to Landlord in its reasonable judgment:</w:t>
      </w:r>
    </w:p>
    <w:p>
      <w:pPr>
        <w:spacing w:after="0" w:line="135" w:lineRule="exact"/>
        <w:rPr>
          <w:rFonts w:ascii="Times New Roman" w:cs="Times New Roman" w:eastAsia="Times New Roman" w:hAnsi="Times New Roman"/>
          <w:sz w:val="18"/>
          <w:szCs w:val="18"/>
          <w:color w:val="auto"/>
        </w:rPr>
      </w:pPr>
    </w:p>
    <w:p>
      <w:pPr>
        <w:ind w:firstLine="1794"/>
        <w:spacing w:after="0" w:line="278" w:lineRule="auto"/>
        <w:tabs>
          <w:tab w:leader="none" w:pos="2151"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will incur no expense whatsoever with respect to any aspect of Provider's provision of its services, including, without limitation, the costs of installation, materials, utilities (including the cost of any separate meters) and service;</w:t>
      </w:r>
    </w:p>
    <w:p>
      <w:pPr>
        <w:spacing w:after="0" w:line="118" w:lineRule="exact"/>
        <w:rPr>
          <w:rFonts w:ascii="Times New Roman" w:cs="Times New Roman" w:eastAsia="Times New Roman" w:hAnsi="Times New Roman"/>
          <w:sz w:val="18"/>
          <w:szCs w:val="18"/>
          <w:color w:val="auto"/>
        </w:rPr>
      </w:pPr>
    </w:p>
    <w:p>
      <w:pPr>
        <w:jc w:val="both"/>
        <w:ind w:right="20" w:firstLine="1794"/>
        <w:spacing w:after="0" w:line="259" w:lineRule="auto"/>
        <w:tabs>
          <w:tab w:leader="none" w:pos="2118"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commencement of any work in or about the Building by Provider, Provider will supply Landlord with such written indemnities, insurance verifications, financial statements, and such other items as Landlord reasonably deems to be necessary to protect its financial interests and the interests of the Building relating to the proposed activities of the Provider;</w:t>
      </w:r>
    </w:p>
    <w:p>
      <w:pPr>
        <w:spacing w:after="0" w:line="135" w:lineRule="exact"/>
        <w:rPr>
          <w:rFonts w:ascii="Times New Roman" w:cs="Times New Roman" w:eastAsia="Times New Roman" w:hAnsi="Times New Roman"/>
          <w:sz w:val="18"/>
          <w:szCs w:val="18"/>
          <w:color w:val="auto"/>
        </w:rPr>
      </w:pPr>
    </w:p>
    <w:p>
      <w:pPr>
        <w:jc w:val="both"/>
        <w:ind w:firstLine="1794"/>
        <w:spacing w:after="0" w:line="247" w:lineRule="auto"/>
        <w:tabs>
          <w:tab w:leader="none" w:pos="2121"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commencement of any work in or about the Building by the Provider, (i) Landlord and Provider will enter into Landlord's standard Riser and Telecommunication License Agreement, (ii) the Provider will agree to abide by the Rules and Regulations, the terms in the Riser and Telecommunications License Agreement applicable to the work and such other requirements as are reasonably determined by Landlord to be necessary to protect the interests of the Building, the tenants in the Building, and Landlord, including, without limitation, providing security in such form and amount as determined by Landlord and (iii) all communications and equipment installed by such Provider must be neatly organized and labeled by such Provider with Tenant's name and the suite number of the Premises;</w:t>
      </w:r>
    </w:p>
    <w:p>
      <w:pPr>
        <w:spacing w:after="0" w:line="148" w:lineRule="exact"/>
        <w:rPr>
          <w:rFonts w:ascii="Times New Roman" w:cs="Times New Roman" w:eastAsia="Times New Roman" w:hAnsi="Times New Roman"/>
          <w:sz w:val="18"/>
          <w:szCs w:val="18"/>
          <w:color w:val="auto"/>
        </w:rPr>
      </w:pPr>
    </w:p>
    <w:p>
      <w:pPr>
        <w:ind w:left="2160" w:hanging="366"/>
        <w:spacing w:after="0"/>
        <w:tabs>
          <w:tab w:leader="none" w:pos="216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reasonably determines that there is sufficient space in the Building for the placement of all of the Provider's</w:t>
      </w:r>
    </w:p>
    <w:p>
      <w:pPr>
        <w:spacing w:after="0" w:line="2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 and materials;</w:t>
      </w:r>
    </w:p>
    <w:p>
      <w:pPr>
        <w:spacing w:after="0" w:line="164" w:lineRule="exact"/>
        <w:rPr>
          <w:rFonts w:ascii="Times New Roman" w:cs="Times New Roman" w:eastAsia="Times New Roman" w:hAnsi="Times New Roman"/>
          <w:sz w:val="18"/>
          <w:szCs w:val="18"/>
          <w:color w:val="auto"/>
        </w:rPr>
      </w:pPr>
    </w:p>
    <w:p>
      <w:pPr>
        <w:ind w:left="2100" w:hanging="306"/>
        <w:spacing w:after="0"/>
        <w:tabs>
          <w:tab w:leader="none" w:pos="210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Provider is licensed and reputable; and</w:t>
      </w:r>
    </w:p>
    <w:p>
      <w:pPr>
        <w:spacing w:after="0" w:line="184" w:lineRule="exact"/>
        <w:rPr>
          <w:rFonts w:ascii="Times New Roman" w:cs="Times New Roman" w:eastAsia="Times New Roman" w:hAnsi="Times New Roman"/>
          <w:sz w:val="18"/>
          <w:szCs w:val="18"/>
          <w:color w:val="auto"/>
        </w:rPr>
      </w:pPr>
    </w:p>
    <w:p>
      <w:pPr>
        <w:jc w:val="both"/>
        <w:ind w:firstLine="1794"/>
        <w:spacing w:after="0" w:line="259" w:lineRule="auto"/>
        <w:tabs>
          <w:tab w:leader="none" w:pos="2181"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Provider agrees to compensate Landlord for space used in the Building for the storage and maintenance of the Provider's equipment and for all costs that may be incurred by Landlord in arranging for access by the Provider's personnel, security for Provider's equipment, and any other such costs as Landlord may reasonably expect to incur.</w:t>
      </w:r>
    </w:p>
    <w:p>
      <w:pPr>
        <w:spacing w:after="0" w:line="135" w:lineRule="exact"/>
        <w:rPr>
          <w:rFonts w:ascii="Times New Roman" w:cs="Times New Roman" w:eastAsia="Times New Roman" w:hAnsi="Times New Roman"/>
          <w:sz w:val="18"/>
          <w:szCs w:val="18"/>
          <w:color w:val="auto"/>
        </w:rPr>
      </w:pPr>
    </w:p>
    <w:p>
      <w:pPr>
        <w:ind w:firstLine="1043"/>
        <w:spacing w:after="0" w:line="278" w:lineRule="auto"/>
        <w:tabs>
          <w:tab w:leader="none" w:pos="138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Landlord's consent under this section shall not be deemed any kind of warranty or representation by Landlord, including, without limitation, any warranty or representation as to the suitability, competence, or financial strength of Provider.</w:t>
      </w:r>
    </w:p>
    <w:p>
      <w:pPr>
        <w:spacing w:after="0" w:line="118" w:lineRule="exact"/>
        <w:rPr>
          <w:rFonts w:ascii="Times New Roman" w:cs="Times New Roman" w:eastAsia="Times New Roman" w:hAnsi="Times New Roman"/>
          <w:sz w:val="18"/>
          <w:szCs w:val="18"/>
          <w:color w:val="auto"/>
        </w:rPr>
      </w:pPr>
    </w:p>
    <w:p>
      <w:pPr>
        <w:ind w:firstLine="1043"/>
        <w:spacing w:after="0" w:line="278" w:lineRule="auto"/>
        <w:tabs>
          <w:tab w:leader="none" w:pos="136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acknowledges and agrees that all telephone and telecommunications services desired by Tenant will be ordered and utilized at the sole risk and expense of Tenant.</w:t>
      </w:r>
    </w:p>
    <w:p>
      <w:pPr>
        <w:spacing w:after="0" w:line="118" w:lineRule="exact"/>
        <w:rPr>
          <w:rFonts w:ascii="Times New Roman" w:cs="Times New Roman" w:eastAsia="Times New Roman" w:hAnsi="Times New Roman"/>
          <w:sz w:val="18"/>
          <w:szCs w:val="18"/>
          <w:color w:val="auto"/>
        </w:rPr>
      </w:pPr>
    </w:p>
    <w:p>
      <w:pPr>
        <w:ind w:firstLine="1043"/>
        <w:spacing w:after="0" w:line="278" w:lineRule="auto"/>
        <w:tabs>
          <w:tab w:leader="none" w:pos="138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agrees that, to the extent service by Provider is interrupted, curtailed, or discontinued, Landlord will have no obligation or liability with respect thereto and it will be the sole obligation of Tenant at its expense to obtain substitute service.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LEASE AGREEMENT- 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630555</wp:posOffset>
            </wp:positionV>
            <wp:extent cx="7178040" cy="4000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98">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336" w:right="319" w:bottom="1440" w:gutter="0" w:footer="0" w:header="0"/>
        </w:sectPr>
      </w:pPr>
    </w:p>
    <w:bookmarkStart w:id="171" w:name="page172"/>
    <w:bookmarkEnd w:id="171"/>
    <w:p>
      <w:pPr>
        <w:ind w:firstLine="1043"/>
        <w:spacing w:after="0" w:line="278" w:lineRule="auto"/>
        <w:tabs>
          <w:tab w:leader="none" w:pos="1327"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may be enforced solely by the Tenant and Landlord, and are not for the benefit of any other party. No Provider will be deemed a third party beneficiary of this Lease.</w:t>
      </w:r>
    </w:p>
    <w:p>
      <w:pPr>
        <w:spacing w:after="0" w:line="118" w:lineRule="exact"/>
        <w:rPr>
          <w:rFonts w:ascii="Times New Roman" w:cs="Times New Roman" w:eastAsia="Times New Roman" w:hAnsi="Times New Roman"/>
          <w:sz w:val="18"/>
          <w:szCs w:val="18"/>
          <w:color w:val="auto"/>
        </w:rPr>
      </w:pPr>
    </w:p>
    <w:p>
      <w:pPr>
        <w:jc w:val="both"/>
        <w:ind w:firstLine="743"/>
        <w:spacing w:after="0" w:line="246" w:lineRule="auto"/>
        <w:tabs>
          <w:tab w:leader="none" w:pos="108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Repair and Maintenance by Landlord</w:t>
      </w:r>
      <w:r>
        <w:rPr>
          <w:rFonts w:ascii="Times New Roman" w:cs="Times New Roman" w:eastAsia="Times New Roman" w:hAnsi="Times New Roman"/>
          <w:sz w:val="18"/>
          <w:szCs w:val="18"/>
          <w:color w:val="auto"/>
        </w:rPr>
        <w:t xml:space="preserve">. Except as provided in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Landlord will be responsible for the maintenance and repair of exterior and load bearing walls, floors (but not floor coverings), mechanical, electrical, plumbing and HVAC systems and equipment which are Building Standard (including periodic updates to Building Standard), the roof of the Building, the Common Areas (excluding restrooms located on any full floors leased by Tenant), the Service Areas and the Parking Areas. In no event will Landlord be responsible for the maintenance or repair of improvements made by or at the request of Tenant which are part of the Initial Improvements or not Building Standard. All requests for repairs must be submitted to Landlord in writing, except in the case of an emergency. Repairs and maintenance by Landlord pursuant to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are included in Basic Operating Costs, except to the extent excluded by </w:t>
      </w:r>
      <w:r>
        <w:rPr>
          <w:rFonts w:ascii="Times New Roman" w:cs="Times New Roman" w:eastAsia="Times New Roman" w:hAnsi="Times New Roman"/>
          <w:sz w:val="18"/>
          <w:szCs w:val="18"/>
          <w:u w:val="single" w:color="auto"/>
          <w:color w:val="auto"/>
        </w:rPr>
        <w:t>Section 6(e)</w:t>
      </w:r>
      <w:r>
        <w:rPr>
          <w:rFonts w:ascii="Times New Roman" w:cs="Times New Roman" w:eastAsia="Times New Roman" w:hAnsi="Times New Roman"/>
          <w:sz w:val="18"/>
          <w:szCs w:val="18"/>
          <w:color w:val="auto"/>
        </w:rPr>
        <w:t>.</w:t>
      </w:r>
    </w:p>
    <w:p>
      <w:pPr>
        <w:spacing w:after="0" w:line="148" w:lineRule="exact"/>
        <w:rPr>
          <w:rFonts w:ascii="Times New Roman" w:cs="Times New Roman" w:eastAsia="Times New Roman" w:hAnsi="Times New Roman"/>
          <w:sz w:val="18"/>
          <w:szCs w:val="18"/>
          <w:color w:val="auto"/>
        </w:rPr>
      </w:pPr>
    </w:p>
    <w:p>
      <w:pPr>
        <w:jc w:val="both"/>
        <w:ind w:firstLine="743"/>
        <w:spacing w:after="0" w:line="259" w:lineRule="auto"/>
        <w:tabs>
          <w:tab w:leader="none" w:pos="1073"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Maintenance by Tenant</w:t>
      </w:r>
      <w:r>
        <w:rPr>
          <w:rFonts w:ascii="Times New Roman" w:cs="Times New Roman" w:eastAsia="Times New Roman" w:hAnsi="Times New Roman"/>
          <w:sz w:val="18"/>
          <w:szCs w:val="18"/>
          <w:color w:val="auto"/>
        </w:rPr>
        <w:t>. Tenant will maintain the Premises in a clean and orderly condition and will not commit or allow any waste to be committed on any portion of the Premises. At the expiration or early termination of this Lease, Tenant will deliver up the Premises to Landlord in as good condition as at the Commencement Date, ordinary wear and tear and damage by fire or casualty loss (unless caused by Tenant) excepted.</w:t>
      </w:r>
    </w:p>
    <w:p>
      <w:pPr>
        <w:spacing w:after="0" w:line="135" w:lineRule="exact"/>
        <w:rPr>
          <w:rFonts w:ascii="Times New Roman" w:cs="Times New Roman" w:eastAsia="Times New Roman" w:hAnsi="Times New Roman"/>
          <w:sz w:val="18"/>
          <w:szCs w:val="18"/>
          <w:color w:val="auto"/>
        </w:rPr>
      </w:pPr>
    </w:p>
    <w:p>
      <w:pPr>
        <w:jc w:val="both"/>
        <w:ind w:firstLine="743"/>
        <w:spacing w:after="0" w:line="242" w:lineRule="auto"/>
        <w:tabs>
          <w:tab w:leader="none" w:pos="111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Repairs by Tenant</w:t>
      </w:r>
      <w:r>
        <w:rPr>
          <w:rFonts w:ascii="Times New Roman" w:cs="Times New Roman" w:eastAsia="Times New Roman" w:hAnsi="Times New Roman"/>
          <w:sz w:val="18"/>
          <w:szCs w:val="18"/>
          <w:color w:val="auto"/>
        </w:rPr>
        <w:t xml:space="preserve">. Tenant will, at Tenant's cost, repair or replace any (i) damage to the Premises and equipment and improvements therein (including doors and door frames, interior windows and any kitchen equipment, such as dishwashers, sinks, refrigerators, ice machines, trash compactors and plumbing, HVAC, life safety and other mechanical systems related thereto ) that are constructed or installed by or at the request of Tenant as part of the Initial Improvements or that are not Building Standard; and (ii) any damage to the Complex, or any part thereof, caused by Tenant or any employee, officer, contractor, agent, subtenant, guest, licensee or invitee of Tenant (except that with respect to any such damage outside of the Premises or below floor coverings, above ceilings or behind walls or columns, such damage will be repaired by Landlord, and Tenant will reimburse Landlord for the cost of such repairs or replacements, plus an administrative charge equal to ten percent (10%) of the cost of such repairs or replacements). If Tenant fails to make such repairs or replacements within thirty (30) days after receipt of written notice from Landlord, Landlord may, at Landlord's option, make such repairs or replacements, and Tenant will reimburse Landlord for the cost of such repairs or replacements, plus an administrative charge equal to ten percent (10%) of the cost of such repairs or replacements. Reimbursement for all repairs performed by Landlord pursuant to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shall be payable as additional Rent by Tenant to Landlord within ten (10) days following Tenant's receipt of an invoice from Landlord. Notwithstanding anything contained herein to the contrary, if any such damage is covered by Landlord's insurance, in whole or in part, Tenant's liability under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shall be limited to the deductible payable by Landlord and any portion of the cost of repairing such damage not covered by Landlord's insurance. In connection with repairs or replacements made by Tenant, Tenant will provide Landlord with a copy of the contractor agreement regarding such repairs, copies of certificates of insurance evidencing contractor coverage satisfactory to Landlord, copies of "as built" plans and specifications and other information or documentation reasonably required by Landlord, including evidence of the lien free completion of such repairs or replacements.</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LEASE AGREEMENT- 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630555</wp:posOffset>
            </wp:positionV>
            <wp:extent cx="7178040" cy="4000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99">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336" w:right="319" w:bottom="1440" w:gutter="0" w:footer="0" w:header="0"/>
        </w:sectPr>
      </w:pPr>
    </w:p>
    <w:bookmarkStart w:id="172" w:name="page173"/>
    <w:bookmarkEnd w:id="172"/>
    <w:p>
      <w:pPr>
        <w:ind w:left="1060" w:hanging="317"/>
        <w:spacing w:after="0"/>
        <w:tabs>
          <w:tab w:leader="none" w:pos="10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Alterations, Additions, Improvements.</w:t>
      </w:r>
    </w:p>
    <w:p>
      <w:pPr>
        <w:spacing w:after="0" w:line="184" w:lineRule="exact"/>
        <w:rPr>
          <w:rFonts w:ascii="Times New Roman" w:cs="Times New Roman" w:eastAsia="Times New Roman" w:hAnsi="Times New Roman"/>
          <w:sz w:val="18"/>
          <w:szCs w:val="18"/>
          <w:color w:val="auto"/>
        </w:rPr>
      </w:pPr>
    </w:p>
    <w:p>
      <w:pPr>
        <w:jc w:val="both"/>
        <w:ind w:firstLine="1043"/>
        <w:spacing w:after="0" w:line="241" w:lineRule="auto"/>
        <w:tabs>
          <w:tab w:leader="none" w:pos="1375"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will make no alteration, change, improvement, replacement or addition to the Premises (collectively, "</w:t>
      </w:r>
      <w:r>
        <w:rPr>
          <w:rFonts w:ascii="Times New Roman" w:cs="Times New Roman" w:eastAsia="Times New Roman" w:hAnsi="Times New Roman"/>
          <w:sz w:val="18"/>
          <w:szCs w:val="18"/>
          <w:u w:val="single" w:color="auto"/>
          <w:color w:val="auto"/>
        </w:rPr>
        <w:t>Alterations</w:t>
      </w:r>
      <w:r>
        <w:rPr>
          <w:rFonts w:ascii="Times New Roman" w:cs="Times New Roman" w:eastAsia="Times New Roman" w:hAnsi="Times New Roman"/>
          <w:sz w:val="18"/>
          <w:szCs w:val="18"/>
          <w:color w:val="auto"/>
        </w:rPr>
        <w:t>"), without the prior written consent of Landlord, which consent shall not be unreasonably withheld with respect to interior Alterations which will not affect, in any way, the mechanical, electrical, plumbing, HVAC, structural and/or fire and life safety components of the Building ("</w:t>
      </w:r>
      <w:r>
        <w:rPr>
          <w:rFonts w:ascii="Times New Roman" w:cs="Times New Roman" w:eastAsia="Times New Roman" w:hAnsi="Times New Roman"/>
          <w:sz w:val="18"/>
          <w:szCs w:val="18"/>
          <w:u w:val="single" w:color="auto"/>
          <w:color w:val="auto"/>
        </w:rPr>
        <w:t>Non Structural Alterations</w:t>
      </w:r>
      <w:r>
        <w:rPr>
          <w:rFonts w:ascii="Times New Roman" w:cs="Times New Roman" w:eastAsia="Times New Roman" w:hAnsi="Times New Roman"/>
          <w:sz w:val="18"/>
          <w:szCs w:val="18"/>
          <w:color w:val="auto"/>
        </w:rPr>
        <w:t>") and which do not exceed $30,000 in the aggregate or individually in any calendar year. Landlord will, within ten (10) Business Days following receipt of such request, notify Tenant in writing that Landlord either consents to the proposed Alterations or disapproves, in which case Landlord will set forth the reasons for its disapproval. Tenant may resubmit revised plans following a disapproval. Landlord will review and, within five (5) Business Days following receipt of such resubmission, notify Tenant in writing of Landlord's consent or further disapproval. In connection with its consent, Landlord will designate any portions of the approved Alterations which will be required to be restored at the end of the Lease Term ("</w:t>
      </w:r>
      <w:r>
        <w:rPr>
          <w:rFonts w:ascii="Times New Roman" w:cs="Times New Roman" w:eastAsia="Times New Roman" w:hAnsi="Times New Roman"/>
          <w:sz w:val="18"/>
          <w:szCs w:val="18"/>
          <w:u w:val="single" w:color="auto"/>
          <w:color w:val="auto"/>
        </w:rPr>
        <w:t>Specialty Alterations</w:t>
      </w:r>
      <w:r>
        <w:rPr>
          <w:rFonts w:ascii="Times New Roman" w:cs="Times New Roman" w:eastAsia="Times New Roman" w:hAnsi="Times New Roman"/>
          <w:sz w:val="18"/>
          <w:szCs w:val="18"/>
          <w:color w:val="auto"/>
        </w:rPr>
        <w:t>"). Landlord may, at its option, require Tenant to submit plans and specifications to Landlord for approval prior to commencing any Alterations. All Alterations (other than Non Structural Alterations) will be performed by a contractor on Landlord's approved list (a copy of which may be obtained from the Building manager) or by the contractor that constructed the Initial Improvements. Landlord shall have the right to approve the architects, engineers, contractors and all subcontractors that will be performing any portion of the work for the Alterations. All Alterations will be done in a good and workmanlike manner and in compliance with all applicable laws and ordinances, including, but not limited to, Title III of The Americans With Disabilities Act of 1990 or any applicable local or state law regarding handicapped including Chapter 469 of the Texas Government Code and rule and regulations promulgated thereunder by the Texas Department of Licensing and Regulation (collectively, the "</w:t>
      </w:r>
      <w:r>
        <w:rPr>
          <w:rFonts w:ascii="Times New Roman" w:cs="Times New Roman" w:eastAsia="Times New Roman" w:hAnsi="Times New Roman"/>
          <w:sz w:val="18"/>
          <w:szCs w:val="18"/>
          <w:u w:val="single" w:color="auto"/>
          <w:color w:val="auto"/>
        </w:rPr>
        <w:t>Disability Laws</w:t>
      </w:r>
      <w:r>
        <w:rPr>
          <w:rFonts w:ascii="Times New Roman" w:cs="Times New Roman" w:eastAsia="Times New Roman" w:hAnsi="Times New Roman"/>
          <w:sz w:val="18"/>
          <w:szCs w:val="18"/>
          <w:color w:val="auto"/>
        </w:rPr>
        <w:t xml:space="preserve">") and in accordance with Landlord's sustainability practices under any so-called green/LEED program(s) undertaken or maintained by Landlord. Tenant will require that any contractors used by Tenant carry a comprehensive liability (including builder's risk) insurance policy in such amounts as Landlord may reasonably require and provide proof of such insurance to Landlord prior to the commencement of any Alterations and Tenant will require that any contractors used by Tenant comply with such rules and regulations imposed by Landlord from time to time, including such rules and regulations related to so-called green/LEED program(s) undertaken or maintained by Landlord. </w:t>
      </w:r>
      <w:r>
        <w:rPr>
          <w:rFonts w:ascii="Times New Roman" w:cs="Times New Roman" w:eastAsia="Times New Roman" w:hAnsi="Times New Roman"/>
          <w:sz w:val="18"/>
          <w:szCs w:val="18"/>
          <w:b w:val="1"/>
          <w:bCs w:val="1"/>
          <w:color w:val="auto"/>
        </w:rPr>
        <w:t>TENANT WILL INDEMNIFY AND HOLD LANDLORD HARMLESS FROM,</w:t>
      </w:r>
    </w:p>
    <w:p>
      <w:pPr>
        <w:spacing w:after="0" w:line="5" w:lineRule="exact"/>
        <w:rPr>
          <w:rFonts w:ascii="Times New Roman" w:cs="Times New Roman" w:eastAsia="Times New Roman" w:hAnsi="Times New Roman"/>
          <w:sz w:val="18"/>
          <w:szCs w:val="18"/>
          <w:color w:val="auto"/>
        </w:rPr>
      </w:pPr>
    </w:p>
    <w:p>
      <w:pPr>
        <w:jc w:val="both"/>
        <w:spacing w:after="0" w:line="24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AND REIMBURSE LANDLORD FOR AND WITH RESPECT TO, ANY AND ALL COSTS AND EXPENSES (INCLUDING REASONABLE ATTORNEYS' FEES), DEMANDS, CLAIMS, CAUSES OF ACTION AND LIENS ARISING FROM AND IN CONNECTION WITH ANY ALTERATIONS PERFORMED BY TENANT, UNLESS CAUSED BY THE GROSS NEGLIGENCE OR WILLFUL MISCONDUCT OF LANDLORD OR ANY LANDLORD RELATED PARTY. </w:t>
      </w:r>
      <w:r>
        <w:rPr>
          <w:rFonts w:ascii="Times New Roman" w:cs="Times New Roman" w:eastAsia="Times New Roman" w:hAnsi="Times New Roman"/>
          <w:sz w:val="18"/>
          <w:szCs w:val="18"/>
          <w:color w:val="auto"/>
        </w:rPr>
        <w:t>All persons performing work in the Building at the request of Tenant will register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Building manager prior to initiating any work. Upon completion of any Alterations, Tenant will provide Landlord with a copy of its building permit, final inspection tag and, if plans and specifications were required by Landlord, final "as built" plans and specifications, together with evidence of the lien free completion of such Alterations. Except for the Initial Improvements (which shall be governed by the Tenant Improvements Agreement), all Alterations now or hereafter placed or constructed on the Premises at the request of Tenant will be at Tenant's cost. If Landlord performs such Alterations on Tenant's behalf, the cost of such Alterations (plus a construction management fee equal to five percent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LEASE AGREEMENT- 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630555</wp:posOffset>
            </wp:positionV>
            <wp:extent cx="7178040" cy="4000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600">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336" w:right="319" w:bottom="1440" w:gutter="0" w:footer="0" w:header="0"/>
        </w:sectPr>
      </w:pPr>
    </w:p>
    <w:bookmarkStart w:id="173" w:name="page174"/>
    <w:bookmarkEnd w:id="173"/>
    <w:p>
      <w:pPr>
        <w:spacing w:after="0" w:line="259" w:lineRule="auto"/>
        <w:rPr>
          <w:sz w:val="20"/>
          <w:szCs w:val="20"/>
          <w:color w:val="auto"/>
        </w:rPr>
      </w:pPr>
      <w:r>
        <w:rPr>
          <w:rFonts w:ascii="Times New Roman" w:cs="Times New Roman" w:eastAsia="Times New Roman" w:hAnsi="Times New Roman"/>
          <w:sz w:val="18"/>
          <w:szCs w:val="18"/>
          <w:color w:val="auto"/>
        </w:rPr>
        <w:t>[5%] of hard costs) will be payable as additional Rent by Tenant to Landlord within ten (10) days following Tenant's receipt of an invoice from Landlord.</w:t>
      </w:r>
    </w:p>
    <w:p>
      <w:pPr>
        <w:spacing w:after="0" w:line="375" w:lineRule="exact"/>
        <w:rPr>
          <w:sz w:val="20"/>
          <w:szCs w:val="20"/>
          <w:color w:val="auto"/>
        </w:rPr>
      </w:pPr>
    </w:p>
    <w:p>
      <w:pPr>
        <w:jc w:val="both"/>
        <w:ind w:firstLine="1043"/>
        <w:spacing w:after="0" w:line="243" w:lineRule="auto"/>
        <w:tabs>
          <w:tab w:leader="none" w:pos="1406"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expiration or early termination of this Lease, Tenant may remove its trade fixtures, office supplies and movable office furniture and equipment not attached to the Building provided (1) such removal is made prior to the termination or expiration of the Lease Term; (2) Tenant is not then in default in the timely performance of any obligation or covenant under this Lease; and (3) Tenant promptly repairs all damage caused by such removal. All other property at the Premises, any Alterations to the Premises, and any other articles attached or affixed to the floor, wall, or ceiling of the Premises shall, immediately upon installation, be deemed the property of Landlord and shall be surrendered with the Premises at the termination or expiration of this Lease, without payment or compensation therefor. If, however, Landlord so requests in writing, Tenant will, at Tenant's sole cost and expense, prior to the termination or expiration of the Lease Term, (i) remove any and all trade fixtures, office supplies and office furniture and equipment placed or installed by Tenant in the Premises, and any non-Building Standard Alterations (other than the Initial Improvements) installed by Tenant or installed by Landlord at Tenant's request in the Premises and which Landlord designated as being subject to removal at the time of approval, and will repair any damage caused by such removal, (ii) remove all of Tenant's telecommunications equipment and racks, including removal from and above the ceiling of the Premises or from risers or other Common Areas of all cabling installed by Tenant or for the exclusive use of Tenant, and Tenant will promptly repair, at Tenant's expense, any damage caused by such removal, and (iii) remove any Specialty Alterations and restore the Premises to substantially the same condition as existed prior to Tenant's installation of such Specialty Alterations.</w:t>
      </w:r>
    </w:p>
    <w:p>
      <w:pPr>
        <w:spacing w:after="0" w:line="151" w:lineRule="exact"/>
        <w:rPr>
          <w:rFonts w:ascii="Times New Roman" w:cs="Times New Roman" w:eastAsia="Times New Roman" w:hAnsi="Times New Roman"/>
          <w:sz w:val="18"/>
          <w:szCs w:val="18"/>
          <w:color w:val="auto"/>
        </w:rPr>
      </w:pPr>
    </w:p>
    <w:p>
      <w:pPr>
        <w:ind w:left="1060" w:hanging="317"/>
        <w:spacing w:after="0"/>
        <w:tabs>
          <w:tab w:leader="none" w:pos="10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Laws and Regulations; Disability Laws; Building Rules and Regulations.</w:t>
      </w:r>
    </w:p>
    <w:p>
      <w:pPr>
        <w:spacing w:after="0" w:line="184" w:lineRule="exact"/>
        <w:rPr>
          <w:rFonts w:ascii="Times New Roman" w:cs="Times New Roman" w:eastAsia="Times New Roman" w:hAnsi="Times New Roman"/>
          <w:sz w:val="18"/>
          <w:szCs w:val="18"/>
          <w:color w:val="auto"/>
        </w:rPr>
      </w:pPr>
    </w:p>
    <w:p>
      <w:pPr>
        <w:jc w:val="both"/>
        <w:ind w:firstLine="1043"/>
        <w:spacing w:after="0" w:line="243" w:lineRule="auto"/>
        <w:tabs>
          <w:tab w:leader="none" w:pos="1412"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at Tenant's sole cost and expense, will comply with all current and future federal, state, municipal and other laws and ordinances applicable to the use of the Premises, the employees, agents, visitors and invitees of Tenant, and the business conducted in the Premises by Tenant, including, without limitation, all environmental laws and regulations; will not engage in any activity which would cause Landlord's fire and extended coverage insurance to be canceled or the rate increased (or, at Landlord's option, Landlord may allow Tenant to engage in such activity provided Tenant pays for any such increase in the insurance rate); and will not commit any act which is a nuisance or annoyance to Landlord or to other tenants in the Building or which might, in the reasonable judgment of Landlord, appreciably damage Landlord's goodwill or reputation, or tend to injure or depreciate the value of the Building. Without limiting the foregoing, Tenant will not place or permit to remain within the Premises any "</w:t>
      </w:r>
      <w:r>
        <w:rPr>
          <w:rFonts w:ascii="Times New Roman" w:cs="Times New Roman" w:eastAsia="Times New Roman" w:hAnsi="Times New Roman"/>
          <w:sz w:val="18"/>
          <w:szCs w:val="18"/>
          <w:u w:val="single" w:color="auto"/>
          <w:color w:val="auto"/>
        </w:rPr>
        <w:t>hazardous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materials</w:t>
      </w:r>
      <w:r>
        <w:rPr>
          <w:rFonts w:ascii="Times New Roman" w:cs="Times New Roman" w:eastAsia="Times New Roman" w:hAnsi="Times New Roman"/>
          <w:sz w:val="18"/>
          <w:szCs w:val="18"/>
          <w:color w:val="auto"/>
        </w:rPr>
        <w:t xml:space="preserve">" as such term is now or hereafter defined under applicable environmental laws, except cleaning supplies, copier toner or other similar type products commonly found in commercial office space, provided such items are properly labeled, stored and disposed of in accordance with all applicable governmental requirements. Notwithstanding the foregoing, nothing in this </w:t>
      </w:r>
      <w:r>
        <w:rPr>
          <w:rFonts w:ascii="Times New Roman" w:cs="Times New Roman" w:eastAsia="Times New Roman" w:hAnsi="Times New Roman"/>
          <w:sz w:val="18"/>
          <w:szCs w:val="18"/>
          <w:u w:val="single" w:color="auto"/>
          <w:color w:val="auto"/>
        </w:rPr>
        <w:t>Section 16(a)</w:t>
      </w:r>
      <w:r>
        <w:rPr>
          <w:rFonts w:ascii="Times New Roman" w:cs="Times New Roman" w:eastAsia="Times New Roman" w:hAnsi="Times New Roman"/>
          <w:sz w:val="18"/>
          <w:szCs w:val="18"/>
          <w:color w:val="auto"/>
        </w:rPr>
        <w:t xml:space="preserve"> will be construed as requiring Tenant to be responsible for any legal requirements applicable to the structural portions of the Premises, any restrooms within the Building (other than restrooms constructed by or at the special request of Tenant) or the Building Standard mechanical, electrical, plumbing or HVAC systems, unless the failure to comply with any such legal requirements is caused by Tenant or anyone acting for Tenant.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LEASE AGREEMENT- 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630555</wp:posOffset>
            </wp:positionV>
            <wp:extent cx="7178040" cy="4000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601">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336" w:right="319" w:bottom="1440" w:gutter="0" w:footer="0" w:header="0"/>
        </w:sectPr>
      </w:pPr>
    </w:p>
    <w:bookmarkStart w:id="174" w:name="page175"/>
    <w:bookmarkEnd w:id="174"/>
    <w:p>
      <w:pPr>
        <w:jc w:val="both"/>
        <w:ind w:firstLine="1043"/>
        <w:spacing w:after="0" w:line="245" w:lineRule="auto"/>
        <w:tabs>
          <w:tab w:leader="none" w:pos="141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Tenant, at its sole cost, will be responsible for compliance with Disability Laws with respect to (1) the Premises, (2) the Initial Improvements, (3) all Alterations made to the Premises or any other acts of Tenant after the Commencement Date, (4) all requirements of Disability Laws that relate to the employer employee relationship or that are necessitated by the special needs of any employee, agent, visitor or invitee of Tenant and that are not required to be provided generally, including, without limitation, requirements related to auxiliary aids and graphics installed by or on behalf of Tenant (other than Base Building Signage), and (5) all requirements of Disability Laws that relate to private restrooms constructed by or at the special request of Tenant. Landlord, at its sole cost, will be responsible for compliance with Disability Laws with respect to the Common Areas and the Service Areas. Neither party will be in default under this </w:t>
      </w:r>
      <w:r>
        <w:rPr>
          <w:rFonts w:ascii="Times New Roman" w:cs="Times New Roman" w:eastAsia="Times New Roman" w:hAnsi="Times New Roman"/>
          <w:sz w:val="18"/>
          <w:szCs w:val="18"/>
          <w:u w:val="single" w:color="auto"/>
          <w:color w:val="auto"/>
        </w:rPr>
        <w:t>Section 16(b)</w:t>
      </w:r>
      <w:r>
        <w:rPr>
          <w:rFonts w:ascii="Times New Roman" w:cs="Times New Roman" w:eastAsia="Times New Roman" w:hAnsi="Times New Roman"/>
          <w:sz w:val="18"/>
          <w:szCs w:val="18"/>
          <w:color w:val="auto"/>
        </w:rPr>
        <w:t xml:space="preserve"> for its failure to comply with Disability Laws so long as the responsible party is either contesting in good faith, and by legal means, the enforcement of Disability Laws, or is undertaking diligent efforts to comply with Disability Laws.</w:t>
      </w:r>
    </w:p>
    <w:p>
      <w:pPr>
        <w:spacing w:after="0" w:line="357" w:lineRule="exact"/>
        <w:rPr>
          <w:rFonts w:ascii="Times New Roman" w:cs="Times New Roman" w:eastAsia="Times New Roman" w:hAnsi="Times New Roman"/>
          <w:sz w:val="18"/>
          <w:szCs w:val="18"/>
          <w:color w:val="auto"/>
        </w:rPr>
      </w:pPr>
    </w:p>
    <w:p>
      <w:pPr>
        <w:jc w:val="both"/>
        <w:ind w:firstLine="1043"/>
        <w:spacing w:after="0" w:line="243" w:lineRule="auto"/>
        <w:tabs>
          <w:tab w:leader="none" w:pos="136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will cooperate fully with Landlord, at all times, in abiding by all regulations and requirements which Landlord may prescribe for the proper functioning and protection of all utilities and services necessary for the operation of the Premises or the Complex and such other rules and regulations Landlord may prescribe in connection with any so-called green/LEED program(s) undertaken or maintained by Landlord, including, without limitation, surveys adopted by Landlord from time to time for the Building and maintaining and reporting utility consumption data in a format prescribed by Landlord. Landlord and its contractors will have free access to any and all mechanical installations in the Premises at all reasonable times upon prior written notice to Tenant (provided that no such notice or reasonable time requirement will be required in the case of emergency or to perform repairs or other services otherwise required by Landlord under this Lease), and Tenant agrees that there will be no construction of partitions or other obstructions which might interfere with the moving of the servicing equipment of Landlord to or from the enclosures containing said installations. Tenant further agrees that neither Tenant nor its employees, agents, licensees, invitees or contractors will at any time tamper with, adjust or otherwise in any manner adversely affect Landlord's mechanical installations in the Premises or the Complex. Further, Tenant will not knowingly use or operate the Premises in any manner that will cause the Premises, Building or Complex or any part thereof not to conform with Landlord's sustainability practices or the certification of the Premises, Building or Complex issued pursuant to any so-called green/LEED program(s) undertaken or maintained by Landlord.</w:t>
      </w:r>
    </w:p>
    <w:p>
      <w:pPr>
        <w:spacing w:after="0" w:line="154" w:lineRule="exact"/>
        <w:rPr>
          <w:rFonts w:ascii="Times New Roman" w:cs="Times New Roman" w:eastAsia="Times New Roman" w:hAnsi="Times New Roman"/>
          <w:sz w:val="18"/>
          <w:szCs w:val="18"/>
          <w:color w:val="auto"/>
        </w:rPr>
      </w:pPr>
    </w:p>
    <w:p>
      <w:pPr>
        <w:jc w:val="both"/>
        <w:ind w:firstLine="1043"/>
        <w:spacing w:after="0" w:line="259" w:lineRule="auto"/>
        <w:tabs>
          <w:tab w:leader="none" w:pos="136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will comply with the Rules and Regulations and will cause all of its agents, employees, contractors, invitees and visitors to do so. All changes to such Rules and Regulations will be sent by Landlord to Tenant in writing. Landlord will have no liability to Tenant or any other person for its failure to enforce the Rules and Regulations.</w:t>
      </w:r>
    </w:p>
    <w:p>
      <w:pPr>
        <w:spacing w:after="0" w:line="135" w:lineRule="exact"/>
        <w:rPr>
          <w:rFonts w:ascii="Times New Roman" w:cs="Times New Roman" w:eastAsia="Times New Roman" w:hAnsi="Times New Roman"/>
          <w:sz w:val="18"/>
          <w:szCs w:val="18"/>
          <w:color w:val="auto"/>
        </w:rPr>
      </w:pPr>
    </w:p>
    <w:p>
      <w:pPr>
        <w:jc w:val="both"/>
        <w:ind w:firstLine="1043"/>
        <w:spacing w:after="0" w:line="249" w:lineRule="auto"/>
        <w:tabs>
          <w:tab w:leader="none" w:pos="134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at its sole cost and expense, will regularly monitor the Premises for the presence of mold or any conditions that reasonably can be expected to give rise to mold, such as by way of example but not limitation, water damage, mold growth, repeated complaints of respiratory ailments or eye irritation by persons occupying the Premises or any notice from a governmental authority of complaints of indoor air quality at the Premises. If Tenant discovers the existence of any mold or conditions referred to above, Tenant will notify Landlord and retain an industrial hygienist or other professional mold consultant to conduct an inspection and prepare a report for Tenant and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LEASE AGREEMENT- 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630555</wp:posOffset>
            </wp:positionV>
            <wp:extent cx="7178040" cy="4000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602">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336" w:right="319" w:bottom="1440" w:gutter="0" w:footer="0" w:header="0"/>
        </w:sectPr>
      </w:pPr>
    </w:p>
    <w:bookmarkStart w:id="175" w:name="page176"/>
    <w:bookmarkEnd w:id="175"/>
    <w:p>
      <w:pPr>
        <w:jc w:val="both"/>
        <w:spacing w:after="0" w:line="243" w:lineRule="auto"/>
        <w:rPr>
          <w:sz w:val="20"/>
          <w:szCs w:val="20"/>
          <w:color w:val="auto"/>
        </w:rPr>
      </w:pPr>
      <w:r>
        <w:rPr>
          <w:rFonts w:ascii="Times New Roman" w:cs="Times New Roman" w:eastAsia="Times New Roman" w:hAnsi="Times New Roman"/>
          <w:sz w:val="18"/>
          <w:szCs w:val="18"/>
          <w:color w:val="auto"/>
        </w:rPr>
        <w:t>Landlord. If the inspection report concludes that mold is present in the Premises due to the fault of Tenant, Tenant, at its sole cost and expense, will hire a contractor that specializes in mold remediation to prepare a remediation plan for the Premises. If the inspection report concludes that mold is present in the Premises due in whole or in part to actions, omissions or negligence of Landlord, Landlord will be responsible for the cost of such inspection and the cost of remediation to the extent of Landlord's responsibility for the presence of mold at or within the Premises. Any remediation plan will be subject to the approval of Landlord, which approval will not be unreasonably withheld or delayed. Upon Landlord's approval of the plan, the contractor will promptly carry out the work contemplated in the plan in accordance with applicable laws. To the extent required by applicable state or local health or safety requirements, occupants and visitors to the Premises will be notified of the conditions and the schedule for the remediation. Landlord will have a reasonable opportunity to inspect the remediated portion of the Premises after completion of the remediation. The contractor performing the remediation will provide a written certification to Landlord and Tenant that the remediation has been completed in accordance with applicable laws. To the fullest extent allowable under applicable laws, Tenant releases and will indemnify, protect, defend (with counsel reasonably acceptable to Landlord) and hold harmless the Landlord Parties and the Property from and against any Claims in any manner relating to or arising out of any mold on the Premises to the extent resulting from the negligence, acts of failure to perform any obligations of Tenant pursuant to this Lease or any work performed, materials furnished or obligations incurred by or for Tenant or any person or entity claiming by, through or under Tenant in connection with the remediation of any mold on the Premises.</w:t>
      </w:r>
    </w:p>
    <w:p>
      <w:pPr>
        <w:spacing w:after="0" w:line="359" w:lineRule="exact"/>
        <w:rPr>
          <w:sz w:val="20"/>
          <w:szCs w:val="20"/>
          <w:color w:val="auto"/>
        </w:rPr>
      </w:pPr>
    </w:p>
    <w:p>
      <w:pPr>
        <w:jc w:val="both"/>
        <w:ind w:firstLine="1043"/>
        <w:spacing w:after="0" w:line="242" w:lineRule="auto"/>
        <w:tabs>
          <w:tab w:leader="none" w:pos="1349"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may, but is not obligated to, contest the amount or validity, in whole or in part, of any Taxes. If Taxes are reduced (or if a proposed increase is avoided or reduced) because Taxes are contested, Landlord may include in its computation of Basic Operating Costs, the costs and expenses incurred in connection with such contest, including without limitation reasonable attorney's fees, up to the amount of any Tax reduction obtained in connection with the contest or any Tax increase avoided or reduced in connection with the contest, as the case may be. Tenant has no right to protest any Tax and/or the appraised value of the Building determined by any taxing authority. Tenant hereby knowingly, voluntarily and intentionally waives and releases any right, whether created by law or otherwise, to (a) file or otherwise protest before any taxing authority any such rate or value determination even though Landlord may elect not to file any such protest; (b) receive, or otherwise require Landlord to deliver, a copy of any reappraisal notice received by Landlord from any taxing authority; and (c) appeal any order of a taxing authority which determines any such protest. The foregoing waiver and release covers and includes any and all rights, remedies and recourse of Tenant, now or at any time hereafter, under Section 41.413 and Section 42.015 of the Texas Tax Code (as currently enacted or hereafter modified) together with any other or further laws, rules or regulations covering the subject matter thereof. Tenant acknowledges and agrees that the foregoing waiver and release was bargained for by Landlord and Landlord would not have agreed to enter into this Lease in the absence of this waiver and release. If, notwithstanding any such waiver and release, Tenant files or otherwise appeals any such protest, then Tenant will be in default under this Lease and, in addition to Landlord's other rights and remedies, Tenant must pay or otherwise reimburse Landlord for costs incurred in contesting any Taxes. If, as a result of Tenant's tax appeal or protest, an increase in the value of the Complex occurs, then Tenant must pay Landlord, in addition to Tenant's Share of the costs incurred by Landlord in contesting such Taxes, an amount equal to the additional Taxes payable as a result of such increase, such amount to be calculated based upon the increase in value multiplied by the tax rate estimated to be in effect for each year during the balance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LEASE AGREEMENT- 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630555</wp:posOffset>
            </wp:positionV>
            <wp:extent cx="7178040" cy="4000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603">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336" w:right="319" w:bottom="1440" w:gutter="0" w:footer="0" w:header="0"/>
        </w:sectPr>
      </w:pPr>
    </w:p>
    <w:bookmarkStart w:id="176" w:name="page177"/>
    <w:bookmarkEnd w:id="176"/>
    <w:p>
      <w:pPr>
        <w:spacing w:after="0" w:line="278" w:lineRule="auto"/>
        <w:rPr>
          <w:sz w:val="20"/>
          <w:szCs w:val="20"/>
          <w:color w:val="auto"/>
        </w:rPr>
      </w:pPr>
      <w:r>
        <w:rPr>
          <w:rFonts w:ascii="Times New Roman" w:cs="Times New Roman" w:eastAsia="Times New Roman" w:hAnsi="Times New Roman"/>
          <w:sz w:val="18"/>
          <w:szCs w:val="18"/>
          <w:color w:val="auto"/>
        </w:rPr>
        <w:t>of the Lease Term (and to the extent applicable, any extension of the Lease Term). Tenant's Share of Landlord's costs incurred in connection with contesting the Taxes must be paid by Tenant within five days following written demand by Landlord.</w:t>
      </w:r>
    </w:p>
    <w:p>
      <w:pPr>
        <w:spacing w:after="0" w:line="119" w:lineRule="exact"/>
        <w:rPr>
          <w:sz w:val="20"/>
          <w:szCs w:val="20"/>
          <w:color w:val="auto"/>
        </w:rPr>
      </w:pPr>
    </w:p>
    <w:p>
      <w:pPr>
        <w:jc w:val="both"/>
        <w:ind w:firstLine="743"/>
        <w:spacing w:after="0" w:line="247" w:lineRule="auto"/>
        <w:tabs>
          <w:tab w:leader="none" w:pos="108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Entry by Landlord</w:t>
      </w:r>
      <w:r>
        <w:rPr>
          <w:rFonts w:ascii="Times New Roman" w:cs="Times New Roman" w:eastAsia="Times New Roman" w:hAnsi="Times New Roman"/>
          <w:sz w:val="18"/>
          <w:szCs w:val="18"/>
          <w:color w:val="auto"/>
        </w:rPr>
        <w:t>. Tenant agrees to permit Landlord and its employees, agents, contractors or representatives to enter into and upon any part of the Premises at reasonable hours upon reasonable prior notice (and in the case of emergencies at all times and without notice) to inspect the same, or to show the Premises to prospective purchasers, mortgagees, insurers or, during the last year of the Lease Term, to prospective tenants, or to clean or make repairs, alterations or additions thereto, and Tenant will not be entitled to any abatement or reduction of Rent by reason thereof. Landlord will use reasonable efforts to minimize any disruption to the conduct of Tenant's business by reason of any such entry. No notice shall be required with respect to entry by Landlord, or its employees, agents or contractors to perform janitorial services or for routine checks by Landlord's security personnel.</w:t>
      </w:r>
    </w:p>
    <w:p>
      <w:pPr>
        <w:spacing w:after="0" w:line="148" w:lineRule="exact"/>
        <w:rPr>
          <w:rFonts w:ascii="Times New Roman" w:cs="Times New Roman" w:eastAsia="Times New Roman" w:hAnsi="Times New Roman"/>
          <w:sz w:val="18"/>
          <w:szCs w:val="18"/>
          <w:color w:val="auto"/>
        </w:rPr>
      </w:pPr>
    </w:p>
    <w:p>
      <w:pPr>
        <w:ind w:left="1060" w:hanging="317"/>
        <w:spacing w:after="0"/>
        <w:tabs>
          <w:tab w:leader="none" w:pos="10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and Subletting.</w:t>
      </w:r>
    </w:p>
    <w:p>
      <w:pPr>
        <w:spacing w:after="0" w:line="184" w:lineRule="exact"/>
        <w:rPr>
          <w:rFonts w:ascii="Times New Roman" w:cs="Times New Roman" w:eastAsia="Times New Roman" w:hAnsi="Times New Roman"/>
          <w:sz w:val="18"/>
          <w:szCs w:val="18"/>
          <w:color w:val="auto"/>
        </w:rPr>
      </w:pPr>
    </w:p>
    <w:p>
      <w:pPr>
        <w:jc w:val="both"/>
        <w:ind w:firstLine="1043"/>
        <w:spacing w:after="0" w:line="242" w:lineRule="auto"/>
        <w:tabs>
          <w:tab w:leader="none" w:pos="1351"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Tenant will not assign this Lease or sublease the Premises or any part thereof or mortgage, pledge or hypothecate its leasehold interest or grant any concession or license within the Premises (any such assignment, sublease, mortgage, pledge, hypothecation, or grant of a concession or license being hereinafter referred to in this Section 18 as a "Transfer") without the prior written consent of Landlord and any attempt to effect a Transfer without such consent of Landlord will be void and of no effect. In order for Tenant to make a Transfer, Tenant must request in writing Landlord's consent at least thirty (30) days in advance of the date on which Tenant desires to make a Transfer and pay Landlord a $1,500.00 fee for reviewing such request (the "Review Fee"), which Review Fee is intended to reimburse Landlord for legal fees and expenses incurred by Landlord in connection with such review. Such request will include the name of the proposed assignee or sublessee, current financial information on the proposed assignee or sublessee and the terms of the proposed Transfer. Landlord will, within fifteen (15) days following receipt of such request, notify Tenant in writing that Landlord elects (1) to permit Tenant to assign or sublet such space in accordance with the terms provided to Landlord, or (2) to refuse consent to Tenant's requested Transfer and to continue this Lease in full force and effect as to the entire Premises. If Landlord fails to notify Tenant in writing of such election within said fifteen (15) day period, Landlord will be deemed to have elected </w:t>
      </w:r>
      <w:r>
        <w:rPr>
          <w:rFonts w:ascii="Times New Roman" w:cs="Times New Roman" w:eastAsia="Times New Roman" w:hAnsi="Times New Roman"/>
          <w:sz w:val="18"/>
          <w:szCs w:val="18"/>
          <w:u w:val="single" w:color="auto"/>
          <w:color w:val="auto"/>
        </w:rPr>
        <w:t>option (2)</w:t>
      </w:r>
      <w:r>
        <w:rPr>
          <w:rFonts w:ascii="Times New Roman" w:cs="Times New Roman" w:eastAsia="Times New Roman" w:hAnsi="Times New Roman"/>
          <w:sz w:val="18"/>
          <w:szCs w:val="18"/>
          <w:color w:val="auto"/>
        </w:rPr>
        <w:t xml:space="preserve"> above. If Landlord elects option (2) above, Landlord will return the Review Fee to Tenant. If Landlord elects to exercise </w:t>
      </w:r>
      <w:r>
        <w:rPr>
          <w:rFonts w:ascii="Times New Roman" w:cs="Times New Roman" w:eastAsia="Times New Roman" w:hAnsi="Times New Roman"/>
          <w:sz w:val="18"/>
          <w:szCs w:val="18"/>
          <w:u w:val="single" w:color="auto"/>
          <w:color w:val="auto"/>
        </w:rPr>
        <w:t>option (1)</w:t>
      </w:r>
      <w:r>
        <w:rPr>
          <w:rFonts w:ascii="Times New Roman" w:cs="Times New Roman" w:eastAsia="Times New Roman" w:hAnsi="Times New Roman"/>
          <w:sz w:val="18"/>
          <w:szCs w:val="18"/>
          <w:color w:val="auto"/>
        </w:rPr>
        <w:t xml:space="preserve"> above, Tenant agrees to provide, at its expense, direct access from any sublet space or concession area to a public corridor of the Building, and such other improvements, alterations or additions as may be required by applicable law. The prohibition against a Transfer contained herein shall be construed to include a prohibition against any Transfer by merger, sale of substantially all of the assets of Tenant, sale of a controlling interest in stock, or operation of law, but shall specifically exclude the sale of stock/equity interests on a national securities exchange and transfer of stock/equity interests for estate planning purposes Notwithstanding the foregoing, Tenant shall have the right, subject to </w:t>
      </w:r>
      <w:r>
        <w:rPr>
          <w:rFonts w:ascii="Times New Roman" w:cs="Times New Roman" w:eastAsia="Times New Roman" w:hAnsi="Times New Roman"/>
          <w:sz w:val="18"/>
          <w:szCs w:val="18"/>
          <w:u w:val="single" w:color="auto"/>
          <w:color w:val="auto"/>
        </w:rPr>
        <w:t>Section 18(b)</w:t>
      </w:r>
      <w:r>
        <w:rPr>
          <w:rFonts w:ascii="Times New Roman" w:cs="Times New Roman" w:eastAsia="Times New Roman" w:hAnsi="Times New Roman"/>
          <w:sz w:val="18"/>
          <w:szCs w:val="18"/>
          <w:color w:val="auto"/>
        </w:rPr>
        <w:t>, to assign this Lease or sublease all or part of the Premises (a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to the following types of entities (each, a "</w:t>
      </w:r>
      <w:r>
        <w:rPr>
          <w:rFonts w:ascii="Times New Roman" w:cs="Times New Roman" w:eastAsia="Times New Roman" w:hAnsi="Times New Roman"/>
          <w:sz w:val="18"/>
          <w:szCs w:val="18"/>
          <w:u w:val="single" w:color="auto"/>
          <w:color w:val="auto"/>
        </w:rPr>
        <w:t>Permitted Transferee</w:t>
      </w:r>
      <w:r>
        <w:rPr>
          <w:rFonts w:ascii="Times New Roman" w:cs="Times New Roman" w:eastAsia="Times New Roman" w:hAnsi="Times New Roman"/>
          <w:sz w:val="18"/>
          <w:szCs w:val="18"/>
          <w:color w:val="auto"/>
        </w:rPr>
        <w:t>") without the written consent of Landlord (each, a "</w:t>
      </w:r>
      <w:r>
        <w:rPr>
          <w:rFonts w:ascii="Times New Roman" w:cs="Times New Roman" w:eastAsia="Times New Roman" w:hAnsi="Times New Roman"/>
          <w:sz w:val="18"/>
          <w:szCs w:val="18"/>
          <w:u w:val="single" w:color="auto"/>
          <w:color w:val="auto"/>
        </w:rPr>
        <w:t>Permitted Transfer</w:t>
      </w:r>
      <w:r>
        <w:rPr>
          <w:rFonts w:ascii="Times New Roman" w:cs="Times New Roman" w:eastAsia="Times New Roman" w:hAnsi="Times New Roman"/>
          <w:sz w:val="18"/>
          <w:szCs w:val="18"/>
          <w:color w:val="auto"/>
        </w:rPr>
        <w:t>"): (1) any person or entity who or which controls, is controlled by, or is under common control with the original Tenant executing this Lease; (2) any corporation in which or with which Tenant, or its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LEASE AGREEMENT- 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630555</wp:posOffset>
            </wp:positionV>
            <wp:extent cx="7178040" cy="4000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604">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336" w:right="319" w:bottom="1440" w:gutter="0" w:footer="0" w:header="0"/>
        </w:sectPr>
      </w:pPr>
    </w:p>
    <w:bookmarkStart w:id="177" w:name="page178"/>
    <w:bookmarkEnd w:id="177"/>
    <w:p>
      <w:pPr>
        <w:jc w:val="both"/>
        <w:spacing w:after="0" w:line="245" w:lineRule="auto"/>
        <w:rPr>
          <w:sz w:val="20"/>
          <w:szCs w:val="20"/>
          <w:color w:val="auto"/>
        </w:rPr>
      </w:pPr>
      <w:r>
        <w:rPr>
          <w:rFonts w:ascii="Times New Roman" w:cs="Times New Roman" w:eastAsia="Times New Roman" w:hAnsi="Times New Roman"/>
          <w:sz w:val="18"/>
          <w:szCs w:val="18"/>
          <w:color w:val="auto"/>
        </w:rPr>
        <w:t>corporate successors or assigns, is merged or consolidated, in accordance with applicable statutory provisions governing merger and consolidation of corporations, so long as Tenant's obligations hereunder are assumed by the corporation surviving such merger or created by such consolidation and, in either case, as long as the net worth of the proposed Permitted Transferee is equal to or greater than that of the original Tenant executing this Lease and, except in the case of merger or consolidation of the original Tenant, the original Tenant executing this Lease remains liable for all duties and obligations of Tenant under this Lease following such Permitted Transfer. The term "</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shall mean with respect to a corporation, the right to exercise, directly or indirectly, more than fifty percent (50%) of the voting rights attributable to the shares of the controlled corporation, and with respect to a person or entity that is not a corporation, the possession, directly or indirectly, of the power to direct or cause the direction of the management or policies of the controlled person or entity. Tenant will provide Landlord with written notice of any Permitted Transfer within ten (10) days after the Effective Date thereof.</w:t>
      </w:r>
    </w:p>
    <w:p>
      <w:pPr>
        <w:spacing w:after="0" w:line="358" w:lineRule="exact"/>
        <w:rPr>
          <w:sz w:val="20"/>
          <w:szCs w:val="20"/>
          <w:color w:val="auto"/>
        </w:rPr>
      </w:pPr>
    </w:p>
    <w:p>
      <w:pPr>
        <w:ind w:firstLine="1043"/>
        <w:spacing w:after="0" w:line="278" w:lineRule="auto"/>
        <w:tabs>
          <w:tab w:leader="none" w:pos="139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that the prior express written consent of Landlord to a Transfer may have been obtained under the provisions of </w:t>
      </w:r>
      <w:r>
        <w:rPr>
          <w:rFonts w:ascii="Times New Roman" w:cs="Times New Roman" w:eastAsia="Times New Roman" w:hAnsi="Times New Roman"/>
          <w:sz w:val="18"/>
          <w:szCs w:val="18"/>
          <w:u w:val="single" w:color="auto"/>
          <w:color w:val="auto"/>
        </w:rPr>
        <w:t>Section 18(a)</w:t>
      </w:r>
      <w:r>
        <w:rPr>
          <w:rFonts w:ascii="Times New Roman" w:cs="Times New Roman" w:eastAsia="Times New Roman" w:hAnsi="Times New Roman"/>
          <w:sz w:val="18"/>
          <w:szCs w:val="18"/>
          <w:color w:val="auto"/>
        </w:rPr>
        <w:t xml:space="preserve"> or that such permission is not required, the following will apply to all Transfers (including Permitted Transfers):</w:t>
      </w:r>
    </w:p>
    <w:p>
      <w:pPr>
        <w:spacing w:after="0" w:line="118" w:lineRule="exact"/>
        <w:rPr>
          <w:rFonts w:ascii="Times New Roman" w:cs="Times New Roman" w:eastAsia="Times New Roman" w:hAnsi="Times New Roman"/>
          <w:sz w:val="18"/>
          <w:szCs w:val="18"/>
          <w:color w:val="auto"/>
        </w:rPr>
      </w:pPr>
    </w:p>
    <w:p>
      <w:pPr>
        <w:ind w:firstLine="1794"/>
        <w:spacing w:after="0" w:line="278" w:lineRule="auto"/>
        <w:tabs>
          <w:tab w:leader="none" w:pos="2128"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will, in the case of an assignment, cause the assignee to expressly assume in writing and to agree to perform all of the covenants, duties and obligations of Tenant hereunder, and such assignee will be jointly and severally liable therefor along with Tenant;</w:t>
      </w:r>
    </w:p>
    <w:p>
      <w:pPr>
        <w:spacing w:after="0" w:line="118" w:lineRule="exact"/>
        <w:rPr>
          <w:rFonts w:ascii="Times New Roman" w:cs="Times New Roman" w:eastAsia="Times New Roman" w:hAnsi="Times New Roman"/>
          <w:sz w:val="18"/>
          <w:szCs w:val="18"/>
          <w:color w:val="auto"/>
        </w:rPr>
      </w:pPr>
    </w:p>
    <w:p>
      <w:pPr>
        <w:jc w:val="both"/>
        <w:ind w:firstLine="1794"/>
        <w:spacing w:after="0" w:line="245" w:lineRule="auto"/>
        <w:tabs>
          <w:tab w:leader="none" w:pos="2172"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will agree with Landlord that, except in the case of an Permitted Transfer, in the event that the rent or other consideration due and payable by a sublessee or assignee under any such permitted sublease or assignment exceeds the Rent for the portion of the Premises so transferred, then Tenant will pay to Landlord, as additional Rent, fifty percent (50%) of all such excess rental and other consideration (after having first deducted out-of-pocket costs incurred by Tenant in connection with such assignment or subletting, including all brokerage fees; advertising, design and/or architectural, marketing, accounting and reasonable legal expenses incurred in connection with such assignment or subleases or marketing the space generally; allowances, abated rent, similar concession payments, down-time, lease assumptions and other out-of-pocket inducements granted to the sublessee or assignee; and cost of improvements constructed in such assigned or subleased space for such assignee or sublessee which are paid for by Tenant), immediately upon receipt thereof by Tenant from such transferee;</w:t>
      </w:r>
    </w:p>
    <w:p>
      <w:pPr>
        <w:spacing w:after="0" w:line="150" w:lineRule="exact"/>
        <w:rPr>
          <w:rFonts w:ascii="Times New Roman" w:cs="Times New Roman" w:eastAsia="Times New Roman" w:hAnsi="Times New Roman"/>
          <w:sz w:val="18"/>
          <w:szCs w:val="18"/>
          <w:color w:val="auto"/>
        </w:rPr>
      </w:pPr>
    </w:p>
    <w:p>
      <w:pPr>
        <w:ind w:right="20" w:firstLine="1794"/>
        <w:spacing w:after="0" w:line="278" w:lineRule="auto"/>
        <w:tabs>
          <w:tab w:leader="none" w:pos="2131"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usage of the Premises different from the usage herein provided to be made by Tenant will be permitted, and all of the terms and provisions of this Lease will continue to apply after a Transfer;</w:t>
      </w:r>
    </w:p>
    <w:p>
      <w:pPr>
        <w:spacing w:after="0" w:line="118" w:lineRule="exact"/>
        <w:rPr>
          <w:rFonts w:ascii="Times New Roman" w:cs="Times New Roman" w:eastAsia="Times New Roman" w:hAnsi="Times New Roman"/>
          <w:sz w:val="18"/>
          <w:szCs w:val="18"/>
          <w:color w:val="auto"/>
        </w:rPr>
      </w:pPr>
    </w:p>
    <w:p>
      <w:pPr>
        <w:jc w:val="both"/>
        <w:ind w:firstLine="1794"/>
        <w:spacing w:after="0" w:line="252" w:lineRule="auto"/>
        <w:tabs>
          <w:tab w:leader="none" w:pos="2128"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all the covenants, duties and obligations of Tenant hereunder (including, without limitation, the obligation to pay Rent), and Landlord will be permitted to enforce the provisions of this Lease against the undersigned Tenant or any transferee, or both, without demand upon or proceeding in any way against any other persons. Landlord may collect Rent directly from the transferee and apply the net amount collected to the Rent reserved in this Lease, without the requirement of any consent or approval from Tenant; and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LEASE AGREEMENT- 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630555</wp:posOffset>
            </wp:positionV>
            <wp:extent cx="7178040" cy="4000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605">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336" w:right="319" w:bottom="1440" w:gutter="0" w:footer="0" w:header="0"/>
        </w:sectPr>
      </w:pPr>
    </w:p>
    <w:bookmarkStart w:id="178" w:name="page179"/>
    <w:bookmarkEnd w:id="178"/>
    <w:p>
      <w:pPr>
        <w:jc w:val="both"/>
        <w:ind w:right="20" w:firstLine="1794"/>
        <w:spacing w:after="0" w:line="259" w:lineRule="auto"/>
        <w:tabs>
          <w:tab w:leader="none" w:pos="2126"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Transfer may be made to any tenant or sublessee that occupies any space in the Building or has occupied any space in the Building within the preceding 12-month period or with whom Landlord has conducted negotiations to lease space in the Building within the preceding 6-month period.</w:t>
      </w:r>
    </w:p>
    <w:p>
      <w:pPr>
        <w:spacing w:after="0" w:line="135" w:lineRule="exact"/>
        <w:rPr>
          <w:rFonts w:ascii="Times New Roman" w:cs="Times New Roman" w:eastAsia="Times New Roman" w:hAnsi="Times New Roman"/>
          <w:sz w:val="18"/>
          <w:szCs w:val="18"/>
          <w:color w:val="auto"/>
        </w:rPr>
      </w:pPr>
    </w:p>
    <w:p>
      <w:pPr>
        <w:jc w:val="both"/>
        <w:ind w:firstLine="1043"/>
        <w:spacing w:after="0" w:line="247" w:lineRule="auto"/>
        <w:tabs>
          <w:tab w:leader="none" w:pos="1379"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by Landlord to a particular Transfer will not be deemed a consent to any other subsequent Transfer. If this Lease, the Premises or the Tenant's leasehold interest therein, or if any portion of the foregoing is transferred, or if the Premises are occupied in whole or in part by anyone other than Tenant without the prior consent of Landlord as provided herein, Landlord may nevertheless collect rent from the transferee or other occupant and apply the net amount collected to the Rent payable hereunder, but no such transaction or collection of rent or application thereof by Landlord will be deemed a waiver of the provisions hereof or a release of Tenant from the further performance by Tenant of its covenants, duties and obligations hereunder.</w:t>
      </w:r>
    </w:p>
    <w:p>
      <w:pPr>
        <w:spacing w:after="0" w:line="148" w:lineRule="exact"/>
        <w:rPr>
          <w:rFonts w:ascii="Times New Roman" w:cs="Times New Roman" w:eastAsia="Times New Roman" w:hAnsi="Times New Roman"/>
          <w:sz w:val="18"/>
          <w:szCs w:val="18"/>
          <w:color w:val="auto"/>
        </w:rPr>
      </w:pPr>
    </w:p>
    <w:p>
      <w:pPr>
        <w:jc w:val="both"/>
        <w:ind w:firstLine="1043"/>
        <w:spacing w:after="0" w:line="243" w:lineRule="auto"/>
        <w:tabs>
          <w:tab w:leader="none" w:pos="1377"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and in addition to any other reasonable grounds for denial, Landlord's consent to a Transfer will be deemed reasonably withheld if, in Landlord's good faith judgment, any one or more of the following apply: (i) the proposed transferee does not have the financial strength to perform the Tenant's obligations under this Lease unless Landlord approves, in its sole and absolute discretion, one or more other persons to guaranty the obligations of such proposed transferee and such persons execute and deliver to Landlord a guaranty in form acceptable to Landlord; (ii) the business and operations of the proposed transferee are not of comparable quality to the business and operations being conducted by other tenants in the Complex or may or will cause the Building or Complex or any part thereof not to conform with any so-called green/LEED program(s) undertaken or maintained by Landlord; (iii) the proposed transferee does not have a good business reputation in Landlord's reasonable discretion; (iv) the presence in the Premises of the proposed transferee would, in Landlord's reasonable judgment, impact the Building or the Complex in a negative manner; (v) if the subject space is only a portion of the Premises and the physical subdivision of such portion is, or would render the Premises, not regular in shape with appropriate means of ingress and egress and facilities suitable for normal leasing purposes, or is otherwise not readily divisible from the Premises; (vi) the Transfer would require alterations to the Building or the Complex to comply with applicable laws; (vii) the transferee is a government (or agency or instrumentality thereof); or (viii) an Event of Default exists under this Lease at the time Tenant requests consent to the proposed Transfer.</w:t>
      </w:r>
    </w:p>
    <w:p>
      <w:pPr>
        <w:spacing w:after="0" w:line="361" w:lineRule="exact"/>
        <w:rPr>
          <w:rFonts w:ascii="Times New Roman" w:cs="Times New Roman" w:eastAsia="Times New Roman" w:hAnsi="Times New Roman"/>
          <w:sz w:val="18"/>
          <w:szCs w:val="18"/>
          <w:color w:val="auto"/>
        </w:rPr>
      </w:pPr>
    </w:p>
    <w:p>
      <w:pPr>
        <w:jc w:val="both"/>
        <w:ind w:firstLine="743"/>
        <w:spacing w:after="0" w:line="245" w:lineRule="auto"/>
        <w:tabs>
          <w:tab w:leader="none" w:pos="109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Liens</w:t>
      </w:r>
      <w:r>
        <w:rPr>
          <w:rFonts w:ascii="Times New Roman" w:cs="Times New Roman" w:eastAsia="Times New Roman" w:hAnsi="Times New Roman"/>
          <w:sz w:val="18"/>
          <w:szCs w:val="18"/>
          <w:color w:val="auto"/>
        </w:rPr>
        <w:t>. Tenant will not permit any mechanic's liens, materialmen's liens or other liens to be placed upon the Premises or the Complex for any work performed by or at the request of Tenant, or any assignee, sublessee or licensee of Tenant, and nothing in this Lease will be deemed or construed in any way as constituting the consent or request of Landlord, express or implied, by inference or otherwise, to any person for the performance of any labor or the furnishing of any materials to the Premises, or any part thereof, nor as giving Tenant any right, power, or authority to contract for or permit the rendering of any services or the furnishing of any materials that would give rise to any mechanic's or other liens against the Premises or the Complex. In the event any such lien is attached to the Premises or the Complex and not discharged by payment, bonding or otherwise within thirty (30) days after receipt of written notice from Landlord, then, in addition to any other right or remedy of Landlord, Landlord may, but will not be obligated to, discharge the same. Any amount paid by Landlord for the aforesaid purpose will be paid by Tenant to Landlord on demand as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LEASE AGREEMENT- 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630555</wp:posOffset>
            </wp:positionV>
            <wp:extent cx="7178040" cy="4000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606">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336" w:right="31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color w:val="auto"/>
        </w:rPr>
        <w:t>additional Rent and will bear interest at the Default Rate from the date paid by Landlord until reimbursed by Tenant.</w:t>
      </w:r>
    </w:p>
    <w:p>
      <w:pPr>
        <w:spacing w:after="0" w:line="184" w:lineRule="exact"/>
        <w:rPr>
          <w:sz w:val="20"/>
          <w:szCs w:val="20"/>
          <w:color w:val="auto"/>
        </w:rPr>
      </w:pPr>
    </w:p>
    <w:p>
      <w:pPr>
        <w:ind w:left="1060" w:hanging="317"/>
        <w:spacing w:after="0"/>
        <w:tabs>
          <w:tab w:leader="none" w:pos="10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Property Insurance</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jc w:val="both"/>
        <w:ind w:firstLine="1043"/>
        <w:spacing w:after="0" w:line="245" w:lineRule="auto"/>
        <w:tabs>
          <w:tab w:leader="none" w:pos="1364"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will maintain a policy or policies of fire and extended property casualty coverage insurance on the portion of the Complex that is the property of Landlord, including Alterations by Tenant that have become the property of Landlord, in an amount equal to not less than ninety percent (90%) of the replacement cost. Such insurance will be maintained at the expense of Landlord (as a part of the Basic Operating Costs), and payments for losses thereunder will be made solely to Landlord or the mortgagees of Landlord as their interests shall appear. If insurance premiums for the Complex increase due to: (1) the Initial Improvements to the Premises in excess of Building Standard or any subsequent Alterations made by Tenant to the Premises (such Alterations to be made only in accordance with this Lease) or made by Landlord at Tenant's request, or (2) as a result of Tenant's use of the Premises, Landlord may elect to bill Tenant directly for such increased premiums rather than including such increased premiums in Basic Operating Costs, in which event, Tenant will pay as additional Rent, within ten (10) days of receipt, the amount shown on an invoice prepared by Landlord.</w:t>
      </w:r>
    </w:p>
    <w:p>
      <w:pPr>
        <w:spacing w:after="0" w:line="357" w:lineRule="exact"/>
        <w:rPr>
          <w:rFonts w:ascii="Times New Roman" w:cs="Times New Roman" w:eastAsia="Times New Roman" w:hAnsi="Times New Roman"/>
          <w:sz w:val="18"/>
          <w:szCs w:val="18"/>
          <w:color w:val="auto"/>
        </w:rPr>
      </w:pPr>
    </w:p>
    <w:p>
      <w:pPr>
        <w:jc w:val="both"/>
        <w:ind w:firstLine="1043"/>
        <w:spacing w:after="0" w:line="246" w:lineRule="auto"/>
        <w:tabs>
          <w:tab w:leader="none" w:pos="1361"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Tenant will maintain a policy or policies of "all risk" extended coverage insurance on all of its personal property, including removable trade fixtures, office supplies and movable office furniture and equipment, located on the Premises, in an amount equal to full replacement cost and endorsed to provide that Tenant's insurance is primary in the event of any overlapping coverage with the insurance carried by Landlord. Such insurance will be maintained at the expense of Tenant and payment for losses thereunder will be made solely to Tenant or the mortgagees of Tenant (if permitted hereunder) as their interests shall appear. Tenant will, prior to occupancy of the Premises and at Landlord's request from time to time, provide Landlord with a current certificate of insurance evidencing Tenant's compliance with this </w:t>
      </w:r>
      <w:r>
        <w:rPr>
          <w:rFonts w:ascii="Times New Roman" w:cs="Times New Roman" w:eastAsia="Times New Roman" w:hAnsi="Times New Roman"/>
          <w:sz w:val="18"/>
          <w:szCs w:val="18"/>
          <w:u w:val="single" w:color="auto"/>
          <w:color w:val="auto"/>
        </w:rPr>
        <w:t>Section 20</w:t>
      </w:r>
      <w:r>
        <w:rPr>
          <w:rFonts w:ascii="Times New Roman" w:cs="Times New Roman" w:eastAsia="Times New Roman" w:hAnsi="Times New Roman"/>
          <w:sz w:val="18"/>
          <w:szCs w:val="18"/>
          <w:color w:val="auto"/>
        </w:rPr>
        <w:t>. Tenant will obtain the agreement of Tenant's insurers to notify Landlord that a property insurance policy is due to be canceled or expire at least thirty (30) days prior to such cancellation or expiration.</w:t>
      </w:r>
    </w:p>
    <w:p>
      <w:pPr>
        <w:spacing w:after="0" w:line="148" w:lineRule="exact"/>
        <w:rPr>
          <w:rFonts w:ascii="Times New Roman" w:cs="Times New Roman" w:eastAsia="Times New Roman" w:hAnsi="Times New Roman"/>
          <w:sz w:val="18"/>
          <w:szCs w:val="18"/>
          <w:color w:val="auto"/>
        </w:rPr>
      </w:pPr>
    </w:p>
    <w:p>
      <w:pPr>
        <w:ind w:left="1060" w:hanging="317"/>
        <w:spacing w:after="0"/>
        <w:tabs>
          <w:tab w:leader="none" w:pos="10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Liability Insurance.</w:t>
      </w:r>
    </w:p>
    <w:p>
      <w:pPr>
        <w:spacing w:after="0" w:line="184" w:lineRule="exact"/>
        <w:rPr>
          <w:rFonts w:ascii="Times New Roman" w:cs="Times New Roman" w:eastAsia="Times New Roman" w:hAnsi="Times New Roman"/>
          <w:sz w:val="18"/>
          <w:szCs w:val="18"/>
          <w:color w:val="auto"/>
        </w:rPr>
      </w:pPr>
    </w:p>
    <w:p>
      <w:pPr>
        <w:jc w:val="both"/>
        <w:ind w:firstLine="1043"/>
        <w:spacing w:after="0" w:line="245" w:lineRule="auto"/>
        <w:tabs>
          <w:tab w:leader="none" w:pos="1414"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Landlord will maintain a policy or policies of commercial general liability insurance covering the Complex, but excluding the Premises, insuring against claims for personal or bodily injury or death or property damage (including contractual indemnity and liability coverage) occurring upon, in or about the Complex, but excluding the Premises, affording protection to the limit of not less than $2,000,000.00 combined single limit per occurrence of bodily injury, property damage, or combination thereof. Such insurance will be maintained at the expense of Landlord (as a part of the Basic Operating Costs), and payments for losses thereunder will be made solely to Landlord or the mortgagees of Landlord as their interests shall appear. Landlord's insurance will contain an endorsement that Landlord's insurance is primary for claims arising out of an incident or event occurring within the Common Areas. Landlord's insurance will include coverage for the contractual liability of Landlord to indemnify Tenant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22(b)</w:t>
      </w:r>
      <w:r>
        <w:rPr>
          <w:rFonts w:ascii="Times New Roman" w:cs="Times New Roman" w:eastAsia="Times New Roman" w:hAnsi="Times New Roman"/>
          <w:sz w:val="18"/>
          <w:szCs w:val="18"/>
          <w:color w:val="auto"/>
        </w:rPr>
        <w:t>.</w:t>
      </w:r>
    </w:p>
    <w:p>
      <w:pPr>
        <w:spacing w:after="0" w:line="361" w:lineRule="exact"/>
        <w:rPr>
          <w:rFonts w:ascii="Times New Roman" w:cs="Times New Roman" w:eastAsia="Times New Roman" w:hAnsi="Times New Roman"/>
          <w:sz w:val="18"/>
          <w:szCs w:val="18"/>
          <w:color w:val="auto"/>
        </w:rPr>
      </w:pPr>
    </w:p>
    <w:p>
      <w:pPr>
        <w:ind w:firstLine="1043"/>
        <w:spacing w:after="0" w:line="278" w:lineRule="auto"/>
        <w:tabs>
          <w:tab w:leader="none" w:pos="1386"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property insurance described above, Tenant will keep in force throughout the Lease Term, a policy or policies of commercial general liability insurance covering</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LEASE AGREEMENT- 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630555</wp:posOffset>
            </wp:positionV>
            <wp:extent cx="7178040" cy="4000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607">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336" w:right="319" w:bottom="1440" w:gutter="0" w:footer="0" w:header="0"/>
        </w:sectPr>
      </w:pPr>
    </w:p>
    <w:bookmarkStart w:id="180" w:name="page181"/>
    <w:bookmarkEnd w:id="180"/>
    <w:p>
      <w:pPr>
        <w:jc w:val="both"/>
        <w:spacing w:after="0" w:line="247" w:lineRule="auto"/>
        <w:rPr>
          <w:sz w:val="20"/>
          <w:szCs w:val="20"/>
          <w:color w:val="auto"/>
        </w:rPr>
      </w:pPr>
      <w:r>
        <w:rPr>
          <w:rFonts w:ascii="Times New Roman" w:cs="Times New Roman" w:eastAsia="Times New Roman" w:hAnsi="Times New Roman"/>
          <w:sz w:val="18"/>
          <w:szCs w:val="18"/>
          <w:color w:val="auto"/>
        </w:rPr>
        <w:t>the Premises and Tenant's use thereof against claims for personal or bodily injury or death or property damage (including contractual indemnity and liability coverage) occurring upon, in or about the Premises, with the premiums thereon fully paid on or before the due date, issued by and binding upon an insurance company licensed to do business in the State of Texas and having an</w:t>
      </w:r>
    </w:p>
    <w:p>
      <w:pPr>
        <w:spacing w:after="0" w:line="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 xml:space="preserve">A.M. Best Rating of "A VI" or better. Such insurance will provide minimum protection of not less than $2,000,000.00 combined single limit primary coverage per occurrence of bodily injury, property damage, or combination thereof. Tenant's insurance will contain an endorsement that Tenant's insurance is primary for claims arising out of an incident or event occurring within the Premises. Tenant's insurance will contain a provision naming Landlord (and any mortgagee designated by Landlord) as an additional insured and include coverage for the contractual liability of Tenant to indemnify Landlord pursuant to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 xml:space="preserve">. Tenant also will keep and maintain in full force throughout the Lease Term insurance protecting against liability under worker's compensation laws with limits at least as required by statute. Tenant will, prior to occupancy of the Premises and at Landlord's request from time to time, provide Landlord with a current certificate of insurance evidencing Tenant's compliance with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Tenant will obtain the agreement of Tenant's insurers to notify Landlord that a liability insurance policy is due to be canceled or expire at least thirty (30) days prior to such cancellation or expiration.</w:t>
      </w:r>
    </w:p>
    <w:p>
      <w:pPr>
        <w:spacing w:after="0" w:line="358" w:lineRule="exact"/>
        <w:rPr>
          <w:sz w:val="20"/>
          <w:szCs w:val="20"/>
          <w:color w:val="auto"/>
        </w:rPr>
      </w:pPr>
    </w:p>
    <w:p>
      <w:pPr>
        <w:ind w:left="1060" w:hanging="317"/>
        <w:spacing w:after="0"/>
        <w:tabs>
          <w:tab w:leader="none" w:pos="10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Indemnity</w:t>
      </w:r>
      <w:r>
        <w:rPr>
          <w:rFonts w:ascii="Times New Roman" w:cs="Times New Roman" w:eastAsia="Times New Roman" w:hAnsi="Times New Roman"/>
          <w:sz w:val="18"/>
          <w:szCs w:val="18"/>
          <w:color w:val="auto"/>
        </w:rPr>
        <w:t>.</w:t>
      </w:r>
    </w:p>
    <w:p>
      <w:pPr>
        <w:spacing w:after="0" w:line="180" w:lineRule="exact"/>
        <w:rPr>
          <w:rFonts w:ascii="Times New Roman" w:cs="Times New Roman" w:eastAsia="Times New Roman" w:hAnsi="Times New Roman"/>
          <w:sz w:val="18"/>
          <w:szCs w:val="18"/>
          <w:color w:val="auto"/>
        </w:rPr>
      </w:pPr>
    </w:p>
    <w:p>
      <w:pPr>
        <w:jc w:val="both"/>
        <w:ind w:firstLine="1043"/>
        <w:spacing w:after="0" w:line="244" w:lineRule="auto"/>
        <w:tabs>
          <w:tab w:leader="none" w:pos="1393"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TENANT WILL INDEMNIFY, DEFEND AND HOLD HARMLESS LANDLORD AND LANDLORD RELATED PARTY FROM AND AGAINST ANY AND ALL LIABILITIES, OBLIGATIONS, DAMAGES, CLAIMS, SUITS, LOSSES, CAUSES OF ACTION, LIENS, JUDGMENTS AND EXPENSES (INCLUDING COURT COSTS, ATTORNEY'S FEES AND COSTS OF INVESTIGATION) OF ANY KIND, NATURE OR DESCRIPTION RESULTING FROM ANY INJURIES TO OR DEATH OF ANY PERSON OR ANY DAMAGE TO PROPERTY WHICH ARISES, OR IS CLAIMED TO ARISE FROM: (1) AN INCIDENT OR EVENT WHICH OCCURRED WITHIN OR ON THE PREMISES; OR (2) THE OPERATION OR CONDUCT OF TENANT'S BUSINESS WITHIN THE PREMISES (COLLECTIVELY, THE "CLAIMS"), </w:t>
      </w:r>
      <w:r>
        <w:rPr>
          <w:rFonts w:ascii="Times New Roman" w:cs="Times New Roman" w:eastAsia="Times New Roman" w:hAnsi="Times New Roman"/>
          <w:sz w:val="18"/>
          <w:szCs w:val="18"/>
          <w:b w:val="1"/>
          <w:bCs w:val="1"/>
          <w:i w:val="1"/>
          <w:iCs w:val="1"/>
          <w:color w:val="auto"/>
        </w:rPr>
        <w:t>EVEN IF THE CLAIM IS BASED ON THE JOINT OR COMPARATIVE NEGLIGENT ACTS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OMISSIONS OF LANDLORD OR ANY LANDLORD RELATED PARTY</w:t>
      </w:r>
      <w:r>
        <w:rPr>
          <w:rFonts w:ascii="Times New Roman" w:cs="Times New Roman" w:eastAsia="Times New Roman" w:hAnsi="Times New Roman"/>
          <w:sz w:val="18"/>
          <w:szCs w:val="18"/>
          <w:b w:val="1"/>
          <w:bCs w:val="1"/>
          <w:color w:val="auto"/>
        </w:rPr>
        <w:t>. IF ANY SUCH CLAIM IS MADE AGAINST LANDLORD OR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 xml:space="preserve">LANDLORD RELATED PARTY, TENANT WILL, AT TENANT'S SOLE COST AND EXPENSE, DEFEND SUCH CLAIM BY OR THROUGH ATTORNEYS REASONABLY ACCEPTABLE TO LANDLORD. </w:t>
      </w:r>
      <w:r>
        <w:rPr>
          <w:rFonts w:ascii="Times New Roman" w:cs="Times New Roman" w:eastAsia="Times New Roman" w:hAnsi="Times New Roman"/>
          <w:sz w:val="18"/>
          <w:szCs w:val="18"/>
          <w:color w:val="auto"/>
        </w:rPr>
        <w:t>The indemnity obligations of Tenant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apply to a claim arising out of the gross negligence or intentional misconduct of Landlord or any Landlord Related Party.</w:t>
      </w:r>
    </w:p>
    <w:p>
      <w:pPr>
        <w:spacing w:after="0" w:line="147" w:lineRule="exact"/>
        <w:rPr>
          <w:rFonts w:ascii="Times New Roman" w:cs="Times New Roman" w:eastAsia="Times New Roman" w:hAnsi="Times New Roman"/>
          <w:sz w:val="18"/>
          <w:szCs w:val="18"/>
          <w:color w:val="auto"/>
        </w:rPr>
      </w:pPr>
    </w:p>
    <w:p>
      <w:pPr>
        <w:jc w:val="both"/>
        <w:ind w:firstLine="1043"/>
        <w:spacing w:after="0" w:line="248" w:lineRule="auto"/>
        <w:tabs>
          <w:tab w:leader="none" w:pos="1438"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LANDLORD WILL INDEMNIFY, DEFEND AND HOLD HARMLESS TENANT AND TENANT RELATED PARTY FROM AND AGAINST ANY AND ALL LIABILITIES, OBLIGATIONS, DAMAGES, CLAIMS, SUITS, LOSSES, CAUSES OF ACTION, LIENS, JUDGMENTS AND EXPENSES (INCLUDING COURT COSTS, ATTORNEYS' FEES AND COSTS OF INVESTIGATION) OF ANY KIND, NATURE OR DESCRIPTION RESULTING FROM ANY INJURIES TO OR DEATH OF ANY PERSON OR ANY DAMAGE TO PROPERTY WHICH ARISES, OR IS CLAIMED TO ARISE FROM, (1) AN INCIDENT OR EVENT WHICH OCCURRED WITHIN OR ON THE COMMON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LEASE AGREEMENT- 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630555</wp:posOffset>
            </wp:positionV>
            <wp:extent cx="7178040" cy="4000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608">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336" w:right="319" w:bottom="1440" w:gutter="0" w:footer="0" w:header="0"/>
        </w:sectPr>
      </w:pPr>
    </w:p>
    <w:bookmarkStart w:id="181" w:name="page182"/>
    <w:bookmarkEnd w:id="181"/>
    <w:p>
      <w:pPr>
        <w:jc w:val="both"/>
        <w:spacing w:after="0" w:line="248" w:lineRule="auto"/>
        <w:rPr>
          <w:sz w:val="20"/>
          <w:szCs w:val="20"/>
          <w:color w:val="auto"/>
        </w:rPr>
      </w:pPr>
      <w:r>
        <w:rPr>
          <w:rFonts w:ascii="Times New Roman" w:cs="Times New Roman" w:eastAsia="Times New Roman" w:hAnsi="Times New Roman"/>
          <w:sz w:val="18"/>
          <w:szCs w:val="18"/>
          <w:b w:val="1"/>
          <w:bCs w:val="1"/>
          <w:color w:val="auto"/>
        </w:rPr>
        <w:t xml:space="preserve">AREAS; OR (2) THE OPERATION OR CONDUCT OF LANDLORD'S BUSINESS WITHIN THE COMMON AREAS (COLLECTIVELY, THE "CLAIMS"), </w:t>
      </w:r>
      <w:r>
        <w:rPr>
          <w:rFonts w:ascii="Times New Roman" w:cs="Times New Roman" w:eastAsia="Times New Roman" w:hAnsi="Times New Roman"/>
          <w:sz w:val="18"/>
          <w:szCs w:val="18"/>
          <w:b w:val="1"/>
          <w:bCs w:val="1"/>
          <w:i w:val="1"/>
          <w:iCs w:val="1"/>
          <w:color w:val="auto"/>
        </w:rPr>
        <w:t>EVEN IF THE CLAIM IS BASED ON THE JOINT OR COMPARATIVE NEGLIGENT ACTS OR OMISSIONS OF TENANT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OR ANY TENANT RELATED PARTY</w:t>
      </w:r>
      <w:r>
        <w:rPr>
          <w:rFonts w:ascii="Times New Roman" w:cs="Times New Roman" w:eastAsia="Times New Roman" w:hAnsi="Times New Roman"/>
          <w:sz w:val="18"/>
          <w:szCs w:val="18"/>
          <w:b w:val="1"/>
          <w:bCs w:val="1"/>
          <w:color w:val="auto"/>
        </w:rPr>
        <w:t>. IF ANY SUCH CLAIM IS MADE AGAINST TENANT OR ANY TENANT RELATED PARTY,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 xml:space="preserve">LANDLORD WILL, AT LANDLORD'S SOLE COST AND EXPENSE, DEFEND SUCH CLAIM BY OR THROUGH ATTORNEYS REASONABLY ACCEPTABLE TO TENANT. </w:t>
      </w:r>
      <w:r>
        <w:rPr>
          <w:rFonts w:ascii="Times New Roman" w:cs="Times New Roman" w:eastAsia="Times New Roman" w:hAnsi="Times New Roman"/>
          <w:sz w:val="18"/>
          <w:szCs w:val="18"/>
          <w:color w:val="auto"/>
        </w:rPr>
        <w:t>The indemnity obligations of Landlord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not apply to a claim arising 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gross negligence or intentional misconduct of Tenant or any Tenant Related Party.</w:t>
      </w:r>
    </w:p>
    <w:p>
      <w:pPr>
        <w:spacing w:after="0" w:line="143" w:lineRule="exact"/>
        <w:rPr>
          <w:sz w:val="20"/>
          <w:szCs w:val="20"/>
          <w:color w:val="auto"/>
        </w:rPr>
      </w:pPr>
    </w:p>
    <w:p>
      <w:pPr>
        <w:ind w:left="1080" w:hanging="337"/>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Subrogation Rights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NOTWITHSTANDING ANYTHING IN THIS LEASE TO THE CONTRARY, TO THE EXTENT</w:t>
      </w:r>
    </w:p>
    <w:p>
      <w:pPr>
        <w:spacing w:after="0" w:line="24" w:lineRule="exact"/>
        <w:rPr>
          <w:rFonts w:ascii="Times New Roman" w:cs="Times New Roman" w:eastAsia="Times New Roman" w:hAnsi="Times New Roman"/>
          <w:sz w:val="18"/>
          <w:szCs w:val="18"/>
          <w:color w:val="auto"/>
        </w:rPr>
      </w:pPr>
    </w:p>
    <w:p>
      <w:pPr>
        <w:jc w:val="both"/>
        <w:spacing w:after="0" w:line="24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THAT AND SO LONG AS THE SAME IS PERMITTED UNDER THE LAWS AND REGULATIONS GOVERNING THE WRITING OF INSURANCE WITHIN THE STATE OF TEXAS, ALL INSURANCE CARRIED BY EITHER LANDLORD OR TENANT WILL PROVIDE FOR A WAIVER OF RIGHTS OF SUBROGATION AGAINST LANDLORD AND TENANT ON THE PART OF THE INSURANCE CARRIER. UNLESS THE WAIVERS CONTEMPLATED BY THIS SENTENCE ARE NOT OBTAINABLE FOR THE REASONS DESCRIBED IN THIS </w:t>
      </w:r>
      <w:r>
        <w:rPr>
          <w:rFonts w:ascii="Times New Roman" w:cs="Times New Roman" w:eastAsia="Times New Roman" w:hAnsi="Times New Roman"/>
          <w:sz w:val="18"/>
          <w:szCs w:val="18"/>
          <w:b w:val="1"/>
          <w:bCs w:val="1"/>
          <w:u w:val="single" w:color="auto"/>
          <w:color w:val="auto"/>
        </w:rPr>
        <w:t>SECTION 23</w:t>
      </w:r>
      <w:r>
        <w:rPr>
          <w:rFonts w:ascii="Times New Roman" w:cs="Times New Roman" w:eastAsia="Times New Roman" w:hAnsi="Times New Roman"/>
          <w:sz w:val="18"/>
          <w:szCs w:val="18"/>
          <w:b w:val="1"/>
          <w:bCs w:val="1"/>
          <w:color w:val="auto"/>
        </w:rPr>
        <w:t>, LANDLORD AND TENANT EACH HEREBY WAIVE ANY AND ALL RIGHTS OF RECOVERY, CLAIMS, ACTIONS OR CAUSES OF ACTION AGAINST THE OTHER, ITS AGENTS, OFFICERS, OR EMPLOYEES, FOR ANY LOSS OR DAMAGE TO PROPERTY OR ANY INJURIES TO OR DEATH OF ANY PERSON WHICH IS COVERED OR WOULD HAVE BEEN COVERED UNDER THE INSURANCE POLICIES REQUIRED UNDER THIS LEASE. THE FOREGOING RELEASE WILL NOT APPLY TO LOSSES OR DAMAGES IN EXCESS OF ACTUAL OR REQUIRED POLICY LIMITS (WHICHEVER IS GREATER) NOR TO ANY DEDUCTIBLE (UP TO A MAXIMUM OF $10,000) APPLICABLE UNDER ANY POLICY OBTAINED BY THE WAIVING PARTY. THE FAILURE OF EITHER PARTY (THE "</w:t>
      </w:r>
      <w:r>
        <w:rPr>
          <w:rFonts w:ascii="Times New Roman" w:cs="Times New Roman" w:eastAsia="Times New Roman" w:hAnsi="Times New Roman"/>
          <w:sz w:val="18"/>
          <w:szCs w:val="18"/>
          <w:b w:val="1"/>
          <w:bCs w:val="1"/>
          <w:u w:val="single" w:color="auto"/>
          <w:color w:val="auto"/>
        </w:rPr>
        <w:t>DEFAULTING PARTY</w:t>
      </w:r>
      <w:r>
        <w:rPr>
          <w:rFonts w:ascii="Times New Roman" w:cs="Times New Roman" w:eastAsia="Times New Roman" w:hAnsi="Times New Roman"/>
          <w:sz w:val="18"/>
          <w:szCs w:val="18"/>
          <w:b w:val="1"/>
          <w:bCs w:val="1"/>
          <w:color w:val="auto"/>
        </w:rPr>
        <w:t>") TO TAKE OUT OR MAINTAIN ANY INSURANCE POLICY REQUIRED UNDER THIS LEASE WILL BE A DEFENSE TO ANY CLAIM ASSERTED BY THE DEFAULTING PARTY AGAINST THE OTHER PARTY HERETO BY REASON OF ANY LOSS SUSTAINED BY THE DEFAULTING PARTY THAT WOULD HAVE BEEN COVERED BY ANY SUCH REQUIRED POLICY. THE WAIVERS SET FORTH IN THE IMMEDIATELY PRECEDING SENTENCE WILL BE IN ADDITION TO, AND NOT IN SUBSTITUTION FOR, ANY OTHER WAIVERS, INDEMNITIES, OR EXCLUSIONS OF LIABILITIES SET FORTH IN THIS LEASE.</w:t>
      </w:r>
    </w:p>
    <w:p>
      <w:pPr>
        <w:spacing w:after="0" w:line="152" w:lineRule="exact"/>
        <w:rPr>
          <w:rFonts w:ascii="Times New Roman" w:cs="Times New Roman" w:eastAsia="Times New Roman" w:hAnsi="Times New Roman"/>
          <w:sz w:val="18"/>
          <w:szCs w:val="18"/>
          <w:color w:val="auto"/>
        </w:rPr>
      </w:pPr>
    </w:p>
    <w:p>
      <w:pPr>
        <w:jc w:val="both"/>
        <w:ind w:firstLine="743"/>
        <w:spacing w:after="0" w:line="247" w:lineRule="auto"/>
        <w:tabs>
          <w:tab w:leader="none" w:pos="108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Casualty Damage</w:t>
      </w:r>
      <w:r>
        <w:rPr>
          <w:rFonts w:ascii="Times New Roman" w:cs="Times New Roman" w:eastAsia="Times New Roman" w:hAnsi="Times New Roman"/>
          <w:sz w:val="18"/>
          <w:szCs w:val="18"/>
          <w:color w:val="auto"/>
        </w:rPr>
        <w:t xml:space="preserve">. If the Premises or any part thereof shall be damaged by fire or other casualty, Tenant will give prompt written notice thereof to Landlord. In case the Building shall be so damaged by fire or other casualty that (i) substantial alteration or reconstruction of the Building shall, in the judgment of an independent architect selected by Landlord, be required (whether or not the Premises shall have been damaged by such fire or other casualty), or (ii) in the event any mortgagee under a first mortgage or first deed of trust covering the Building should require that the insurance proceeds payable as a result of said fire or other casualty be used to retire the mortgage debt, or (iii) in the event of the occurrence of a casualty which is not insured under the "all risk" extended coverage insurance required to be carried by Landlord pursuant to the terms of </w:t>
      </w:r>
      <w:r>
        <w:rPr>
          <w:rFonts w:ascii="Times New Roman" w:cs="Times New Roman" w:eastAsia="Times New Roman" w:hAnsi="Times New Roman"/>
          <w:sz w:val="18"/>
          <w:szCs w:val="18"/>
          <w:u w:val="single" w:color="auto"/>
          <w:color w:val="auto"/>
        </w:rPr>
        <w:t>Section 20</w:t>
      </w:r>
      <w:r>
        <w:rPr>
          <w:rFonts w:ascii="Times New Roman" w:cs="Times New Roman" w:eastAsia="Times New Roman" w:hAnsi="Times New Roman"/>
          <w:sz w:val="18"/>
          <w:szCs w:val="18"/>
          <w:color w:val="auto"/>
        </w:rPr>
        <w:t>, Landlord may, at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LEASE AGREEMENT- Page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630555</wp:posOffset>
            </wp:positionV>
            <wp:extent cx="7178040" cy="4000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609">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332" w:right="319" w:bottom="1440" w:gutter="0" w:footer="0" w:header="0"/>
        </w:sectPr>
      </w:pPr>
    </w:p>
    <w:bookmarkStart w:id="182" w:name="page183"/>
    <w:bookmarkEnd w:id="182"/>
    <w:p>
      <w:pPr>
        <w:jc w:val="both"/>
        <w:spacing w:after="0" w:line="242" w:lineRule="auto"/>
        <w:rPr>
          <w:sz w:val="20"/>
          <w:szCs w:val="20"/>
          <w:color w:val="auto"/>
        </w:rPr>
      </w:pPr>
      <w:r>
        <w:rPr>
          <w:rFonts w:ascii="Times New Roman" w:cs="Times New Roman" w:eastAsia="Times New Roman" w:hAnsi="Times New Roman"/>
          <w:sz w:val="18"/>
          <w:szCs w:val="18"/>
          <w:color w:val="auto"/>
        </w:rPr>
        <w:t xml:space="preserve">its option, terminate this Lease by notifying Tenant in writing of such termination within fifteen (15) days after the date of Landlord's receipt of the estimated cost of reconstruction or determination by a mortgagee to take the proceeds in which event the Rent hereunder will be abated as of the date of such damage. If Landlord does not elect to terminate this Lease, Landlord will, as soon as practicable, but no more than ninety (90) days after the date of such damage, commence to repair and restore the Building and will proceed with reasonable diligence to restore the Building to substantially the same condition which it was in immediately prior to the occurrence of the fire or other casualty, except that Landlord will not be required to rebuild, repair, or replace any part of Tenant's furniture, fixtures and equipment removable by Tenant under the provisions of this Lease or any Alterations to the Premises made by Tenant following the Commencement Date which were not approved by Landlord in writing, and Landlord will not in any event be required to spend for such work an amount in excess of the insurance proceeds actually received by Landlord as a result of the fire or other casualty, plus any deductible amounts thereunder. If Landlord determines that insurance proceeds will be insufficient to restore the Building as required by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Landlord may, at its option, elect to either (1) terminate this Lease by written notice to Tenant, or (2) provide the extra funds necessary to complete the restoration. In the event Landlord did not originally construct any Alterations to be repaired, the time for Landlord to commence and complete such repairs will be extended by the amount of time necessary for Landlord to obtain detailed working drawings of the Alterations to be repaired. In the event Landlord does not either commence the repairs to the Building within the time required herein, or complete the repairs to the Building within two hundred seventy (270) days after the date of such damage, Tenant may terminate the Lease by written notice thereof to Landlord given no later than thirty (30) days following the date on which Landlord was to commence or complete such repairs, as the case may be. Landlord will not be liable for any inconvenience or annoyance to Tenant or injury to the business of Tenant resulting in any way from such damage or the repair thereof, except that, subject to the provisions of the next sentence, Landlord will allow Tenant an equitable abatement of Rent during the time and to the extent the Premises are unfit for occupancy and are vacated by Tenant. If the Premises or any other portion of the Complex is damaged by fire or other casualty resulting from the intentional acts of Tenant or any employee, officer, contractor, agent, subtenant, or licensee of Tenant, the Rent hereunder will not be abated during the repair of such damage, and Tenant will remain liable for the payment thereof.</w:t>
      </w:r>
    </w:p>
    <w:p>
      <w:pPr>
        <w:spacing w:after="0" w:line="152" w:lineRule="exact"/>
        <w:rPr>
          <w:sz w:val="20"/>
          <w:szCs w:val="20"/>
          <w:color w:val="auto"/>
        </w:rPr>
      </w:pPr>
    </w:p>
    <w:p>
      <w:pPr>
        <w:jc w:val="both"/>
        <w:ind w:firstLine="743"/>
        <w:spacing w:after="0" w:line="244" w:lineRule="auto"/>
        <w:tabs>
          <w:tab w:leader="none" w:pos="1073"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Condemnation</w:t>
      </w:r>
      <w:r>
        <w:rPr>
          <w:rFonts w:ascii="Times New Roman" w:cs="Times New Roman" w:eastAsia="Times New Roman" w:hAnsi="Times New Roman"/>
          <w:sz w:val="18"/>
          <w:szCs w:val="18"/>
          <w:color w:val="auto"/>
        </w:rPr>
        <w:t>. If (i) the whole or substantially the whole of the Complex, or (ii) the whole or such portion of the Premises as shall render the remainder reasonably unfit for Tenant's use (in Tenant's discretion), shall be taken for any public or quasi-public use, by right of eminent domain or otherwise, or sold in lieu of condemnation, then this Lease will terminate as of the date when physical possession of the Building or the Premises are taken by the condemning authority. If this Lease is not so terminated upon any such taking or sale, the Base Rental payable hereunder will be diminished by an amount representing that portion of Base Rental applicable to the portion of the Premises subject to such taking or sale, and Landlord will to the extent Landlord deems feasible, restore the Building and the Premises to substantially their former condition, except that Landlord will not be required to rebuild, repair, or replace any Alterations to the Premises made by Tenant following the Commencement Date which were not approved by Landlord in writing, nor will Landlord in any event be required to spend for such work an amount in excess of the amount received by Landlord as compensation for such taking. All amounts awarded upon a taking of any part or all of the Property, Building or the Premises will belong to Landlord, and Tenant will not be entitled to and expressly waives all claims to any such compensation, except that Tenant may make a separate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LEASE AGREEMENT- 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630555</wp:posOffset>
            </wp:positionV>
            <wp:extent cx="7178040" cy="4000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610">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336" w:right="31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color w:val="auto"/>
        </w:rPr>
        <w:t>claim upon the condemning authority for expenses related to relocation and the unamortized cost of leasehold improvements paid for by Tenant.</w:t>
      </w:r>
    </w:p>
    <w:p>
      <w:pPr>
        <w:spacing w:after="0" w:line="180" w:lineRule="exact"/>
        <w:rPr>
          <w:sz w:val="20"/>
          <w:szCs w:val="20"/>
          <w:color w:val="auto"/>
        </w:rPr>
      </w:pPr>
    </w:p>
    <w:p>
      <w:pPr>
        <w:ind w:left="1060" w:hanging="317"/>
        <w:spacing w:after="0"/>
        <w:tabs>
          <w:tab w:leader="none" w:pos="10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Damages from Certain Causes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NOTWITHSTANDING ANYTHING CONTAINED IN THIS LEASE TO THE CONTRARY, AND</w:t>
      </w:r>
    </w:p>
    <w:p>
      <w:pPr>
        <w:spacing w:after="0" w:line="24" w:lineRule="exact"/>
        <w:rPr>
          <w:rFonts w:ascii="Times New Roman" w:cs="Times New Roman" w:eastAsia="Times New Roman" w:hAnsi="Times New Roman"/>
          <w:sz w:val="18"/>
          <w:szCs w:val="18"/>
          <w:color w:val="auto"/>
        </w:rPr>
      </w:pPr>
    </w:p>
    <w:p>
      <w:pPr>
        <w:jc w:val="both"/>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SUBJECT TO THE TERMS OF </w:t>
      </w:r>
      <w:r>
        <w:rPr>
          <w:rFonts w:ascii="Times New Roman" w:cs="Times New Roman" w:eastAsia="Times New Roman" w:hAnsi="Times New Roman"/>
          <w:sz w:val="18"/>
          <w:szCs w:val="18"/>
          <w:b w:val="1"/>
          <w:bCs w:val="1"/>
          <w:u w:val="single" w:color="auto"/>
          <w:color w:val="auto"/>
        </w:rPr>
        <w:t>SECTION 23</w:t>
      </w:r>
      <w:r>
        <w:rPr>
          <w:rFonts w:ascii="Times New Roman" w:cs="Times New Roman" w:eastAsia="Times New Roman" w:hAnsi="Times New Roman"/>
          <w:sz w:val="18"/>
          <w:szCs w:val="18"/>
          <w:b w:val="1"/>
          <w:bCs w:val="1"/>
          <w:color w:val="auto"/>
        </w:rPr>
        <w:t>, NEITHER LANDLORD NOR ANY LANDLORD RELATED PARTY WILL BE LIABLE FOR DAMAGES TO TENANT OR ANY PARTY CLAIMING THROUGH TENANT FOR ANY INJURY TO OR DEATH OF ANY PERSON OR DAMAGE TO PROPERTY OR FOR INTERRUPTION OR DAMAGE TO BUSINESS RESULTING FROM ANY OF THE FOLLOWING REASONS: (a) ANY ACT, OMISSION OR NEGLIGENCE OF TENANT OR TENANT'S EMPLOYEES, AGENTS, CONTRACTORS, OFFICERS, SUBTENANTS, ASSIGNEES, LICENSEES, INVITEES OR CUSTOMERS; (b) ANY ACT, OMISSION OR NEGLIGENCE OF ANY OTHER TENANT WITHIN THE BUILDING, OR ANY OF THEIR RESPECTIVE EMPLOYEES, AGENTS, CONTRACTORS, TENANTS, ASSIGNEES, LICENSEES, INVITEES OR CUSTOMERS; (c) THE REPAIR, ALTERATION, MAINTENANCE, DAMAGE OR DESTRUCTION OF THE PREMISES OR ANY OTHER PORTION OF THE BUILDING (INCLUDING THE CONSTRUCTION OF LEASEHOLD IMPROVEMENTS FOR OTHER TENANTS OF THE BUILDING), EXCEPT TO THE EXTENT CAUSED BY THE NEGLIGENCE OR WILLFUL MISCONDUCT OF LANDLORD OR ANY LANDLORD RELATED PARTY; (d)</w:t>
      </w:r>
    </w:p>
    <w:p>
      <w:pPr>
        <w:spacing w:after="0" w:line="1" w:lineRule="exact"/>
        <w:rPr>
          <w:rFonts w:ascii="Times New Roman" w:cs="Times New Roman" w:eastAsia="Times New Roman" w:hAnsi="Times New Roman"/>
          <w:sz w:val="18"/>
          <w:szCs w:val="18"/>
          <w:color w:val="auto"/>
        </w:rPr>
      </w:pPr>
    </w:p>
    <w:p>
      <w:pPr>
        <w:jc w:val="both"/>
        <w:spacing w:after="0" w:line="24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VANDALISM, THEFT, BURGLARY AND OTHER CRIMINAL ACTS (OTHER THAN THOSE COMMITTED BY LANDLORD'S EMPLOYEES); (e) ANY DEFECT IN OR FAILURE OF EQUIPMENT, PIPES, WIRING, HEATING OR AIR CONDITIONING EQUIPMENT, STAIRS, ELEVATORS, OR SIDEWALKS, THE BURSTING OF ANY PIPES OR THE LEAKING, ESCAPING OR FLOWING OF GAS, WATER, STEAM, ELECTRICITY, OR OIL, BROKEN GLASS, OR THE BACKING UP OF ANY DRAINS, EXCEPT TO THE EXTENT CAUSED BY THE NEGLIGENCE OR WILLFUL MISCONDUCT OF LANDLORD OR ANY LANDLORD RELATED PARTY; (f) INJURY DONE OR OCCASIONED BY WIND, SNOW, RAIN OR ICE, FIRE, ACT OF GOD, PUBLIC ENEMY, INJUNCTION, RIOT, STRIKE, INSURRECTION, WAR, COURT ORDER, REQUISITION, ORDER OF ANY GOVERNMENTAL BODY OR AUTHORITY, OR (g) ANY OTHER CAUSE BEYOND THE REASONABLE CONTROL OF LANDLORD. EXCEPT TO THE EXTENT CAUSED BY THE GROSS NEGLIGENCE OR WILLFUL MISCONDUCT OF LANDLORD OR ANY LANDLORD RELATED PARTY, UNDER NO CIRCUMSTANCES WILL LANDLORD BE LIABLE FOR DAMAGES RELATED TO BUSINESS INTERRUPTION OR LOSS OF PROFITS. THE PROVISIONS OF THIS </w:t>
      </w:r>
      <w:r>
        <w:rPr>
          <w:rFonts w:ascii="Times New Roman" w:cs="Times New Roman" w:eastAsia="Times New Roman" w:hAnsi="Times New Roman"/>
          <w:sz w:val="18"/>
          <w:szCs w:val="18"/>
          <w:b w:val="1"/>
          <w:bCs w:val="1"/>
          <w:u w:val="single" w:color="auto"/>
          <w:color w:val="auto"/>
        </w:rPr>
        <w:t>SECTION 26</w:t>
      </w:r>
      <w:r>
        <w:rPr>
          <w:rFonts w:ascii="Times New Roman" w:cs="Times New Roman" w:eastAsia="Times New Roman" w:hAnsi="Times New Roman"/>
          <w:sz w:val="18"/>
          <w:szCs w:val="18"/>
          <w:b w:val="1"/>
          <w:bCs w:val="1"/>
          <w:color w:val="auto"/>
        </w:rPr>
        <w:t xml:space="preserve"> WILL NOT LIMIT THE OBLIGATIONS OF LANDLORD OR THE RIGHTS OF TENANT UNDER THIS LEASE NOT INVOLVING A CLAIM FOR DAMAGES.</w:t>
      </w:r>
    </w:p>
    <w:p>
      <w:pPr>
        <w:spacing w:after="0" w:line="155" w:lineRule="exact"/>
        <w:rPr>
          <w:rFonts w:ascii="Times New Roman" w:cs="Times New Roman" w:eastAsia="Times New Roman" w:hAnsi="Times New Roman"/>
          <w:sz w:val="18"/>
          <w:szCs w:val="18"/>
          <w:color w:val="auto"/>
        </w:rPr>
      </w:pPr>
    </w:p>
    <w:p>
      <w:pPr>
        <w:ind w:left="1060" w:hanging="317"/>
        <w:spacing w:after="0"/>
        <w:tabs>
          <w:tab w:leader="none" w:pos="10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 by Tenant.</w:t>
      </w:r>
    </w:p>
    <w:p>
      <w:pPr>
        <w:spacing w:after="0" w:line="184" w:lineRule="exact"/>
        <w:rPr>
          <w:rFonts w:ascii="Times New Roman" w:cs="Times New Roman" w:eastAsia="Times New Roman" w:hAnsi="Times New Roman"/>
          <w:sz w:val="18"/>
          <w:szCs w:val="18"/>
          <w:color w:val="auto"/>
        </w:rPr>
      </w:pPr>
    </w:p>
    <w:p>
      <w:pPr>
        <w:ind w:left="1340" w:hanging="297"/>
        <w:spacing w:after="0"/>
        <w:tabs>
          <w:tab w:leader="none" w:pos="134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events will be deemed to be events of default by Tenant under this Lease (hereinafter called an "</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ind w:right="20" w:firstLine="1794"/>
        <w:spacing w:after="0" w:line="278" w:lineRule="auto"/>
        <w:tabs>
          <w:tab w:leader="none" w:pos="2146" w:val="left"/>
        </w:tabs>
        <w:numPr>
          <w:ilvl w:val="2"/>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fails to timely pay any Rent and such failure continues for a period of ten (10) days after written notice of such default has been delivered to Tenant; provided, however,</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LEASE AGREEMENT- Page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630555</wp:posOffset>
            </wp:positionV>
            <wp:extent cx="7178040" cy="4000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611">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336" w:right="319" w:bottom="1440" w:gutter="0" w:footer="0" w:header="0"/>
        </w:sectPr>
      </w:pPr>
    </w:p>
    <w:bookmarkStart w:id="184" w:name="page185"/>
    <w:bookmarkEnd w:id="184"/>
    <w:p>
      <w:pPr>
        <w:jc w:val="both"/>
        <w:ind w:right="20"/>
        <w:spacing w:after="0" w:line="259" w:lineRule="auto"/>
        <w:rPr>
          <w:sz w:val="20"/>
          <w:szCs w:val="20"/>
          <w:color w:val="auto"/>
        </w:rPr>
      </w:pPr>
      <w:r>
        <w:rPr>
          <w:rFonts w:ascii="Times New Roman" w:cs="Times New Roman" w:eastAsia="Times New Roman" w:hAnsi="Times New Roman"/>
          <w:sz w:val="18"/>
          <w:szCs w:val="18"/>
          <w:color w:val="auto"/>
        </w:rPr>
        <w:t>Landlord will not be obligated to give Tenant written notice of its failure to pay Rent more than two times in any 12-month period and after the second notice, an Event of Default will occur automatically upon Tenant's failure to timely pay any Rent within such 12-month period without the requirement of any further notice from Landlord;</w:t>
      </w:r>
    </w:p>
    <w:p>
      <w:pPr>
        <w:spacing w:after="0" w:line="135" w:lineRule="exact"/>
        <w:rPr>
          <w:sz w:val="20"/>
          <w:szCs w:val="20"/>
          <w:color w:val="auto"/>
        </w:rPr>
      </w:pPr>
    </w:p>
    <w:p>
      <w:pPr>
        <w:jc w:val="both"/>
        <w:ind w:firstLine="1794"/>
        <w:spacing w:after="0" w:line="249" w:lineRule="auto"/>
        <w:tabs>
          <w:tab w:leader="none" w:pos="2118"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fails to comply with any terms, provisions or covenants of this Lease or any other agreement between Landlord and Tenant not requiring the payment of Rent, all of which terms, provisions and covenants shall be deemed material, and such failure continues for a period of thirty (30) days after written notice of such failure is delivered to Tenant or, if such failure cannot reasonably be cured within such thirty (30) day period, Tenant fails to commence to cure such failure within such thirty (30) day period and/or thereafter fails to prosecute such cure diligently and continuously to completion within sixty (60) days of the date of Landlord's notice of default;</w:t>
      </w:r>
    </w:p>
    <w:p>
      <w:pPr>
        <w:spacing w:after="0" w:line="145" w:lineRule="exact"/>
        <w:rPr>
          <w:rFonts w:ascii="Times New Roman" w:cs="Times New Roman" w:eastAsia="Times New Roman" w:hAnsi="Times New Roman"/>
          <w:sz w:val="18"/>
          <w:szCs w:val="18"/>
          <w:color w:val="auto"/>
        </w:rPr>
      </w:pPr>
    </w:p>
    <w:p>
      <w:pPr>
        <w:jc w:val="both"/>
        <w:ind w:firstLine="1794"/>
        <w:spacing w:after="0" w:line="254" w:lineRule="auto"/>
        <w:tabs>
          <w:tab w:leader="none" w:pos="2141"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or any Guarantor takes any action to, or notifies Landlord that Tenant or any Guarantor intends to, file a petition under any section or chapter of the United States Bankruptcy Code, as amended from time to time, or under any similar law or statute of the United States or any state thereof; or a petition shall be filed against Tenant or any Guarantor under any such statute and shall not be dismissed within sixty (60) days thereafter;</w:t>
      </w:r>
    </w:p>
    <w:p>
      <w:pPr>
        <w:spacing w:after="0" w:line="355" w:lineRule="exact"/>
        <w:rPr>
          <w:rFonts w:ascii="Times New Roman" w:cs="Times New Roman" w:eastAsia="Times New Roman" w:hAnsi="Times New Roman"/>
          <w:sz w:val="18"/>
          <w:szCs w:val="18"/>
          <w:color w:val="auto"/>
        </w:rPr>
      </w:pPr>
    </w:p>
    <w:p>
      <w:pPr>
        <w:ind w:right="20" w:firstLine="1794"/>
        <w:spacing w:after="0" w:line="278" w:lineRule="auto"/>
        <w:tabs>
          <w:tab w:leader="none" w:pos="2129"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receiver or trustee shall be appointed for Tenant's leasehold interest in the Premises or for all or a substantial part of the assets of Tenant or any Guarantor; or</w:t>
      </w:r>
    </w:p>
    <w:p>
      <w:pPr>
        <w:spacing w:after="0" w:line="118" w:lineRule="exact"/>
        <w:rPr>
          <w:rFonts w:ascii="Times New Roman" w:cs="Times New Roman" w:eastAsia="Times New Roman" w:hAnsi="Times New Roman"/>
          <w:sz w:val="18"/>
          <w:szCs w:val="18"/>
          <w:color w:val="auto"/>
        </w:rPr>
      </w:pPr>
    </w:p>
    <w:p>
      <w:pPr>
        <w:ind w:left="2100" w:hanging="306"/>
        <w:spacing w:after="0"/>
        <w:tabs>
          <w:tab w:leader="none" w:pos="210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abandons all, or substantially all, of the Premises and stops paying Rent.</w:t>
      </w:r>
    </w:p>
    <w:p>
      <w:pPr>
        <w:spacing w:after="0" w:line="69" w:lineRule="exact"/>
        <w:rPr>
          <w:rFonts w:ascii="Times New Roman" w:cs="Times New Roman" w:eastAsia="Times New Roman" w:hAnsi="Times New Roman"/>
          <w:sz w:val="18"/>
          <w:szCs w:val="18"/>
          <w:color w:val="auto"/>
        </w:rPr>
      </w:pPr>
    </w:p>
    <w:p>
      <w:pPr>
        <w:jc w:val="both"/>
        <w:ind w:firstLine="1043"/>
        <w:spacing w:after="0" w:line="244" w:lineRule="auto"/>
        <w:tabs>
          <w:tab w:leader="none" w:pos="1383"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any Event of Default, Landlord may, at its option and without further notice to Tenant and without judicial process, in addition to all other remedies given hereunder or by law or equity, do any one or more of the following: (1) terminate this Lease, in which event Tenant will immediately surrender possession of the Premises to Landlord; (2) enter upon and take possession of the Premises and expel or remove Tenant therefrom, with or without having terminated this Lease; (3) apply any or all of the Security Deposit to amounts due by Tenant to Landlord under this Lease; (4) change or re-key all locks to entrances to the Premises, and Landlord will have no obligation to give Tenant a new key, key fob or access card to the Premises until such Event of Default is cured; and (5) remove from the Premises any furniture, fixtures, equipment or other personal property of Tenant, without liability for trespass or conversion, and store such items either in the Complex or elsewhere at the sole cost of Tenant and without liability to Tenant. Any of such furniture, fixtures, equipment or personal property not claimed within thirty (30) days from the date of removal will be deemed abandoned.</w:t>
      </w:r>
    </w:p>
    <w:p>
      <w:pPr>
        <w:spacing w:after="0" w:line="154" w:lineRule="exact"/>
        <w:rPr>
          <w:rFonts w:ascii="Times New Roman" w:cs="Times New Roman" w:eastAsia="Times New Roman" w:hAnsi="Times New Roman"/>
          <w:sz w:val="18"/>
          <w:szCs w:val="18"/>
          <w:color w:val="auto"/>
        </w:rPr>
      </w:pPr>
    </w:p>
    <w:p>
      <w:pPr>
        <w:ind w:right="20" w:firstLine="1043"/>
        <w:spacing w:after="0" w:line="278" w:lineRule="auto"/>
        <w:tabs>
          <w:tab w:leader="none" w:pos="1401"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by Landlord of any one or more remedies hereunder will not constitute forfeiture or an acceptance of surrender of the Premises by Tenant, it being understood that such surrender can be effected only by the written agreement of Landlord and Tenant.</w:t>
      </w:r>
    </w:p>
    <w:p>
      <w:pPr>
        <w:spacing w:after="0" w:line="118" w:lineRule="exact"/>
        <w:rPr>
          <w:rFonts w:ascii="Times New Roman" w:cs="Times New Roman" w:eastAsia="Times New Roman" w:hAnsi="Times New Roman"/>
          <w:sz w:val="18"/>
          <w:szCs w:val="18"/>
          <w:color w:val="auto"/>
        </w:rPr>
      </w:pPr>
    </w:p>
    <w:p>
      <w:pPr>
        <w:jc w:val="both"/>
        <w:ind w:firstLine="1043"/>
        <w:spacing w:after="0" w:line="259" w:lineRule="auto"/>
        <w:tabs>
          <w:tab w:leader="none" w:pos="136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Landlord terminates this Lease by reason of an Event of Default, Tenant will pay to Landlord the sum of (1) the cost of recovering the Premises, (2) the cost of repairing any damage to the Premises, (3) any amounts owed by Tenant under this Lease that have accrued but not been paid, and (4) any other damages or relief which Landlord may be entitled to at law or in equity. In no event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LEASE AGREEMENT- Page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630555</wp:posOffset>
            </wp:positionV>
            <wp:extent cx="7178040" cy="4000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612">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336" w:right="319" w:bottom="1440" w:gutter="0" w:footer="0" w:header="0"/>
        </w:sectPr>
      </w:pPr>
    </w:p>
    <w:bookmarkStart w:id="185" w:name="page186"/>
    <w:bookmarkEnd w:id="185"/>
    <w:p>
      <w:pPr>
        <w:ind w:right="20"/>
        <w:spacing w:after="0" w:line="278" w:lineRule="auto"/>
        <w:rPr>
          <w:sz w:val="20"/>
          <w:szCs w:val="20"/>
          <w:color w:val="auto"/>
        </w:rPr>
      </w:pPr>
      <w:r>
        <w:rPr>
          <w:rFonts w:ascii="Times New Roman" w:cs="Times New Roman" w:eastAsia="Times New Roman" w:hAnsi="Times New Roman"/>
          <w:sz w:val="18"/>
          <w:szCs w:val="18"/>
          <w:color w:val="auto"/>
        </w:rPr>
        <w:t>will Landlord have any obligation to refund to Tenant any of the Base Rental prepaid on this Lease, irrespective of whether Landlord relets all or any portion of the Premises following an Event of Default.</w:t>
      </w:r>
    </w:p>
    <w:p>
      <w:pPr>
        <w:spacing w:after="0" w:line="119" w:lineRule="exact"/>
        <w:rPr>
          <w:sz w:val="20"/>
          <w:szCs w:val="20"/>
          <w:color w:val="auto"/>
        </w:rPr>
      </w:pPr>
    </w:p>
    <w:p>
      <w:pPr>
        <w:jc w:val="both"/>
        <w:ind w:firstLine="1043"/>
        <w:spacing w:after="0" w:line="249" w:lineRule="auto"/>
        <w:tabs>
          <w:tab w:leader="none" w:pos="1355"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Tenant should fail to make any payment, perform any obligation, or cure any default hereunder within ten (10) days after receipt of written notice thereof, Landlord, without obligation to do so and without thereby waiving such failure or default, may make such payment, perform such obligation, and/or remedy such other default for the account of Tenant (and enter the Premises for such purpose), and Tenant will, within ten (10) days following written demand, pay all costs, expenses and disbursements (including attorneys' fees) incurred by Landlord in taking such remedial action, plus, at the option of Landlord, interest thereon at the Default Rate.</w:t>
      </w:r>
    </w:p>
    <w:p>
      <w:pPr>
        <w:spacing w:after="0" w:line="145" w:lineRule="exact"/>
        <w:rPr>
          <w:rFonts w:ascii="Times New Roman" w:cs="Times New Roman" w:eastAsia="Times New Roman" w:hAnsi="Times New Roman"/>
          <w:sz w:val="18"/>
          <w:szCs w:val="18"/>
          <w:color w:val="auto"/>
        </w:rPr>
      </w:pPr>
    </w:p>
    <w:p>
      <w:pPr>
        <w:jc w:val="both"/>
        <w:ind w:firstLine="1043"/>
        <w:spacing w:after="0" w:line="242" w:lineRule="auto"/>
        <w:tabs>
          <w:tab w:leader="none" w:pos="1333"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Lease will be construed as imposing any duty upon Landlord to relet the Premises. To the extent Section 91.006 of the Texas Property Code or any other laws of the State of Texas imposing on a landlord a duty to mitigate damages is applicable to Landlord as a result of an Event of Default, Landlord's duty will be satisfied in full if Landlord undertakes to lease the Premises to another tenant (a "</w:t>
      </w:r>
      <w:r>
        <w:rPr>
          <w:rFonts w:ascii="Times New Roman" w:cs="Times New Roman" w:eastAsia="Times New Roman" w:hAnsi="Times New Roman"/>
          <w:sz w:val="18"/>
          <w:szCs w:val="18"/>
          <w:u w:val="single" w:color="auto"/>
          <w:color w:val="auto"/>
        </w:rPr>
        <w:t>Substitute Tenant</w:t>
      </w:r>
      <w:r>
        <w:rPr>
          <w:rFonts w:ascii="Times New Roman" w:cs="Times New Roman" w:eastAsia="Times New Roman" w:hAnsi="Times New Roman"/>
          <w:sz w:val="18"/>
          <w:szCs w:val="18"/>
          <w:color w:val="auto"/>
        </w:rPr>
        <w:t xml:space="preserve">") in accordance with the following criteria: (a) Landlord will have no obligation to solicit or entertain negotiations with any other prospective tenants for the Premises until Landlord obtains full and complete possession of the Premises including, without limitation, the final and unappealable legal right to relet the Premises free of any claim of Tenant; (b) Landlord will not be obligated to lease or show the Premises on a priority basis, or offer the Premises to a prospective tenant when other space in the Building suitable for the prospective tenant's use is (or soon will be) available; (c) Landlord will not be obligated to lease the Premises to a Substitute Tenant for a base rental less than the current fair market base rental then prevailing for similar uses in comparable buildings in the Market Area, nor will Landlord be obligated to enter into a new lease under other terms and conditions that are unacceptable to Landlord under Landlord's then current leasing policies for comparable space in the Building; (d) Landlord will not be obligated to enter into a lease with a Substitute Tenant whose use would (i) violate any restriction, covenant, or requirement contained in the lease of another tenant of the Building; (ii) adversely affect the reputation of the Building; or (iii) be incompatible with other uses of the Building; (e) Landlord will not be obligated to enter into a lease with any proposed Substitute Tenant that does not have, in Landlord's reasonable opinion, sufficient financial resources to operate the Premises in a first class manner; and (f) Landlord will not be required to expend any amount of money to alter, remodel, or otherwise make the Premises suitable for use by a proposed Substitute Tenant unless: (i) Tenant pays any such sum to Landlord in advance of Landlord's execution of a lease with the proposed Substitute Tenant (which payment will not be in lieu of any damages or other sums to which Landlord may be entitled as a result of Tenant's default under this Lease); or (ii) Landlord, in Landlord's reasonable discretion, determines that any such expenditure is financially justified in connection with entering into a lease with the prospective Substitute Tenant; and (f) Tenant hereby waives any right to assert, claim or allege that Landlord has not fulfilled its duty to mitigate damages as a result of an Event of Default if Landlord's efforts to mitigate are in compliance with the provisions of this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w:t>
      </w:r>
    </w:p>
    <w:p>
      <w:pPr>
        <w:spacing w:after="0" w:line="360" w:lineRule="exact"/>
        <w:rPr>
          <w:rFonts w:ascii="Times New Roman" w:cs="Times New Roman" w:eastAsia="Times New Roman" w:hAnsi="Times New Roman"/>
          <w:sz w:val="18"/>
          <w:szCs w:val="18"/>
          <w:color w:val="auto"/>
        </w:rPr>
      </w:pPr>
    </w:p>
    <w:p>
      <w:pPr>
        <w:jc w:val="both"/>
        <w:ind w:firstLine="743"/>
        <w:spacing w:after="0" w:line="259" w:lineRule="auto"/>
        <w:tabs>
          <w:tab w:leader="none" w:pos="108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 by Landlord</w:t>
      </w:r>
      <w:r>
        <w:rPr>
          <w:rFonts w:ascii="Times New Roman" w:cs="Times New Roman" w:eastAsia="Times New Roman" w:hAnsi="Times New Roman"/>
          <w:sz w:val="18"/>
          <w:szCs w:val="18"/>
          <w:color w:val="auto"/>
        </w:rPr>
        <w:t>. Landlord will be in default under this Lease if Landlord fails to perform any of its obligations hereunder and such failure continues for a period of thirty (30) days after Tenant delivers written notice of such failure to Landlord and to the holder(s) of any indebtedness or other obligations secured by any mortgage or deed of trust affecting the Premises,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LEASE AGREEMENT- Page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630555</wp:posOffset>
            </wp:positionV>
            <wp:extent cx="7178040" cy="4000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613">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336" w:right="319" w:bottom="1440" w:gutter="0" w:footer="0" w:header="0"/>
        </w:sectPr>
      </w:pPr>
    </w:p>
    <w:bookmarkStart w:id="186" w:name="page187"/>
    <w:bookmarkEnd w:id="186"/>
    <w:p>
      <w:pPr>
        <w:jc w:val="both"/>
        <w:spacing w:after="0" w:line="249" w:lineRule="auto"/>
        <w:rPr>
          <w:sz w:val="20"/>
          <w:szCs w:val="20"/>
          <w:color w:val="auto"/>
        </w:rPr>
      </w:pPr>
      <w:r>
        <w:rPr>
          <w:rFonts w:ascii="Times New Roman" w:cs="Times New Roman" w:eastAsia="Times New Roman" w:hAnsi="Times New Roman"/>
          <w:sz w:val="18"/>
          <w:szCs w:val="18"/>
          <w:color w:val="auto"/>
        </w:rPr>
        <w:t>provided the name and address of such holder(s) have been provided to Tenant in writing, provided that if such failure cannot reasonably be cured within such thirty (30) day period, Landlord will not be in default hereunder as long as Landlord or such holder(s) commences the remedying of such failure within such thirty day period and diligently prosecutes the same to completion, during which time Landlord and such holder(s), or either of them, or their agents or employees, will be entitled to enter upon the Premises and do whatever may be necessary to remedy such failure. In no event will Landlord be liable to Tenant for consequential, special or punitive damages by reason of a failure to perform (or a default) by Landlord under this Lease.</w:t>
      </w:r>
    </w:p>
    <w:p>
      <w:pPr>
        <w:spacing w:after="0" w:line="146" w:lineRule="exact"/>
        <w:rPr>
          <w:sz w:val="20"/>
          <w:szCs w:val="20"/>
          <w:color w:val="auto"/>
        </w:rPr>
      </w:pPr>
    </w:p>
    <w:p>
      <w:pPr>
        <w:jc w:val="both"/>
        <w:ind w:firstLine="743"/>
        <w:spacing w:after="0" w:line="249" w:lineRule="auto"/>
        <w:tabs>
          <w:tab w:leader="none" w:pos="1131"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Quiet Enjoyment</w:t>
      </w:r>
      <w:r>
        <w:rPr>
          <w:rFonts w:ascii="Times New Roman" w:cs="Times New Roman" w:eastAsia="Times New Roman" w:hAnsi="Times New Roman"/>
          <w:sz w:val="18"/>
          <w:szCs w:val="18"/>
          <w:color w:val="auto"/>
        </w:rPr>
        <w:t>. Tenant, on paying all sums herein called for and performing and observing all of its covenants and agreements hereunder, will and may peaceably and quietly occupy and use the Premises during the Lease Term, subject to the provisions of this Lease, all matters of record affecting the Complex and applicable governmental laws, rules, and regulations; and Landlord agrees to warrant and forever defend Tenant's right to such occupancy against the claims of any and all persons whomsoever lawfully claiming the same or any part thereof, subject only to the provisions of this Lease, all matters of record affecting the Complex and all applicable governmental laws, rules, and regulations.</w:t>
      </w:r>
    </w:p>
    <w:p>
      <w:pPr>
        <w:spacing w:after="0" w:line="145" w:lineRule="exact"/>
        <w:rPr>
          <w:rFonts w:ascii="Times New Roman" w:cs="Times New Roman" w:eastAsia="Times New Roman" w:hAnsi="Times New Roman"/>
          <w:sz w:val="18"/>
          <w:szCs w:val="18"/>
          <w:color w:val="auto"/>
        </w:rPr>
      </w:pPr>
    </w:p>
    <w:p>
      <w:pPr>
        <w:ind w:left="1060" w:hanging="317"/>
        <w:spacing w:after="0"/>
        <w:tabs>
          <w:tab w:leader="none" w:pos="10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Intentionally Deleted</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jc w:val="both"/>
        <w:ind w:firstLine="743"/>
        <w:spacing w:after="0" w:line="244" w:lineRule="auto"/>
        <w:tabs>
          <w:tab w:leader="none" w:pos="108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Holding Over</w:t>
      </w:r>
      <w:r>
        <w:rPr>
          <w:rFonts w:ascii="Times New Roman" w:cs="Times New Roman" w:eastAsia="Times New Roman" w:hAnsi="Times New Roman"/>
          <w:sz w:val="18"/>
          <w:szCs w:val="18"/>
          <w:color w:val="auto"/>
        </w:rPr>
        <w:t xml:space="preserve">. Should Tenant continue to occupy all or any part of the Premises after the expiration of the Lease Term without the prior written consent of Landlord, such occupancy shall be a tenancy at sufferance under all of the terms, covenants and conditions of this Lease, but at a daily Base Rental equal to (i) for the first 90 days of holdover occupancy following the expiration of the Lease Term, the sum determined by dividing one hundred and fifty percent (150%) of the Base Rental, plus any sums due pursuant to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for the final month of the Lease Term by thirty (30); and (ii) from and after the 91st day of holdover occupancy following the expiration of the Lease Term, the sum determined by dividing two hundred percent (200%) of the Base Rental, plus any sums due pursuant to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for the final month of the Lease Term by thirty (30). Tenant will also pay any and all costs, expenses or damages sustained by Landlord as a result of such holdover. If Tenant consists of more than one person or entity, and if any of the persons or entities comprising Tenant continue to occupy the Premises after the expiration of the Lease Term, all other persons or entities comprising Tenant will be deemed to have consented to such occupancy and will continue to be jointly and severally liable for all of the terms, covenants and conditions contained in this Lease during the holdover term.</w:t>
      </w:r>
    </w:p>
    <w:p>
      <w:pPr>
        <w:spacing w:after="0" w:line="150" w:lineRule="exact"/>
        <w:rPr>
          <w:rFonts w:ascii="Times New Roman" w:cs="Times New Roman" w:eastAsia="Times New Roman" w:hAnsi="Times New Roman"/>
          <w:sz w:val="18"/>
          <w:szCs w:val="18"/>
          <w:color w:val="auto"/>
        </w:rPr>
      </w:pPr>
    </w:p>
    <w:p>
      <w:pPr>
        <w:ind w:left="1060" w:hanging="317"/>
        <w:spacing w:after="0"/>
        <w:tabs>
          <w:tab w:leader="none" w:pos="10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Building Name or Common Areas.</w:t>
      </w:r>
    </w:p>
    <w:p>
      <w:pPr>
        <w:spacing w:after="0" w:line="184" w:lineRule="exact"/>
        <w:rPr>
          <w:rFonts w:ascii="Times New Roman" w:cs="Times New Roman" w:eastAsia="Times New Roman" w:hAnsi="Times New Roman"/>
          <w:sz w:val="18"/>
          <w:szCs w:val="18"/>
          <w:color w:val="auto"/>
        </w:rPr>
      </w:pPr>
    </w:p>
    <w:p>
      <w:pPr>
        <w:ind w:left="1340" w:hanging="297"/>
        <w:spacing w:after="0"/>
        <w:tabs>
          <w:tab w:leader="none" w:pos="134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reserves the right at any time to change the name of the Building upon thirty (30) days advance written notice to Tenant.</w:t>
      </w:r>
    </w:p>
    <w:p>
      <w:pPr>
        <w:spacing w:after="0" w:line="184" w:lineRule="exact"/>
        <w:rPr>
          <w:rFonts w:ascii="Times New Roman" w:cs="Times New Roman" w:eastAsia="Times New Roman" w:hAnsi="Times New Roman"/>
          <w:sz w:val="18"/>
          <w:szCs w:val="18"/>
          <w:color w:val="auto"/>
        </w:rPr>
      </w:pPr>
    </w:p>
    <w:p>
      <w:pPr>
        <w:jc w:val="both"/>
        <w:ind w:firstLine="1043"/>
        <w:spacing w:after="0" w:line="252" w:lineRule="auto"/>
        <w:tabs>
          <w:tab w:leader="none" w:pos="136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hereby reserves the right to repair, change, redecorate, alter, improve, or renovate any part of the Common Areas (including, but not limited to, those located on any full floor leased by Tenant), without being held guilty of an actual or constructive eviction of Tenant or breach of any express or implied warranty and without any abatement or reduction of Rent. In exercising such right, Landlord will use reasonable efforts to minimize any interruption of Tenant's business conducted in the Premises.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LEASE AGREEMENT- Page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630555</wp:posOffset>
            </wp:positionV>
            <wp:extent cx="7178040" cy="4000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614">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336" w:right="319" w:bottom="1440" w:gutter="0" w:footer="0" w:header="0"/>
        </w:sectPr>
      </w:pPr>
    </w:p>
    <w:bookmarkStart w:id="187" w:name="page188"/>
    <w:bookmarkEnd w:id="187"/>
    <w:p>
      <w:pPr>
        <w:ind w:left="1060" w:hanging="317"/>
        <w:spacing w:after="0"/>
        <w:tabs>
          <w:tab w:leader="none" w:pos="10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Subordination to Mortgage; Estoppel Agreement.</w:t>
      </w:r>
    </w:p>
    <w:p>
      <w:pPr>
        <w:spacing w:after="0" w:line="184" w:lineRule="exact"/>
        <w:rPr>
          <w:rFonts w:ascii="Times New Roman" w:cs="Times New Roman" w:eastAsia="Times New Roman" w:hAnsi="Times New Roman"/>
          <w:sz w:val="18"/>
          <w:szCs w:val="18"/>
          <w:color w:val="auto"/>
        </w:rPr>
      </w:pPr>
    </w:p>
    <w:p>
      <w:pPr>
        <w:jc w:val="both"/>
        <w:ind w:firstLine="1043"/>
        <w:spacing w:after="0" w:line="243" w:lineRule="auto"/>
        <w:tabs>
          <w:tab w:leader="none" w:pos="1395"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Lease, there is no ground lease, mortgage or deed of trust encumbering the Complex. This Lease shall be subordinate to any mortgage, deed of trust or other lien hereafter placed upon the Premises or upon the Complex, and to any renewals, modifications, consolidations, refinancings, and extensions thereof, but Tenant agrees that any such mortgagee or deed of trust beneficiary will have the right at any time to subordinate such mortgage, deed of trust or other lien to this Lease on such terms and subject to such conditions as such mortgagee or deed of trust beneficiary may deem appropriate, in its discretion. In the event any proceedings are brought for the foreclosure of, or in the event of the exercise of the power of sale under, any such mortgage, deed of trust or other lien, Tenant agrees, without further action hereunder, to attorn to the purchaser upon such foreclosure (or any deed in lieu of foreclosure) and recognize such purchaser as the Landlord under this Lease; provided, that so long as no Event of Default exists under this Lease, any successor to Landlord who acquires title to the Complex will not disturb Tenant's possession of the Premises under this Lease, except in accordance with the terms of this Lease, and this Lease shall continue in full force and effect as a direct lease between such successor to Landlord and Tenant. Landlord is hereby irrevocably vested with full power and authority to subordinate this Lease to any mortgage, deed of trust or other lien now existing or hereafter placed upon the Premises or the Complex and Tenant agrees upon demand to execute such further commercially reasonable instruments subordinating this Lease or attorning to the holder of any such liens as Landlord may reasonably request, provided such subordination agreement contains usual and customary non-disturbance provisions in favor of Tenant.</w:t>
      </w:r>
    </w:p>
    <w:p>
      <w:pPr>
        <w:spacing w:after="0" w:line="151" w:lineRule="exact"/>
        <w:rPr>
          <w:rFonts w:ascii="Times New Roman" w:cs="Times New Roman" w:eastAsia="Times New Roman" w:hAnsi="Times New Roman"/>
          <w:sz w:val="18"/>
          <w:szCs w:val="18"/>
          <w:color w:val="auto"/>
        </w:rPr>
      </w:pPr>
    </w:p>
    <w:p>
      <w:pPr>
        <w:jc w:val="both"/>
        <w:ind w:firstLine="1043"/>
        <w:spacing w:after="0" w:line="249" w:lineRule="auto"/>
        <w:tabs>
          <w:tab w:leader="none" w:pos="1375"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Landlord obtains financing secured by the Complex, then upon Tenant's written request, Landlord agrees to use reasonable efforts to obtain from Landlord's lender, a subordination, non-disturbance and attornment agreement on such lender's form and otherwise reasonably satisfactory to Landlord, Tenant and such lender. By making such request, Tenant obligates itself to pay all fees, costs and expenses incurred by Landlord in connection therewith, including but not limited to, reasonable attorney's fees; provided, however, such obligation of Tenant will not exceed One Thousand Five Hundred and No/100 Dollars ($1,500) per request.</w:t>
      </w:r>
    </w:p>
    <w:p>
      <w:pPr>
        <w:spacing w:after="0" w:line="146" w:lineRule="exact"/>
        <w:rPr>
          <w:sz w:val="20"/>
          <w:szCs w:val="20"/>
          <w:color w:val="auto"/>
        </w:rPr>
      </w:pPr>
    </w:p>
    <w:p>
      <w:pPr>
        <w:jc w:val="both"/>
        <w:ind w:firstLine="751"/>
        <w:spacing w:after="0" w:line="249" w:lineRule="auto"/>
        <w:rPr>
          <w:sz w:val="20"/>
          <w:szCs w:val="20"/>
          <w:color w:val="auto"/>
        </w:rPr>
      </w:pPr>
      <w:r>
        <w:rPr>
          <w:rFonts w:ascii="Times New Roman" w:cs="Times New Roman" w:eastAsia="Times New Roman" w:hAnsi="Times New Roman"/>
          <w:sz w:val="18"/>
          <w:szCs w:val="18"/>
          <w:color w:val="auto"/>
        </w:rPr>
        <w:t>Tenant agrees that it will, from time to time, within ten (10) Business Days after written request by Landlord, execute and deliver to such persons as Landlord may designate, an estoppel agreement in recordable form certifying that this Lease is unmodified and in full force and effect (or if there have been modifications, that this Lease is in full force and effect as so modified), stating the dates to which Rent and other charges payable under this Lease have been paid, stating that the Landlord is not in default hereunder (or if Tenant alleges a default, stating the nature of such alleged default) and further stating such other matters as Landlord reasonably requires.</w:t>
      </w:r>
    </w:p>
    <w:p>
      <w:pPr>
        <w:spacing w:after="0" w:line="146" w:lineRule="exact"/>
        <w:rPr>
          <w:sz w:val="20"/>
          <w:szCs w:val="20"/>
          <w:color w:val="auto"/>
        </w:rPr>
      </w:pPr>
    </w:p>
    <w:p>
      <w:pPr>
        <w:ind w:firstLine="743"/>
        <w:spacing w:after="0" w:line="278" w:lineRule="auto"/>
        <w:tabs>
          <w:tab w:leader="none" w:pos="109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Landlord's Lien</w:t>
      </w:r>
      <w:r>
        <w:rPr>
          <w:rFonts w:ascii="Times New Roman" w:cs="Times New Roman" w:eastAsia="Times New Roman" w:hAnsi="Times New Roman"/>
          <w:sz w:val="18"/>
          <w:szCs w:val="18"/>
          <w:color w:val="auto"/>
        </w:rPr>
        <w:t>. Landlord hereby waives any statutory and contractual landlord liens and security interests in all property of Tenant now or hereafter placed in or upon the Premises.</w:t>
      </w:r>
    </w:p>
    <w:p>
      <w:pPr>
        <w:spacing w:after="0" w:line="118" w:lineRule="exact"/>
        <w:rPr>
          <w:rFonts w:ascii="Times New Roman" w:cs="Times New Roman" w:eastAsia="Times New Roman" w:hAnsi="Times New Roman"/>
          <w:sz w:val="18"/>
          <w:szCs w:val="18"/>
          <w:color w:val="auto"/>
        </w:rPr>
      </w:pPr>
    </w:p>
    <w:p>
      <w:pPr>
        <w:jc w:val="both"/>
        <w:ind w:right="120" w:firstLine="743"/>
        <w:spacing w:after="0" w:line="259" w:lineRule="auto"/>
        <w:tabs>
          <w:tab w:leader="none" w:pos="108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Attorney's Fees</w:t>
      </w:r>
      <w:r>
        <w:rPr>
          <w:rFonts w:ascii="Times New Roman" w:cs="Times New Roman" w:eastAsia="Times New Roman" w:hAnsi="Times New Roman"/>
          <w:sz w:val="18"/>
          <w:szCs w:val="18"/>
          <w:color w:val="auto"/>
        </w:rPr>
        <w:t>. Tenant must pay to Landlord on demand all attorneys' fees, costs and expenses reasonably incurred by Landlord in the demand for recovery of any Rent not paid when due by Tenant under this Lease, whether or not action is commenced in pursuant to payment. Furthermore, if Landlord or Tenant employs an attorney to assert or defend any action arising out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LEASE AGREEMENT- Page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630555</wp:posOffset>
            </wp:positionV>
            <wp:extent cx="7178040" cy="4000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615">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336" w:right="319" w:bottom="1440" w:gutter="0" w:footer="0" w:header="0"/>
        </w:sectPr>
      </w:pPr>
    </w:p>
    <w:bookmarkStart w:id="188" w:name="page189"/>
    <w:bookmarkEnd w:id="188"/>
    <w:p>
      <w:pPr>
        <w:jc w:val="both"/>
        <w:ind w:right="120"/>
        <w:spacing w:after="0" w:line="246" w:lineRule="auto"/>
        <w:rPr>
          <w:sz w:val="20"/>
          <w:szCs w:val="20"/>
          <w:color w:val="auto"/>
        </w:rPr>
      </w:pPr>
      <w:r>
        <w:rPr>
          <w:rFonts w:ascii="Times New Roman" w:cs="Times New Roman" w:eastAsia="Times New Roman" w:hAnsi="Times New Roman"/>
          <w:sz w:val="18"/>
          <w:szCs w:val="18"/>
          <w:color w:val="auto"/>
        </w:rPr>
        <w:t xml:space="preserve">of the breach of any term, covenant or provision of this Lease, or to bring legal action for the unlawful detainer of the Premises, the prevailing party will be entitled to recover from the non- prevailing party attorney's fees and costs of suit incurred in connection therewith. For purposes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35</w:t>
      </w:r>
      <w:r>
        <w:rPr>
          <w:rFonts w:ascii="Times New Roman" w:cs="Times New Roman" w:eastAsia="Times New Roman" w:hAnsi="Times New Roman"/>
          <w:sz w:val="18"/>
          <w:szCs w:val="18"/>
          <w:color w:val="auto"/>
        </w:rPr>
        <w:t>, a party will be considered to be the "prevailing party" to the extent that (a) such party initiated the litigation and substantially obtained the relief which it sought (whether by judgment, voluntary agreement or action of the other party, trial, or alternative dispute resolution process), (b) such party did not initiate the litigation and either (1) received a judgment in its favor, or (2) did not receive judgment in its favor, but the party receiving the judgment did not substantially obtain the relief which it sought, or (c) the other party to the litigation withdrew its claim or action without having substantially received the relief which it was seeking.</w:t>
      </w:r>
    </w:p>
    <w:p>
      <w:pPr>
        <w:spacing w:after="0" w:line="149" w:lineRule="exact"/>
        <w:rPr>
          <w:sz w:val="20"/>
          <w:szCs w:val="20"/>
          <w:color w:val="auto"/>
        </w:rPr>
      </w:pPr>
    </w:p>
    <w:p>
      <w:pPr>
        <w:jc w:val="both"/>
        <w:ind w:firstLine="743"/>
        <w:spacing w:after="0" w:line="246" w:lineRule="auto"/>
        <w:tabs>
          <w:tab w:leader="none" w:pos="1073"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Implied Waiver</w:t>
      </w:r>
      <w:r>
        <w:rPr>
          <w:rFonts w:ascii="Times New Roman" w:cs="Times New Roman" w:eastAsia="Times New Roman" w:hAnsi="Times New Roman"/>
          <w:sz w:val="18"/>
          <w:szCs w:val="18"/>
          <w:color w:val="auto"/>
        </w:rPr>
        <w:t>. The failure of either party to insist at any time upon the strict performance of any covenant or agreement in this Lease or to exercise any right, power or remedy contained in this Lease shall not be construed as a waiver or a relinquishment thereof for the future. The acceptance by Landlord of late payments will not be construed as a waiver by Landlord of the requirement for timely payment nor create a course of dealing permitting such late payments. Any payment by Tenant or receipt by Landlord of a lesser amount than the monthly installment of Rent due under this Lease will be deemed to be on account of the earliest Rent due hereunder. No endorsement or statement on any check or any letter accompanying any check or payment as Rent will be deemed an accord and satisfaction, and Landlord may accept such check or payment without prejudice to Landlord's right to recover the balance of such Rent or pursue any other remedy provided in this Lease.</w:t>
      </w:r>
    </w:p>
    <w:p>
      <w:pPr>
        <w:spacing w:after="0" w:line="148" w:lineRule="exact"/>
        <w:rPr>
          <w:rFonts w:ascii="Times New Roman" w:cs="Times New Roman" w:eastAsia="Times New Roman" w:hAnsi="Times New Roman"/>
          <w:sz w:val="18"/>
          <w:szCs w:val="18"/>
          <w:color w:val="auto"/>
        </w:rPr>
      </w:pPr>
    </w:p>
    <w:p>
      <w:pPr>
        <w:jc w:val="both"/>
        <w:ind w:firstLine="743"/>
        <w:spacing w:after="0" w:line="252" w:lineRule="auto"/>
        <w:tabs>
          <w:tab w:leader="none" w:pos="1142"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Obligations</w:t>
      </w:r>
      <w:r>
        <w:rPr>
          <w:rFonts w:ascii="Times New Roman" w:cs="Times New Roman" w:eastAsia="Times New Roman" w:hAnsi="Times New Roman"/>
          <w:sz w:val="18"/>
          <w:szCs w:val="18"/>
          <w:color w:val="auto"/>
        </w:rPr>
        <w:t>. The obligation of Tenant to pay Rent hereunder and the obligation of Tenant to perform Tenant's other covenants and duties hereunder constitute independent, unconditional obligations to be performed at all times provided for hereunder and are independent of the Landlord's performance of Landlord's duties and obligations hereunder. Except as expressly provided in this Lease, Tenant waives and relinquishes all rights which Tenant might have to claim any nature of lien against or withhold, abate or deduct from, or offset against Rent.</w:t>
      </w:r>
    </w:p>
    <w:p>
      <w:pPr>
        <w:spacing w:after="0" w:line="143" w:lineRule="exact"/>
        <w:rPr>
          <w:rFonts w:ascii="Times New Roman" w:cs="Times New Roman" w:eastAsia="Times New Roman" w:hAnsi="Times New Roman"/>
          <w:sz w:val="18"/>
          <w:szCs w:val="18"/>
          <w:color w:val="auto"/>
        </w:rPr>
      </w:pPr>
    </w:p>
    <w:p>
      <w:pPr>
        <w:jc w:val="both"/>
        <w:ind w:firstLine="743"/>
        <w:spacing w:after="0" w:line="252" w:lineRule="auto"/>
        <w:tabs>
          <w:tab w:leader="none" w:pos="108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Recourse Limitation</w:t>
      </w:r>
      <w:r>
        <w:rPr>
          <w:rFonts w:ascii="Times New Roman" w:cs="Times New Roman" w:eastAsia="Times New Roman" w:hAnsi="Times New Roman"/>
          <w:sz w:val="18"/>
          <w:szCs w:val="18"/>
          <w:color w:val="auto"/>
        </w:rPr>
        <w:t>. Tenant agrees to look solely to Landlord's equity interest in the Complex for the recovery of any judgment against Landlord, and neither Landlord nor any principals, members, partners, shareholders, officers, directors, employees of Landlord will have personally liable for any deficiency with respect to the recovery of such judgment. The provision contained in the foregoing sentence will not limit any right that Tenant might otherwise have to obtain specific performance of Landlord's obligations under this Lease.</w:t>
      </w:r>
    </w:p>
    <w:p>
      <w:pPr>
        <w:spacing w:after="0" w:line="143" w:lineRule="exact"/>
        <w:rPr>
          <w:rFonts w:ascii="Times New Roman" w:cs="Times New Roman" w:eastAsia="Times New Roman" w:hAnsi="Times New Roman"/>
          <w:sz w:val="18"/>
          <w:szCs w:val="18"/>
          <w:color w:val="auto"/>
        </w:rPr>
      </w:pPr>
    </w:p>
    <w:p>
      <w:pPr>
        <w:jc w:val="both"/>
        <w:ind w:firstLine="743"/>
        <w:spacing w:after="0" w:line="247" w:lineRule="auto"/>
        <w:tabs>
          <w:tab w:leader="none" w:pos="1119"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under this Lease must be in writing, and will be given or be served by (a) personal delivery, (b) delivery via a recognized overnight courier, (c) depositing the same in the United States mail, postage prepaid, certified mail, return receipt requested, addressed to the party to be notified at the address stated in this Lease or such other address in the continental United States of which notice has been given to the other party in the manner provided herein, or (d) via facsimile with either electronic or telephonic verification of receipt, so long as the original of the facsimile notice is deposited in the United States mail within three (3) days thereafter. Notice by personal delivery or overnight courier will be effective upon receipt, notice by mail will be effective upon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LEASE AGREEMENT- Page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630555</wp:posOffset>
            </wp:positionV>
            <wp:extent cx="7178040" cy="4000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16">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336" w:right="319" w:bottom="1440" w:gutter="0" w:footer="0" w:header="0"/>
        </w:sectPr>
      </w:pPr>
    </w:p>
    <w:bookmarkStart w:id="189" w:name="page190"/>
    <w:bookmarkEnd w:id="189"/>
    <w:p>
      <w:pPr>
        <w:spacing w:after="0" w:line="278" w:lineRule="auto"/>
        <w:rPr>
          <w:sz w:val="20"/>
          <w:szCs w:val="20"/>
          <w:color w:val="auto"/>
        </w:rPr>
      </w:pPr>
      <w:r>
        <w:rPr>
          <w:rFonts w:ascii="Times New Roman" w:cs="Times New Roman" w:eastAsia="Times New Roman" w:hAnsi="Times New Roman"/>
          <w:sz w:val="18"/>
          <w:szCs w:val="18"/>
          <w:color w:val="auto"/>
        </w:rPr>
        <w:t>deposit in the United States mail in the manner above described and notice by facsimile will be effective upon electronic or telephonic verification of receipt.</w:t>
      </w:r>
    </w:p>
    <w:p>
      <w:pPr>
        <w:spacing w:after="0" w:line="119" w:lineRule="exact"/>
        <w:rPr>
          <w:sz w:val="20"/>
          <w:szCs w:val="20"/>
          <w:color w:val="auto"/>
        </w:rPr>
      </w:pPr>
    </w:p>
    <w:p>
      <w:pPr>
        <w:jc w:val="both"/>
        <w:ind w:firstLine="743"/>
        <w:spacing w:after="0" w:line="252" w:lineRule="auto"/>
        <w:tabs>
          <w:tab w:leader="none" w:pos="1073"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or provision of this Lease, or the application thereof to any person or circumstance will, to any extent, be invalid or unenforceable, the remainder of this Lease, or the application of such term or provision to persons or circumstances other than those as to which it is held invalid or unenforceable, will not be affected thereby, and each term and provision of this Lease will be valid and enforced to the fullest extent permitted by law.</w:t>
      </w:r>
    </w:p>
    <w:p>
      <w:pPr>
        <w:spacing w:after="0" w:line="143" w:lineRule="exact"/>
        <w:rPr>
          <w:rFonts w:ascii="Times New Roman" w:cs="Times New Roman" w:eastAsia="Times New Roman" w:hAnsi="Times New Roman"/>
          <w:sz w:val="18"/>
          <w:szCs w:val="18"/>
          <w:color w:val="auto"/>
        </w:rPr>
      </w:pPr>
    </w:p>
    <w:p>
      <w:pPr>
        <w:ind w:left="1060" w:hanging="317"/>
        <w:spacing w:after="0"/>
        <w:tabs>
          <w:tab w:leader="none" w:pos="10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Recordation</w:t>
      </w:r>
      <w:r>
        <w:rPr>
          <w:rFonts w:ascii="Times New Roman" w:cs="Times New Roman" w:eastAsia="Times New Roman" w:hAnsi="Times New Roman"/>
          <w:sz w:val="18"/>
          <w:szCs w:val="18"/>
          <w:color w:val="auto"/>
        </w:rPr>
        <w:t>. Tenant agrees not to record this Lease or any memorandum hereof.</w:t>
      </w:r>
    </w:p>
    <w:p>
      <w:pPr>
        <w:spacing w:after="0" w:line="184" w:lineRule="exact"/>
        <w:rPr>
          <w:rFonts w:ascii="Times New Roman" w:cs="Times New Roman" w:eastAsia="Times New Roman" w:hAnsi="Times New Roman"/>
          <w:sz w:val="18"/>
          <w:szCs w:val="18"/>
          <w:color w:val="auto"/>
        </w:rPr>
      </w:pPr>
    </w:p>
    <w:p>
      <w:pPr>
        <w:jc w:val="both"/>
        <w:ind w:firstLine="743"/>
        <w:spacing w:after="0" w:line="259" w:lineRule="auto"/>
        <w:tabs>
          <w:tab w:leader="none" w:pos="1073"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Lease and the rights and obligations of the parties hereto will be interpreted, construed, and enforced in accordance with the laws of the State of Texas. This Lease is performable in, and the exclusive venue for any action brought with respect hereto, will be in Dallas County, Texas.</w:t>
      </w:r>
    </w:p>
    <w:p>
      <w:pPr>
        <w:spacing w:after="0" w:line="135" w:lineRule="exact"/>
        <w:rPr>
          <w:rFonts w:ascii="Times New Roman" w:cs="Times New Roman" w:eastAsia="Times New Roman" w:hAnsi="Times New Roman"/>
          <w:sz w:val="18"/>
          <w:szCs w:val="18"/>
          <w:color w:val="auto"/>
        </w:rPr>
      </w:pPr>
    </w:p>
    <w:p>
      <w:pPr>
        <w:jc w:val="both"/>
        <w:ind w:firstLine="743"/>
        <w:spacing w:after="0" w:line="249" w:lineRule="auto"/>
        <w:tabs>
          <w:tab w:leader="none" w:pos="108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 xml:space="preserve">. Whenever a period of time is herein prescribed for the taking of any action by Landlord or Tenant, the party responsible for taking such action will not be liable or responsible for, and there will be excluded from the computation of such period of time, any delays due to strikes, riots, acts of God, shortages of labor or materials, war, governmental laws, regulations or restrictions, or any other cause whatsoever beyond the control of the party responsible for taking such action; provided, however, the provisions of this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will never be construed as allowing an extension of time with respect to Tenant's obligation to pay Rent when and as due under this Lease.</w:t>
      </w:r>
    </w:p>
    <w:p>
      <w:pPr>
        <w:spacing w:after="0" w:line="145" w:lineRule="exact"/>
        <w:rPr>
          <w:rFonts w:ascii="Times New Roman" w:cs="Times New Roman" w:eastAsia="Times New Roman" w:hAnsi="Times New Roman"/>
          <w:sz w:val="18"/>
          <w:szCs w:val="18"/>
          <w:color w:val="auto"/>
        </w:rPr>
      </w:pPr>
    </w:p>
    <w:p>
      <w:pPr>
        <w:ind w:left="1060" w:hanging="317"/>
        <w:spacing w:after="0"/>
        <w:tabs>
          <w:tab w:leader="none" w:pos="10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Time of Performance</w:t>
      </w:r>
      <w:r>
        <w:rPr>
          <w:rFonts w:ascii="Times New Roman" w:cs="Times New Roman" w:eastAsia="Times New Roman" w:hAnsi="Times New Roman"/>
          <w:sz w:val="18"/>
          <w:szCs w:val="18"/>
          <w:color w:val="auto"/>
        </w:rPr>
        <w:t>. Except as otherwise expressly provided herein, time is of the essence under this Lease, including all Exhibits.</w:t>
      </w:r>
    </w:p>
    <w:p>
      <w:pPr>
        <w:spacing w:after="0" w:line="184" w:lineRule="exact"/>
        <w:rPr>
          <w:rFonts w:ascii="Times New Roman" w:cs="Times New Roman" w:eastAsia="Times New Roman" w:hAnsi="Times New Roman"/>
          <w:sz w:val="18"/>
          <w:szCs w:val="18"/>
          <w:color w:val="auto"/>
        </w:rPr>
      </w:pPr>
    </w:p>
    <w:p>
      <w:pPr>
        <w:jc w:val="both"/>
        <w:ind w:firstLine="743"/>
        <w:spacing w:after="0" w:line="252" w:lineRule="auto"/>
        <w:tabs>
          <w:tab w:leader="none" w:pos="108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Transfers by Landlord</w:t>
      </w:r>
      <w:r>
        <w:rPr>
          <w:rFonts w:ascii="Times New Roman" w:cs="Times New Roman" w:eastAsia="Times New Roman" w:hAnsi="Times New Roman"/>
          <w:sz w:val="18"/>
          <w:szCs w:val="18"/>
          <w:color w:val="auto"/>
        </w:rPr>
        <w:t>. Landlord will have the right to transfer and assign, in whole or in part, all of its rights and obligations hereunder and in the Complex, and in such event and upon the assumption by the transferee of the obligations of Landlord hereunder, Landlord will be released from any further obligations accruing after the date of transfer, and Tenant agrees to look solely to such successor in interest of Landlord for the performance of such obligations.</w:t>
      </w:r>
    </w:p>
    <w:p>
      <w:pPr>
        <w:spacing w:after="0" w:line="143" w:lineRule="exact"/>
        <w:rPr>
          <w:rFonts w:ascii="Times New Roman" w:cs="Times New Roman" w:eastAsia="Times New Roman" w:hAnsi="Times New Roman"/>
          <w:sz w:val="18"/>
          <w:szCs w:val="18"/>
          <w:color w:val="auto"/>
        </w:rPr>
      </w:pPr>
    </w:p>
    <w:p>
      <w:pPr>
        <w:jc w:val="both"/>
        <w:ind w:firstLine="743"/>
        <w:spacing w:after="0" w:line="252" w:lineRule="auto"/>
        <w:tabs>
          <w:tab w:leader="none" w:pos="1073"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Commissions</w:t>
      </w:r>
      <w:r>
        <w:rPr>
          <w:rFonts w:ascii="Times New Roman" w:cs="Times New Roman" w:eastAsia="Times New Roman" w:hAnsi="Times New Roman"/>
          <w:sz w:val="18"/>
          <w:szCs w:val="18"/>
          <w:color w:val="auto"/>
        </w:rPr>
        <w:t>. Landlord and Tenant agree that the Broker is the only broker involved in the procurement, negotiation or execution of this Lease, and that the Broker's commission will be paid by Landlord pursuant to a separate commission agreement. Landlord and Tenant hereby agree to defend, indemnify and hold each other harmless against any loss, claim, expense or liability with respect to any commissions or brokerage fees claimed on account of the execution and/or renewal of this Lease or the expansion of the Premises due to any action of the indemnifying party.</w:t>
      </w:r>
    </w:p>
    <w:p>
      <w:pPr>
        <w:spacing w:after="0" w:line="143" w:lineRule="exact"/>
        <w:rPr>
          <w:rFonts w:ascii="Times New Roman" w:cs="Times New Roman" w:eastAsia="Times New Roman" w:hAnsi="Times New Roman"/>
          <w:sz w:val="18"/>
          <w:szCs w:val="18"/>
          <w:color w:val="auto"/>
        </w:rPr>
      </w:pPr>
    </w:p>
    <w:p>
      <w:pPr>
        <w:jc w:val="both"/>
        <w:ind w:firstLine="743"/>
        <w:spacing w:after="0" w:line="259" w:lineRule="auto"/>
        <w:tabs>
          <w:tab w:leader="none" w:pos="108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Delivery of This Lease</w:t>
      </w:r>
      <w:r>
        <w:rPr>
          <w:rFonts w:ascii="Times New Roman" w:cs="Times New Roman" w:eastAsia="Times New Roman" w:hAnsi="Times New Roman"/>
          <w:sz w:val="18"/>
          <w:szCs w:val="18"/>
          <w:color w:val="auto"/>
        </w:rPr>
        <w:t>. Landlord has delivered a copy of this Lease to Tenant for Tenant's review only, and the delivery hereof does not constitute an offer to Tenant or an option to be exercised by Tenant. This Lease will not be effective until a copy of this Lease executed by both Landlord and Tenant is delivered by Landlord to Tenant.</w:t>
      </w:r>
    </w:p>
    <w:p>
      <w:pPr>
        <w:spacing w:after="0" w:line="131" w:lineRule="exact"/>
        <w:rPr>
          <w:rFonts w:ascii="Times New Roman" w:cs="Times New Roman" w:eastAsia="Times New Roman" w:hAnsi="Times New Roman"/>
          <w:sz w:val="18"/>
          <w:szCs w:val="18"/>
          <w:color w:val="auto"/>
        </w:rPr>
      </w:pPr>
    </w:p>
    <w:p>
      <w:pPr>
        <w:ind w:left="1200" w:hanging="457"/>
        <w:spacing w:after="0"/>
        <w:tabs>
          <w:tab w:leader="none" w:pos="12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Warranties and Acceptance of Condition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TENANT ACKNOWLEDGES AND AGREES THAT, EXCEPT AS</w:t>
      </w:r>
    </w:p>
    <w:p>
      <w:pPr>
        <w:spacing w:after="0" w:line="24"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OTHERWISE EXPRESSLY PROVIDED IN THIS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LEASE AGREEMENT- Page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630555</wp:posOffset>
            </wp:positionV>
            <wp:extent cx="7178040" cy="4000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17">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336" w:right="319" w:bottom="1440" w:gutter="0" w:footer="0" w:header="0"/>
        </w:sectPr>
      </w:pPr>
    </w:p>
    <w:bookmarkStart w:id="190" w:name="page191"/>
    <w:bookmarkEnd w:id="190"/>
    <w:p>
      <w:pPr>
        <w:jc w:val="both"/>
        <w:spacing w:after="0" w:line="242" w:lineRule="auto"/>
        <w:rPr>
          <w:sz w:val="20"/>
          <w:szCs w:val="20"/>
          <w:color w:val="auto"/>
        </w:rPr>
      </w:pPr>
      <w:r>
        <w:rPr>
          <w:rFonts w:ascii="Times New Roman" w:cs="Times New Roman" w:eastAsia="Times New Roman" w:hAnsi="Times New Roman"/>
          <w:sz w:val="18"/>
          <w:szCs w:val="18"/>
          <w:b w:val="1"/>
          <w:bCs w:val="1"/>
          <w:color w:val="auto"/>
        </w:rPr>
        <w:t xml:space="preserve">LEASE (INCLUDING THE TENANT IMPROVEMENTS AGREEMENT), NEITHER LANDLORD NOR ANY LANDLORD RELATED PARTY HAS MADE ANY REPRESENTATION OR WARRANTY, EITHER EXPRESS OR IMPLIED, AS TO THE HABITABILITY, MERCHANTABILITY, SUITABILITY, QUALITY, CONDITION OR FITNESS FOR ANY PARTICULAR PURPOSE WITH REGARD TO THE PREMISES OR THE COMPLEX AND THAT THIS LEASE CONSTITUTES THE FULL AND FINAL AGREEMENT OF LANDLORD AND TENANT WITH RESPECT TO THIS LEASE OF SPACE IN THE BUILDING BY TENANT. TENANT HEREBY WAIVES, TO THE EXTENT PERMITTED BY LAW, ANY CLAIM OR CAUSE OF ACTION BASED UPON ANY WARRANTIES, EITHER EXPRESS OR IMPLIED, AS TO HABITABILITY, MERCHANTABILITY, SUITABILITY, QUALITY, CONDITION OR FITNESS FOR ANY PARTICULAR PURPOSE WITH REGARD TO THE PREMISES OR THE COMPLEX. TENANT FURTHER REPRESENTS AND WARRANTS TO LANDLORD THAT TENANT HAS HAD AN OPPORTUNITY TO MEASURE THE ACTUAL DIMENSIONS OF THE PREMISES AND THE BUILDING AND AGREES TO THE SQUARE FOOTAGE CALCULATIONS SET FORTH IN </w:t>
      </w:r>
      <w:r>
        <w:rPr>
          <w:rFonts w:ascii="Times New Roman" w:cs="Times New Roman" w:eastAsia="Times New Roman" w:hAnsi="Times New Roman"/>
          <w:sz w:val="18"/>
          <w:szCs w:val="18"/>
          <w:b w:val="1"/>
          <w:bCs w:val="1"/>
          <w:u w:val="single" w:color="auto"/>
          <w:color w:val="auto"/>
        </w:rPr>
        <w:t>SECTIONS 1(ee)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1(ff)</w:t>
      </w:r>
      <w:r>
        <w:rPr>
          <w:rFonts w:ascii="Times New Roman" w:cs="Times New Roman" w:eastAsia="Times New Roman" w:hAnsi="Times New Roman"/>
          <w:sz w:val="18"/>
          <w:szCs w:val="18"/>
          <w:b w:val="1"/>
          <w:bCs w:val="1"/>
          <w:color w:val="auto"/>
        </w:rPr>
        <w:t xml:space="preserve"> OF THIS LEASE FOR ALL PURPOSES. TENANT'S TAKING POSSESSION OF THE PREMISES WILL BE CONCLUSIVE EVIDENCE THAT (a) TENANT HAS INSPECTED (OR HAS CAUSED TO BE INSPECTED) THE PREMISES AND THE COMPLEX, (b)</w:t>
      </w:r>
    </w:p>
    <w:p>
      <w:pPr>
        <w:spacing w:after="0" w:line="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b w:val="1"/>
          <w:bCs w:val="1"/>
          <w:color w:val="auto"/>
        </w:rPr>
        <w:t xml:space="preserve">TENANT ACCEPTS THE PREMISES AND THE COMPLEX AS BEING IN GOOD AND SATISFACTORY CONDITION AND SUITABLE FOR TENANT'S PURPOSES, AND (c) THE PREMISES AND THE COMPLEX FULLY COMPLY WITH LANDLORD'S COVENANTS AND OBLIGATIONS HEREUNDER. NOTWITHSTANDING THE FOREGOING, TENANT DOES NOT WAIVE THE RIGHT TO CAUSE LANDLORD TO CORRECT ANY "LATENT DEFECTS" IN OR AFFECTING THE PREMISES (i.e., DEFECTS NOT REASONABLY DISCOVERABLE PURSUANT TO A THOROUGH INVESTIGATION OF THE PREMISES). NOTWITHSTANDING THE FOREGOING, NOTHING CONTAINED IN THIS </w:t>
      </w:r>
      <w:r>
        <w:rPr>
          <w:rFonts w:ascii="Times New Roman" w:cs="Times New Roman" w:eastAsia="Times New Roman" w:hAnsi="Times New Roman"/>
          <w:sz w:val="18"/>
          <w:szCs w:val="18"/>
          <w:b w:val="1"/>
          <w:bCs w:val="1"/>
          <w:u w:val="single" w:color="auto"/>
          <w:color w:val="auto"/>
        </w:rPr>
        <w:t>SECTION 48</w:t>
      </w:r>
      <w:r>
        <w:rPr>
          <w:rFonts w:ascii="Times New Roman" w:cs="Times New Roman" w:eastAsia="Times New Roman" w:hAnsi="Times New Roman"/>
          <w:sz w:val="18"/>
          <w:szCs w:val="18"/>
          <w:b w:val="1"/>
          <w:bCs w:val="1"/>
          <w:color w:val="auto"/>
        </w:rPr>
        <w:t xml:space="preserve"> WILL LIMIT THE RIGHT OF TENANT TO ENFORCE THE REPAIR AND MAINTENANCE OBLIGATIONS OF LANDLORD UNDER THIS LEASE OR THE OBLIGATIONS OF LANDLORD UNDER </w:t>
      </w:r>
      <w:r>
        <w:rPr>
          <w:rFonts w:ascii="Times New Roman" w:cs="Times New Roman" w:eastAsia="Times New Roman" w:hAnsi="Times New Roman"/>
          <w:sz w:val="18"/>
          <w:szCs w:val="18"/>
          <w:b w:val="1"/>
          <w:bCs w:val="1"/>
          <w:u w:val="single" w:color="auto"/>
          <w:color w:val="auto"/>
        </w:rPr>
        <w:t>SECTIONS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24</w:t>
      </w:r>
      <w:r>
        <w:rPr>
          <w:rFonts w:ascii="Times New Roman" w:cs="Times New Roman" w:eastAsia="Times New Roman" w:hAnsi="Times New Roman"/>
          <w:sz w:val="18"/>
          <w:szCs w:val="18"/>
          <w:b w:val="1"/>
          <w:bCs w:val="1"/>
          <w:color w:val="auto"/>
        </w:rPr>
        <w:t xml:space="preserve"> AND </w:t>
      </w:r>
      <w:r>
        <w:rPr>
          <w:rFonts w:ascii="Times New Roman" w:cs="Times New Roman" w:eastAsia="Times New Roman" w:hAnsi="Times New Roman"/>
          <w:sz w:val="18"/>
          <w:szCs w:val="18"/>
          <w:b w:val="1"/>
          <w:bCs w:val="1"/>
          <w:u w:val="single" w:color="auto"/>
          <w:color w:val="auto"/>
        </w:rPr>
        <w:t>25</w:t>
      </w:r>
      <w:r>
        <w:rPr>
          <w:rFonts w:ascii="Times New Roman" w:cs="Times New Roman" w:eastAsia="Times New Roman" w:hAnsi="Times New Roman"/>
          <w:sz w:val="18"/>
          <w:szCs w:val="18"/>
          <w:b w:val="1"/>
          <w:bCs w:val="1"/>
          <w:color w:val="auto"/>
        </w:rPr>
        <w:t>.</w:t>
      </w:r>
    </w:p>
    <w:p>
      <w:pPr>
        <w:spacing w:after="0" w:line="151" w:lineRule="exact"/>
        <w:rPr>
          <w:sz w:val="20"/>
          <w:szCs w:val="20"/>
          <w:color w:val="auto"/>
        </w:rPr>
      </w:pPr>
    </w:p>
    <w:p>
      <w:pPr>
        <w:jc w:val="both"/>
        <w:ind w:firstLine="743"/>
        <w:spacing w:after="0" w:line="252" w:lineRule="auto"/>
        <w:tabs>
          <w:tab w:leader="none" w:pos="1073"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 of Estates</w:t>
      </w:r>
      <w:r>
        <w:rPr>
          <w:rFonts w:ascii="Times New Roman" w:cs="Times New Roman" w:eastAsia="Times New Roman" w:hAnsi="Times New Roman"/>
          <w:sz w:val="18"/>
          <w:szCs w:val="18"/>
          <w:color w:val="auto"/>
        </w:rPr>
        <w:t>. The voluntary or other surrender of this Lease by Tenant, or a mutual cancellation thereof, will not constitute a merger of the Landlord's fee estate in the Property and the leasehold interest created hereby; and upon such surrender or cancellation of this Lease, Landlord will have the option, in Landlord's sole discretion, to (a) either terminate all or any existing subleases or subtenancies, or (b) assume Tenant's interest in any or all subleases or subtenancies.</w:t>
      </w:r>
    </w:p>
    <w:p>
      <w:pPr>
        <w:spacing w:after="0" w:line="143" w:lineRule="exact"/>
        <w:rPr>
          <w:rFonts w:ascii="Times New Roman" w:cs="Times New Roman" w:eastAsia="Times New Roman" w:hAnsi="Times New Roman"/>
          <w:sz w:val="18"/>
          <w:szCs w:val="18"/>
          <w:color w:val="auto"/>
        </w:rPr>
      </w:pPr>
    </w:p>
    <w:p>
      <w:pPr>
        <w:ind w:firstLine="743"/>
        <w:spacing w:after="0" w:line="278" w:lineRule="auto"/>
        <w:tabs>
          <w:tab w:leader="none" w:pos="108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 of Indemnities and Covenants</w:t>
      </w:r>
      <w:r>
        <w:rPr>
          <w:rFonts w:ascii="Times New Roman" w:cs="Times New Roman" w:eastAsia="Times New Roman" w:hAnsi="Times New Roman"/>
          <w:sz w:val="18"/>
          <w:szCs w:val="18"/>
          <w:color w:val="auto"/>
        </w:rPr>
        <w:t>. Any and all indemnities of Landlord or Tenant and any and all covenants of Landlord or Tenant not fully performed on the date of the expiration or termination of this Lease shall survive such expiration or termination.</w:t>
      </w:r>
    </w:p>
    <w:p>
      <w:pPr>
        <w:spacing w:after="0" w:line="118" w:lineRule="exact"/>
        <w:rPr>
          <w:rFonts w:ascii="Times New Roman" w:cs="Times New Roman" w:eastAsia="Times New Roman" w:hAnsi="Times New Roman"/>
          <w:sz w:val="18"/>
          <w:szCs w:val="18"/>
          <w:color w:val="auto"/>
        </w:rPr>
      </w:pPr>
    </w:p>
    <w:p>
      <w:pPr>
        <w:ind w:left="1080" w:hanging="337"/>
        <w:spacing w:after="0"/>
        <w:tabs>
          <w:tab w:leader="none" w:pos="10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Descriptive headings are for convenience only and shall not control or affect the meaning or construction of any provision of</w:t>
      </w:r>
    </w:p>
    <w:p>
      <w:pPr>
        <w:spacing w:after="0" w:line="2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Lease.</w:t>
      </w:r>
    </w:p>
    <w:p>
      <w:pPr>
        <w:spacing w:after="0" w:line="164" w:lineRule="exact"/>
        <w:rPr>
          <w:rFonts w:ascii="Times New Roman" w:cs="Times New Roman" w:eastAsia="Times New Roman" w:hAnsi="Times New Roman"/>
          <w:sz w:val="18"/>
          <w:szCs w:val="18"/>
          <w:color w:val="auto"/>
        </w:rPr>
      </w:pPr>
    </w:p>
    <w:p>
      <w:pPr>
        <w:ind w:right="20" w:firstLine="743"/>
        <w:spacing w:after="0" w:line="278" w:lineRule="auto"/>
        <w:tabs>
          <w:tab w:leader="none" w:pos="1142"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Amendments</w:t>
      </w:r>
      <w:r>
        <w:rPr>
          <w:rFonts w:ascii="Times New Roman" w:cs="Times New Roman" w:eastAsia="Times New Roman" w:hAnsi="Times New Roman"/>
          <w:sz w:val="18"/>
          <w:szCs w:val="18"/>
          <w:color w:val="auto"/>
        </w:rPr>
        <w:t xml:space="preserve">. This Lease, including the exhibits and addenda, if any, listed in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embodies the entire agreement between the parties hereto with relation to the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LEASE AGREEMENT- Page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630555</wp:posOffset>
            </wp:positionV>
            <wp:extent cx="7178040" cy="4000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18">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332" w:right="319" w:bottom="1440" w:gutter="0" w:footer="0" w:header="0"/>
        </w:sectPr>
      </w:pPr>
    </w:p>
    <w:bookmarkStart w:id="191" w:name="page192"/>
    <w:bookmarkEnd w:id="191"/>
    <w:p>
      <w:pPr>
        <w:jc w:val="both"/>
        <w:ind w:left="8"/>
        <w:spacing w:after="0" w:line="259" w:lineRule="auto"/>
        <w:rPr>
          <w:sz w:val="20"/>
          <w:szCs w:val="20"/>
          <w:color w:val="auto"/>
        </w:rPr>
      </w:pPr>
      <w:r>
        <w:rPr>
          <w:rFonts w:ascii="Times New Roman" w:cs="Times New Roman" w:eastAsia="Times New Roman" w:hAnsi="Times New Roman"/>
          <w:sz w:val="18"/>
          <w:szCs w:val="18"/>
          <w:color w:val="auto"/>
        </w:rPr>
        <w:t>transaction contemplated hereby, and there have been and are no covenants, agreements, representations, warranties or restrictions between the parties hereto, other than those specifically set forth herein. To be effective, any amendment or modification of this Lease must be in writing and signed by Landlord and Tenant.</w:t>
      </w:r>
    </w:p>
    <w:p>
      <w:pPr>
        <w:spacing w:after="0" w:line="135" w:lineRule="exact"/>
        <w:rPr>
          <w:sz w:val="20"/>
          <w:szCs w:val="20"/>
          <w:color w:val="auto"/>
        </w:rPr>
      </w:pPr>
    </w:p>
    <w:p>
      <w:pPr>
        <w:ind w:left="748"/>
        <w:spacing w:after="0"/>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 The following exhibits are attached hereto and incorporated herein and made a part of this Lease for all purposes:</w:t>
      </w:r>
    </w:p>
    <w:p>
      <w:pPr>
        <w:spacing w:after="0" w:line="184" w:lineRule="exact"/>
        <w:rPr>
          <w:sz w:val="20"/>
          <w:szCs w:val="20"/>
          <w:color w:val="auto"/>
        </w:rPr>
      </w:pPr>
    </w:p>
    <w:tbl>
      <w:tblPr>
        <w:tblLayout w:type="fixed"/>
        <w:tblInd w:w="1648" w:type="dxa"/>
        <w:tblCellMar>
          <w:top w:w="0" w:type="dxa"/>
          <w:left w:w="0" w:type="dxa"/>
          <w:bottom w:w="0" w:type="dxa"/>
          <w:right w:w="0" w:type="dxa"/>
        </w:tblCellMar>
      </w:tblPr>
      <w:tr>
        <w:trPr>
          <w:trHeight w:val="207"/>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Exhibit A</w:t>
            </w:r>
          </w:p>
        </w:tc>
        <w:tc>
          <w:tcPr>
            <w:tcW w:w="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Property Description Exhibit B</w:t>
            </w:r>
          </w:p>
        </w:tc>
        <w:tc>
          <w:tcPr>
            <w:tcW w:w="360" w:type="dxa"/>
            <w:vAlign w:val="bottom"/>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Floor Plan</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20" w:type="dxa"/>
            <w:vAlign w:val="bottom"/>
          </w:tcPr>
          <w:p>
            <w:pPr>
              <w:spacing w:after="0"/>
              <w:rPr>
                <w:sz w:val="18"/>
                <w:szCs w:val="18"/>
                <w:color w:val="auto"/>
              </w:rPr>
            </w:pPr>
          </w:p>
        </w:tc>
      </w:tr>
      <w:tr>
        <w:trPr>
          <w:trHeight w:val="207"/>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Exhibit C -</w:t>
            </w:r>
          </w:p>
        </w:tc>
        <w:tc>
          <w:tcPr>
            <w:tcW w:w="29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Rules and Regulations</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20" w:type="dxa"/>
            <w:vAlign w:val="bottom"/>
          </w:tcPr>
          <w:p>
            <w:pPr>
              <w:spacing w:after="0"/>
              <w:rPr>
                <w:sz w:val="18"/>
                <w:szCs w:val="18"/>
                <w:color w:val="auto"/>
              </w:rPr>
            </w:pPr>
          </w:p>
        </w:tc>
      </w:tr>
      <w:tr>
        <w:trPr>
          <w:trHeight w:val="207"/>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Exhibit D</w:t>
            </w:r>
          </w:p>
        </w:tc>
        <w:tc>
          <w:tcPr>
            <w:tcW w:w="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8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Tenant Improvements Agreement Exhibit D-1</w:t>
            </w: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9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Texas Statutory Lien</w:t>
            </w:r>
          </w:p>
        </w:tc>
      </w:tr>
      <w:tr>
        <w:trPr>
          <w:trHeight w:val="207"/>
        </w:trPr>
        <w:tc>
          <w:tcPr>
            <w:tcW w:w="2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Waiver Forms Exhibit E -</w:t>
            </w:r>
          </w:p>
        </w:tc>
        <w:tc>
          <w:tcPr>
            <w:tcW w:w="1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Parking Agreement</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20" w:type="dxa"/>
            <w:vAlign w:val="bottom"/>
          </w:tcPr>
          <w:p>
            <w:pPr>
              <w:spacing w:after="0"/>
              <w:rPr>
                <w:sz w:val="18"/>
                <w:szCs w:val="18"/>
                <w:color w:val="auto"/>
              </w:rPr>
            </w:pPr>
          </w:p>
        </w:tc>
      </w:tr>
      <w:tr>
        <w:trPr>
          <w:trHeight w:val="207"/>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Exhibit F -</w:t>
            </w:r>
          </w:p>
        </w:tc>
        <w:tc>
          <w:tcPr>
            <w:tcW w:w="368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Form of Confidentiality Agreement Exhibit G</w:t>
            </w:r>
          </w:p>
        </w:tc>
        <w:tc>
          <w:tcPr>
            <w:tcW w:w="360" w:type="dxa"/>
            <w:vAlign w:val="bottom"/>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33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Form of Guaranty</w:t>
            </w:r>
          </w:p>
        </w:tc>
      </w:tr>
      <w:tr>
        <w:trPr>
          <w:trHeight w:val="207"/>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Exhibit H</w:t>
            </w:r>
          </w:p>
        </w:tc>
        <w:tc>
          <w:tcPr>
            <w:tcW w:w="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Extension Option</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20" w:type="dxa"/>
            <w:vAlign w:val="bottom"/>
          </w:tcPr>
          <w:p>
            <w:pPr>
              <w:spacing w:after="0"/>
              <w:rPr>
                <w:sz w:val="18"/>
                <w:szCs w:val="18"/>
                <w:color w:val="auto"/>
              </w:rPr>
            </w:pPr>
          </w:p>
        </w:tc>
      </w:tr>
      <w:tr>
        <w:trPr>
          <w:trHeight w:val="207"/>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Exhibit I -</w:t>
            </w:r>
          </w:p>
        </w:tc>
        <w:tc>
          <w:tcPr>
            <w:tcW w:w="4760" w:type="dxa"/>
            <w:vAlign w:val="bottom"/>
            <w:gridSpan w:val="8"/>
          </w:tcPr>
          <w:p>
            <w:pPr>
              <w:ind w:left="140"/>
              <w:spacing w:after="0"/>
              <w:rPr>
                <w:sz w:val="20"/>
                <w:szCs w:val="20"/>
                <w:color w:val="auto"/>
              </w:rPr>
            </w:pPr>
            <w:r>
              <w:rPr>
                <w:rFonts w:ascii="Times New Roman" w:cs="Times New Roman" w:eastAsia="Times New Roman" w:hAnsi="Times New Roman"/>
                <w:sz w:val="18"/>
                <w:szCs w:val="18"/>
                <w:color w:val="auto"/>
              </w:rPr>
              <w:t>Right of First Refusal (Affecting 9</w:t>
            </w:r>
            <w:r>
              <w:rPr>
                <w:rFonts w:ascii="Times New Roman" w:cs="Times New Roman" w:eastAsia="Times New Roman" w:hAnsi="Times New Roman"/>
                <w:sz w:val="12"/>
                <w:szCs w:val="12"/>
                <w:color w:val="auto"/>
              </w:rPr>
              <w:t>th</w:t>
            </w:r>
            <w:r>
              <w:rPr>
                <w:rFonts w:ascii="Times New Roman" w:cs="Times New Roman" w:eastAsia="Times New Roman" w:hAnsi="Times New Roman"/>
                <w:sz w:val="18"/>
                <w:szCs w:val="18"/>
                <w:color w:val="auto"/>
              </w:rPr>
              <w:t xml:space="preserve"> and 5</w:t>
            </w:r>
            <w:r>
              <w:rPr>
                <w:rFonts w:ascii="Times New Roman" w:cs="Times New Roman" w:eastAsia="Times New Roman" w:hAnsi="Times New Roman"/>
                <w:sz w:val="12"/>
                <w:szCs w:val="12"/>
                <w:color w:val="auto"/>
              </w:rPr>
              <w:t>th</w:t>
            </w:r>
            <w:r>
              <w:rPr>
                <w:rFonts w:ascii="Times New Roman" w:cs="Times New Roman" w:eastAsia="Times New Roman" w:hAnsi="Times New Roman"/>
                <w:sz w:val="18"/>
                <w:szCs w:val="18"/>
                <w:color w:val="auto"/>
              </w:rPr>
              <w:t xml:space="preserve"> Floors) Exhibit J</w:t>
            </w:r>
          </w:p>
        </w:tc>
        <w:tc>
          <w:tcPr>
            <w:tcW w:w="380" w:type="dxa"/>
            <w:vAlign w:val="bottom"/>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Expansion Option (As to 9</w:t>
            </w:r>
            <w:r>
              <w:rPr>
                <w:rFonts w:ascii="Times New Roman" w:cs="Times New Roman" w:eastAsia="Times New Roman" w:hAnsi="Times New Roman"/>
                <w:sz w:val="12"/>
                <w:szCs w:val="12"/>
                <w:color w:val="auto"/>
              </w:rPr>
              <w:t>th</w:t>
            </w:r>
          </w:p>
        </w:tc>
      </w:tr>
      <w:tr>
        <w:trPr>
          <w:trHeight w:val="207"/>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Floor)</w:t>
            </w: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20" w:type="dxa"/>
            <w:vAlign w:val="bottom"/>
          </w:tcPr>
          <w:p>
            <w:pPr>
              <w:spacing w:after="0"/>
              <w:rPr>
                <w:sz w:val="18"/>
                <w:szCs w:val="18"/>
                <w:color w:val="auto"/>
              </w:rPr>
            </w:pPr>
          </w:p>
        </w:tc>
      </w:tr>
      <w:tr>
        <w:trPr>
          <w:trHeight w:val="207"/>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Exhibit K</w:t>
            </w:r>
          </w:p>
        </w:tc>
        <w:tc>
          <w:tcPr>
            <w:tcW w:w="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Janitorial Schedule</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20" w:type="dxa"/>
            <w:vAlign w:val="bottom"/>
          </w:tcPr>
          <w:p>
            <w:pPr>
              <w:spacing w:after="0"/>
              <w:rPr>
                <w:sz w:val="18"/>
                <w:szCs w:val="18"/>
                <w:color w:val="auto"/>
              </w:rPr>
            </w:pPr>
          </w:p>
        </w:tc>
      </w:tr>
      <w:tr>
        <w:trPr>
          <w:trHeight w:val="24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Exhibit L -</w:t>
            </w:r>
          </w:p>
        </w:tc>
        <w:tc>
          <w:tcPr>
            <w:tcW w:w="29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Texas Administrative Code</w:t>
            </w: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20" w:type="dxa"/>
            <w:vAlign w:val="bottom"/>
          </w:tcPr>
          <w:p>
            <w:pPr>
              <w:spacing w:after="0"/>
              <w:rPr>
                <w:sz w:val="20"/>
                <w:szCs w:val="20"/>
                <w:color w:val="auto"/>
              </w:rPr>
            </w:pPr>
          </w:p>
        </w:tc>
      </w:tr>
    </w:tbl>
    <w:p>
      <w:pPr>
        <w:spacing w:after="0" w:line="151" w:lineRule="exact"/>
        <w:rPr>
          <w:sz w:val="20"/>
          <w:szCs w:val="20"/>
          <w:color w:val="auto"/>
        </w:rPr>
      </w:pPr>
    </w:p>
    <w:p>
      <w:pPr>
        <w:ind w:left="8" w:firstLine="743"/>
        <w:spacing w:after="0" w:line="278" w:lineRule="auto"/>
        <w:tabs>
          <w:tab w:leader="none" w:pos="1093"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Joint and Several Liability</w:t>
      </w:r>
      <w:r>
        <w:rPr>
          <w:rFonts w:ascii="Times New Roman" w:cs="Times New Roman" w:eastAsia="Times New Roman" w:hAnsi="Times New Roman"/>
          <w:sz w:val="18"/>
          <w:szCs w:val="18"/>
          <w:color w:val="auto"/>
        </w:rPr>
        <w:t>. If Tenant consists of more than one person or entity, the obligations of such parties under this Lease shall be joint and several.</w:t>
      </w:r>
    </w:p>
    <w:p>
      <w:pPr>
        <w:spacing w:after="0" w:line="118" w:lineRule="exact"/>
        <w:rPr>
          <w:rFonts w:ascii="Times New Roman" w:cs="Times New Roman" w:eastAsia="Times New Roman" w:hAnsi="Times New Roman"/>
          <w:sz w:val="18"/>
          <w:szCs w:val="18"/>
          <w:color w:val="auto"/>
        </w:rPr>
      </w:pPr>
    </w:p>
    <w:p>
      <w:pPr>
        <w:ind w:left="8" w:firstLine="743"/>
        <w:spacing w:after="0" w:line="278" w:lineRule="auto"/>
        <w:tabs>
          <w:tab w:leader="none" w:pos="1093"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Multiple Counterparts</w:t>
      </w:r>
      <w:r>
        <w:rPr>
          <w:rFonts w:ascii="Times New Roman" w:cs="Times New Roman" w:eastAsia="Times New Roman" w:hAnsi="Times New Roman"/>
          <w:sz w:val="18"/>
          <w:szCs w:val="18"/>
          <w:color w:val="auto"/>
        </w:rPr>
        <w:t>. This Lease may be executed in multiple counterparts, each of which will constitute an original instrument, but all of which will constitute one and the same agreement.</w:t>
      </w:r>
    </w:p>
    <w:p>
      <w:pPr>
        <w:spacing w:after="0" w:line="118" w:lineRule="exact"/>
        <w:rPr>
          <w:rFonts w:ascii="Times New Roman" w:cs="Times New Roman" w:eastAsia="Times New Roman" w:hAnsi="Times New Roman"/>
          <w:sz w:val="18"/>
          <w:szCs w:val="18"/>
          <w:color w:val="auto"/>
        </w:rPr>
      </w:pPr>
    </w:p>
    <w:p>
      <w:pPr>
        <w:ind w:left="1088" w:hanging="337"/>
        <w:spacing w:after="0"/>
        <w:tabs>
          <w:tab w:leader="none" w:pos="1088"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OFAC and Anti-Money Laundering Compliance Certifications</w:t>
      </w:r>
      <w:r>
        <w:rPr>
          <w:rFonts w:ascii="Times New Roman" w:cs="Times New Roman" w:eastAsia="Times New Roman" w:hAnsi="Times New Roman"/>
          <w:sz w:val="18"/>
          <w:szCs w:val="18"/>
          <w:color w:val="auto"/>
        </w:rPr>
        <w:t>. Tenant hereby represents, certifies and warrants to Landlord as follows:</w:t>
      </w:r>
    </w:p>
    <w:p>
      <w:pPr>
        <w:spacing w:after="0" w:line="20" w:lineRule="exact"/>
        <w:rPr>
          <w:rFonts w:ascii="Times New Roman" w:cs="Times New Roman" w:eastAsia="Times New Roman" w:hAnsi="Times New Roman"/>
          <w:sz w:val="18"/>
          <w:szCs w:val="18"/>
          <w:color w:val="auto"/>
        </w:rPr>
      </w:pPr>
    </w:p>
    <w:p>
      <w:pPr>
        <w:jc w:val="both"/>
        <w:ind w:left="8" w:hanging="8"/>
        <w:spacing w:after="0" w:line="241" w:lineRule="auto"/>
        <w:tabs>
          <w:tab w:leader="none" w:pos="242"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is not named and is not acting, directly or indirectly, for or on behalf of any person, group, entity or nation named by an Executive Order, including without limitation Executive Order 13224, or the United State Treasury Department as a terrorist, "Specially Designated National and Blocked Person," or other banned or blocked person, entity, nation or transaction pursuant to any law, order, rule or regulation that is enacted, enforced or administered by the Office of Foreign Assets Control ("OFAC"); (ii) Tenant is not engaged in this transaction, directly or indirectly, for or on behalf of, or instigating or facilitating this transaction, directly or indirectly on behalf of, any such person, group, entity or nation; and (iii) none of the proceeds used to pay rent have been or will be derived from a "specified unlawful activity" as defined in, and Tenant is not otherwise in violation of, the Money Laundering Control Act of 1986, as amended, or any other applicable laws regarding money laundering activities. Furthermore, Tenant agrees to immediately notify Landlord if Tenant was, is, or in the future becomes, a "senior foreign political figure," and immediate family member or close associate of a "senior foreign political figure," within the meaning of Section 312 of the USA PATRIOT Act of 2001. Notwithstanding anything in this Lease to the contrary, Tenant understands that this Lease is a continuing transaction and that the foregoing representations, certifications and warranties are ongoing and will be and remain true and in force on the date hereof and throughout the term of the Lease and that any breach</w:t>
      </w:r>
    </w:p>
    <w:p>
      <w:pPr>
        <w:spacing w:after="0" w:line="16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OFFICE LEASE AGREEMENT- Page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630555</wp:posOffset>
            </wp:positionV>
            <wp:extent cx="7178040" cy="4000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19">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8"/>
          </w:cols>
          <w:pgMar w:left="312" w:top="1336" w:right="319" w:bottom="1440" w:gutter="0" w:footer="0" w:header="0"/>
        </w:sectPr>
      </w:pPr>
    </w:p>
    <w:bookmarkStart w:id="192" w:name="page193"/>
    <w:bookmarkEnd w:id="192"/>
    <w:p>
      <w:pPr>
        <w:jc w:val="both"/>
        <w:spacing w:after="0" w:line="252" w:lineRule="auto"/>
        <w:rPr>
          <w:sz w:val="20"/>
          <w:szCs w:val="20"/>
          <w:color w:val="auto"/>
        </w:rPr>
      </w:pPr>
      <w:r>
        <w:rPr>
          <w:rFonts w:ascii="Times New Roman" w:cs="Times New Roman" w:eastAsia="Times New Roman" w:hAnsi="Times New Roman"/>
          <w:sz w:val="18"/>
          <w:szCs w:val="18"/>
          <w:color w:val="auto"/>
        </w:rPr>
        <w:t>thereof will be a default under the Lease (not subject to any notice or cure rights) giving rise to Landlord remedies including but not limited to eviction, and Tenant hereby agrees to defend, indemnify and hold harmless Landlord and Landlord Related Parties from and against any and all claims, damages, losses, risks, liabilities, fines, penalties, forfeitures and expenses (including without limitation costs and attorney's fees) arising from or related to any breach of the foregoing representations, certifications and warranties</w:t>
      </w:r>
    </w:p>
    <w:p>
      <w:pPr>
        <w:spacing w:after="0" w:line="143" w:lineRule="exact"/>
        <w:rPr>
          <w:sz w:val="20"/>
          <w:szCs w:val="20"/>
          <w:color w:val="auto"/>
        </w:rPr>
      </w:pPr>
    </w:p>
    <w:p>
      <w:pPr>
        <w:jc w:val="both"/>
        <w:ind w:firstLine="743"/>
        <w:spacing w:after="0" w:line="243" w:lineRule="auto"/>
        <w:tabs>
          <w:tab w:leader="none" w:pos="1119"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Tenant represents and warrants that any financial statements provided by it to Landlord were true, correct and complete when provided, and that no material adverse change has occurred since that date that would render them inaccurate or misleading. Subject to restrictions on disclosure under applicable law, Tenant, within fifteen (15) Business Days after request, will provide Landlord with current financial statements and such other information with respect to Tenant as Landlord may reasonably request in order to create a "business profile" of Tenant and determine the ability of Tenant to fulfill its obligations under this Lease. Landlord, however, will not require Tenant to provide such information (A) as to Tenant, unless (i) Landlord is requested to produce such information in connection with a proposed financing or sale of the Building, and (ii) such lender or perspective purchaser has agreed to keep such information confidential except to the extent required by application law and (B) as to Guarantor, if Guarantor is a publicly traded entity for whom periodic financial statements are publicly available. Landlord agrees to keep such information confidential except to the extent required by applicable law. In addition, Tenant agrees upon prior written request to meet with Landlord, any lender or prospective purchaser during normal business hours at mutually convenient times, from time to time, to discuss such information about Tenant's business and financial condition requested by Landlord, but failure to meet shall not be a default under this Lease.</w:t>
      </w:r>
    </w:p>
    <w:p>
      <w:pPr>
        <w:spacing w:after="0" w:line="156" w:lineRule="exact"/>
        <w:rPr>
          <w:rFonts w:ascii="Times New Roman" w:cs="Times New Roman" w:eastAsia="Times New Roman" w:hAnsi="Times New Roman"/>
          <w:sz w:val="18"/>
          <w:szCs w:val="18"/>
          <w:color w:val="auto"/>
        </w:rPr>
      </w:pPr>
    </w:p>
    <w:p>
      <w:pPr>
        <w:jc w:val="both"/>
        <w:ind w:firstLine="743"/>
        <w:spacing w:after="0" w:line="249" w:lineRule="auto"/>
        <w:tabs>
          <w:tab w:leader="none" w:pos="108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Tenant's Standing and Authority</w:t>
      </w:r>
      <w:r>
        <w:rPr>
          <w:rFonts w:ascii="Times New Roman" w:cs="Times New Roman" w:eastAsia="Times New Roman" w:hAnsi="Times New Roman"/>
          <w:sz w:val="18"/>
          <w:szCs w:val="18"/>
          <w:color w:val="auto"/>
        </w:rPr>
        <w:t>. Tenant is a limited liability company duly organized and validly existing under the laws of the State of Delaware and in good standing under the laws of the State of Delaware and the State of Texas and has due authority to enter into this Lease, and all organizational action requisite for the execution and delivery of this Lease has been taken. The signatory to this Lease on behalf of Tenant has been duly authorized to execute and deliver this Lease. Tenant will contemporaneously with its execution and delivery of this Lease deliver to Landlord evidence of Tenant's good standing, authority and authorization for the execution and delivery of this Lease.</w:t>
      </w:r>
    </w:p>
    <w:p>
      <w:pPr>
        <w:spacing w:after="0" w:line="145" w:lineRule="exact"/>
        <w:rPr>
          <w:rFonts w:ascii="Times New Roman" w:cs="Times New Roman" w:eastAsia="Times New Roman" w:hAnsi="Times New Roman"/>
          <w:sz w:val="18"/>
          <w:szCs w:val="18"/>
          <w:color w:val="auto"/>
        </w:rPr>
      </w:pPr>
    </w:p>
    <w:p>
      <w:pPr>
        <w:jc w:val="both"/>
        <w:ind w:firstLine="743"/>
        <w:spacing w:after="0" w:line="249" w:lineRule="auto"/>
        <w:tabs>
          <w:tab w:leader="none" w:pos="110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Conference Center</w:t>
      </w:r>
      <w:r>
        <w:rPr>
          <w:rFonts w:ascii="Times New Roman" w:cs="Times New Roman" w:eastAsia="Times New Roman" w:hAnsi="Times New Roman"/>
          <w:sz w:val="18"/>
          <w:szCs w:val="18"/>
          <w:color w:val="auto"/>
        </w:rPr>
        <w:t xml:space="preserve"> A conference center (the "</w:t>
      </w:r>
      <w:r>
        <w:rPr>
          <w:rFonts w:ascii="Times New Roman" w:cs="Times New Roman" w:eastAsia="Times New Roman" w:hAnsi="Times New Roman"/>
          <w:sz w:val="18"/>
          <w:szCs w:val="18"/>
          <w:u w:val="single" w:color="auto"/>
          <w:color w:val="auto"/>
        </w:rPr>
        <w:t>Conference Center</w:t>
      </w:r>
      <w:r>
        <w:rPr>
          <w:rFonts w:ascii="Times New Roman" w:cs="Times New Roman" w:eastAsia="Times New Roman" w:hAnsi="Times New Roman"/>
          <w:sz w:val="18"/>
          <w:szCs w:val="18"/>
          <w:color w:val="auto"/>
        </w:rPr>
        <w:t>") is available for the non-exclusive use by Tenant and its employees during the Lease Term. The size and location of the Conference Center will be determined by Landlord, from time to time, in its sole discretion and Landlord reserves the right to relocate the Conference Center to a different location within the Building. Tenant may use the Conference Center on a first come, first serve basis upon prior reservation, at no additional cost, other than clean-up and set up costs. (Tenant may contact Landlord's management company for available hours and reservations.)</w:t>
      </w:r>
    </w:p>
    <w:p>
      <w:pPr>
        <w:spacing w:after="0" w:line="145" w:lineRule="exact"/>
        <w:rPr>
          <w:rFonts w:ascii="Times New Roman" w:cs="Times New Roman" w:eastAsia="Times New Roman" w:hAnsi="Times New Roman"/>
          <w:sz w:val="18"/>
          <w:szCs w:val="18"/>
          <w:color w:val="auto"/>
        </w:rPr>
      </w:pPr>
    </w:p>
    <w:p>
      <w:pPr>
        <w:jc w:val="both"/>
        <w:ind w:firstLine="743"/>
        <w:spacing w:after="0" w:line="259" w:lineRule="auto"/>
        <w:tabs>
          <w:tab w:leader="none" w:pos="1073"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xml:space="preserve">. Tenant will, contemporaneously with its execution and delivery of this Lease to Landlord, deliver to Landlord the Guaranty, in the form attached hereto as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duly executed by Guarantor, together with evidence of the authority and authorization for the execution and delivery of such guaranty by Guarantor that is an entity, and evidence of good standing of such entity.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LEASE AGREEMENT- Page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630555</wp:posOffset>
            </wp:positionV>
            <wp:extent cx="7178040" cy="4000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20">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336" w:right="319" w:bottom="1440" w:gutter="0" w:footer="0" w:header="0"/>
        </w:sectPr>
      </w:pPr>
    </w:p>
    <w:bookmarkStart w:id="193" w:name="page194"/>
    <w:bookmarkEnd w:id="193"/>
    <w:p>
      <w:pPr>
        <w:jc w:val="right"/>
        <w:ind w:right="3359"/>
        <w:spacing w:after="0"/>
        <w:rPr>
          <w:sz w:val="20"/>
          <w:szCs w:val="20"/>
          <w:color w:val="auto"/>
        </w:rPr>
      </w:pPr>
      <w:r>
        <w:rPr>
          <w:rFonts w:ascii="Times New Roman" w:cs="Times New Roman" w:eastAsia="Times New Roman" w:hAnsi="Times New Roman"/>
          <w:sz w:val="15"/>
          <w:szCs w:val="15"/>
          <w:color w:val="auto"/>
        </w:rPr>
        <w:t>[SIGNATURE PAGE TO FOLLOW]</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LEASE AGREEMENT- Page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630555</wp:posOffset>
            </wp:positionV>
            <wp:extent cx="7178040" cy="4000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21">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0139"/>
          </w:cols>
          <w:pgMar w:left="320" w:top="1345" w:right="1440" w:bottom="1440" w:gutter="0" w:footer="0" w:header="0"/>
        </w:sectPr>
      </w:pPr>
    </w:p>
    <w:bookmarkStart w:id="194" w:name="page195"/>
    <w:bookmarkEnd w:id="194"/>
    <w:p>
      <w:pPr>
        <w:ind w:left="740"/>
        <w:spacing w:after="0"/>
        <w:rPr>
          <w:sz w:val="20"/>
          <w:szCs w:val="20"/>
          <w:color w:val="auto"/>
        </w:rPr>
      </w:pPr>
      <w:r>
        <w:rPr>
          <w:rFonts w:ascii="Times New Roman" w:cs="Times New Roman" w:eastAsia="Times New Roman" w:hAnsi="Times New Roman"/>
          <w:sz w:val="18"/>
          <w:szCs w:val="18"/>
          <w:color w:val="auto"/>
        </w:rPr>
        <w:t>IN WITNESS WHEREOF, Landlord and Tenant have executed this Lease as of the date first above written.</w:t>
      </w:r>
    </w:p>
    <w:p>
      <w:pPr>
        <w:sectPr>
          <w:pgSz w:w="11900" w:h="16838" w:orient="portrait"/>
          <w:cols w:equalWidth="0" w:num="1">
            <w:col w:w="10820"/>
          </w:cols>
          <w:pgMar w:left="320" w:top="1152" w:right="759" w:bottom="1440" w:gutter="0" w:footer="0" w:header="0"/>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Notice Address of Landlord</w:t>
      </w:r>
      <w:r>
        <w:rPr>
          <w:rFonts w:ascii="Times New Roman" w:cs="Times New Roman" w:eastAsia="Times New Roman" w:hAnsi="Times New Roman"/>
          <w:sz w:val="18"/>
          <w:szCs w:val="18"/>
          <w:color w:val="auto"/>
        </w:rPr>
        <w: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Franklin Street Properties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401 Edgewater Place</w:t>
      </w:r>
    </w:p>
    <w:p>
      <w:pPr>
        <w:spacing w:after="0"/>
        <w:rPr>
          <w:sz w:val="20"/>
          <w:szCs w:val="20"/>
          <w:color w:val="auto"/>
        </w:rPr>
      </w:pPr>
      <w:r>
        <w:rPr>
          <w:rFonts w:ascii="Times New Roman" w:cs="Times New Roman" w:eastAsia="Times New Roman" w:hAnsi="Times New Roman"/>
          <w:sz w:val="18"/>
          <w:szCs w:val="18"/>
          <w:color w:val="auto"/>
        </w:rPr>
        <w:t>Suite 200</w:t>
      </w:r>
    </w:p>
    <w:p>
      <w:pPr>
        <w:spacing w:after="0"/>
        <w:rPr>
          <w:sz w:val="20"/>
          <w:szCs w:val="20"/>
          <w:color w:val="auto"/>
        </w:rPr>
      </w:pPr>
      <w:r>
        <w:rPr>
          <w:rFonts w:ascii="Times New Roman" w:cs="Times New Roman" w:eastAsia="Times New Roman" w:hAnsi="Times New Roman"/>
          <w:sz w:val="18"/>
          <w:szCs w:val="18"/>
          <w:color w:val="auto"/>
        </w:rPr>
        <w:t>Wakefield, MA 01880-6210</w:t>
      </w:r>
    </w:p>
    <w:p>
      <w:pPr>
        <w:spacing w:after="0"/>
        <w:rPr>
          <w:sz w:val="20"/>
          <w:szCs w:val="20"/>
          <w:color w:val="auto"/>
        </w:rPr>
      </w:pPr>
      <w:r>
        <w:rPr>
          <w:rFonts w:ascii="Times New Roman" w:cs="Times New Roman" w:eastAsia="Times New Roman" w:hAnsi="Times New Roman"/>
          <w:sz w:val="18"/>
          <w:szCs w:val="18"/>
          <w:color w:val="auto"/>
        </w:rPr>
        <w:t>Attn: Scott Carter, Esq.</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Franklin Street Properties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401 Edgewater Place</w:t>
      </w:r>
    </w:p>
    <w:p>
      <w:pPr>
        <w:spacing w:after="0"/>
        <w:rPr>
          <w:sz w:val="20"/>
          <w:szCs w:val="20"/>
          <w:color w:val="auto"/>
        </w:rPr>
      </w:pPr>
      <w:r>
        <w:rPr>
          <w:rFonts w:ascii="Times New Roman" w:cs="Times New Roman" w:eastAsia="Times New Roman" w:hAnsi="Times New Roman"/>
          <w:sz w:val="18"/>
          <w:szCs w:val="18"/>
          <w:color w:val="auto"/>
        </w:rPr>
        <w:t>Suite 200</w:t>
      </w:r>
    </w:p>
    <w:p>
      <w:pPr>
        <w:spacing w:after="0"/>
        <w:rPr>
          <w:sz w:val="20"/>
          <w:szCs w:val="20"/>
          <w:color w:val="auto"/>
        </w:rPr>
      </w:pPr>
      <w:r>
        <w:rPr>
          <w:rFonts w:ascii="Times New Roman" w:cs="Times New Roman" w:eastAsia="Times New Roman" w:hAnsi="Times New Roman"/>
          <w:sz w:val="18"/>
          <w:szCs w:val="18"/>
          <w:color w:val="auto"/>
        </w:rPr>
        <w:t>Wakefield, MA 01880-6210</w:t>
      </w:r>
    </w:p>
    <w:p>
      <w:pPr>
        <w:spacing w:after="0"/>
        <w:rPr>
          <w:sz w:val="20"/>
          <w:szCs w:val="20"/>
          <w:color w:val="auto"/>
        </w:rPr>
      </w:pPr>
      <w:r>
        <w:rPr>
          <w:rFonts w:ascii="Times New Roman" w:cs="Times New Roman" w:eastAsia="Times New Roman" w:hAnsi="Times New Roman"/>
          <w:sz w:val="18"/>
          <w:szCs w:val="18"/>
          <w:color w:val="auto"/>
        </w:rPr>
        <w:t>Attn: Asset Management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Addresses/Instructions for Payment of Rent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LANDLORD</w:t>
      </w:r>
      <w:r>
        <w:rPr>
          <w:rFonts w:ascii="Times New Roman" w:cs="Times New Roman" w:eastAsia="Times New Roman" w:hAnsi="Times New Roman"/>
          <w:sz w:val="18"/>
          <w:szCs w:val="18"/>
          <w:color w:val="auto"/>
        </w:rPr>
        <w: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FSP ADDISON CIRCLE LIMITED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PARTNERSHIP, a Texas limited partnership</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FSP Property Management LLC, a</w:t>
            </w:r>
          </w:p>
        </w:tc>
      </w:tr>
      <w:tr>
        <w:trPr>
          <w:trHeight w:val="207"/>
        </w:trPr>
        <w:tc>
          <w:tcPr>
            <w:tcW w:w="580" w:type="dxa"/>
            <w:vAlign w:val="bottom"/>
          </w:tcPr>
          <w:p>
            <w:pPr>
              <w:spacing w:after="0"/>
              <w:rPr>
                <w:sz w:val="18"/>
                <w:szCs w:val="18"/>
                <w:color w:val="auto"/>
              </w:rPr>
            </w:pPr>
          </w:p>
        </w:tc>
        <w:tc>
          <w:tcPr>
            <w:tcW w:w="460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Massachusetts limited liability company,</w:t>
            </w:r>
          </w:p>
        </w:tc>
      </w:tr>
      <w:tr>
        <w:trPr>
          <w:trHeight w:val="240"/>
        </w:trPr>
        <w:tc>
          <w:tcPr>
            <w:tcW w:w="580" w:type="dxa"/>
            <w:vAlign w:val="bottom"/>
          </w:tcPr>
          <w:p>
            <w:pPr>
              <w:spacing w:after="0"/>
              <w:rPr>
                <w:sz w:val="20"/>
                <w:szCs w:val="20"/>
                <w:color w:val="auto"/>
              </w:rPr>
            </w:pPr>
          </w:p>
        </w:tc>
        <w:tc>
          <w:tcPr>
            <w:tcW w:w="460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its asset manager</w:t>
            </w:r>
          </w:p>
        </w:tc>
      </w:tr>
      <w:tr>
        <w:trPr>
          <w:trHeight w:val="541"/>
        </w:trPr>
        <w:tc>
          <w:tcPr>
            <w:tcW w:w="580" w:type="dxa"/>
            <w:vAlign w:val="bottom"/>
          </w:tcPr>
          <w:p>
            <w:pPr>
              <w:spacing w:after="0"/>
              <w:rPr>
                <w:sz w:val="24"/>
                <w:szCs w:val="24"/>
                <w:color w:val="auto"/>
              </w:rPr>
            </w:pPr>
          </w:p>
        </w:tc>
        <w:tc>
          <w:tcPr>
            <w:tcW w:w="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By:</w:t>
            </w:r>
          </w:p>
        </w:tc>
        <w:tc>
          <w:tcPr>
            <w:tcW w:w="37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 Leo H. Daley, Jr.</w:t>
            </w:r>
          </w:p>
        </w:tc>
      </w:tr>
      <w:tr>
        <w:trPr>
          <w:trHeight w:val="212"/>
        </w:trPr>
        <w:tc>
          <w:tcPr>
            <w:tcW w:w="580" w:type="dxa"/>
            <w:vAlign w:val="bottom"/>
          </w:tcPr>
          <w:p>
            <w:pPr>
              <w:spacing w:after="0"/>
              <w:rPr>
                <w:sz w:val="18"/>
                <w:szCs w:val="18"/>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87"/>
              </w:rPr>
              <w:t>Name:</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48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Leo H. Daley, Jr.</w:t>
            </w:r>
          </w:p>
        </w:tc>
      </w:tr>
      <w:tr>
        <w:trPr>
          <w:trHeight w:val="210"/>
        </w:trPr>
        <w:tc>
          <w:tcPr>
            <w:tcW w:w="580" w:type="dxa"/>
            <w:vAlign w:val="bottom"/>
          </w:tcPr>
          <w:p>
            <w:pPr>
              <w:spacing w:after="0"/>
              <w:rPr>
                <w:sz w:val="18"/>
                <w:szCs w:val="18"/>
                <w:color w:val="auto"/>
              </w:rPr>
            </w:pPr>
          </w:p>
        </w:tc>
        <w:tc>
          <w:tcPr>
            <w:tcW w:w="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Title:</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Executive Vice President</w:t>
            </w:r>
          </w:p>
        </w:tc>
      </w:tr>
    </w:tbl>
    <w:p>
      <w:pPr>
        <w:spacing w:after="0" w:line="1362" w:lineRule="exact"/>
        <w:rPr>
          <w:sz w:val="20"/>
          <w:szCs w:val="20"/>
          <w:color w:val="auto"/>
        </w:rPr>
      </w:pPr>
    </w:p>
    <w:p>
      <w:pPr>
        <w:sectPr>
          <w:pgSz w:w="11900" w:h="16838" w:orient="portrait"/>
          <w:cols w:equalWidth="0" w:num="2">
            <w:col w:w="4920" w:space="720"/>
            <w:col w:w="5180"/>
          </w:cols>
          <w:pgMar w:left="320" w:top="1152" w:right="759"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Please make checks payable to: FSP Addison Circle Limited Partnership</w:t>
      </w:r>
    </w:p>
    <w:p>
      <w:pPr>
        <w:sectPr>
          <w:pgSz w:w="11900" w:h="16838" w:orient="portrait"/>
          <w:cols w:equalWidth="0" w:num="1">
            <w:col w:w="10820"/>
          </w:cols>
          <w:pgMar w:left="320" w:top="1152" w:right="759" w:bottom="1440" w:gutter="0" w:footer="0" w:header="0"/>
          <w:type w:val="continuous"/>
        </w:sect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by check sent by regular mail:</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Franklin Street Properties Corp</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33037 Collection Center Drive</w:t>
      </w:r>
    </w:p>
    <w:p>
      <w:pPr>
        <w:spacing w:after="0"/>
        <w:rPr>
          <w:sz w:val="20"/>
          <w:szCs w:val="20"/>
          <w:color w:val="auto"/>
        </w:rPr>
      </w:pPr>
      <w:r>
        <w:rPr>
          <w:rFonts w:ascii="Times New Roman" w:cs="Times New Roman" w:eastAsia="Times New Roman" w:hAnsi="Times New Roman"/>
          <w:sz w:val="18"/>
          <w:szCs w:val="18"/>
          <w:color w:val="auto"/>
        </w:rPr>
        <w:t>Chicago, IL 60693-0330</w:t>
      </w:r>
    </w:p>
    <w:p>
      <w:pPr>
        <w:spacing w:after="0" w:line="200" w:lineRule="exact"/>
        <w:rPr>
          <w:sz w:val="20"/>
          <w:szCs w:val="20"/>
          <w:color w:val="auto"/>
        </w:rPr>
      </w:pPr>
    </w:p>
    <w:p>
      <w:pPr>
        <w:sectPr>
          <w:pgSz w:w="11900" w:h="16838" w:orient="portrait"/>
          <w:cols w:equalWidth="0" w:num="2">
            <w:col w:w="4920" w:space="720"/>
            <w:col w:w="5180"/>
          </w:cols>
          <w:pgMar w:left="320" w:top="1152" w:right="759" w:bottom="1440" w:gutter="0" w:footer="0" w:header="0"/>
          <w:type w:val="continuous"/>
        </w:sectPr>
      </w:pPr>
    </w:p>
    <w:p>
      <w:pPr>
        <w:spacing w:after="0" w:line="10"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If by check sent by hand delivery:</w:t>
      </w:r>
      <w:r>
        <w:rPr>
          <w:sz w:val="20"/>
          <w:szCs w:val="20"/>
          <w:color w:val="auto"/>
        </w:rPr>
        <w:tab/>
      </w:r>
      <w:r>
        <w:rPr>
          <w:rFonts w:ascii="Times New Roman" w:cs="Times New Roman" w:eastAsia="Times New Roman" w:hAnsi="Times New Roman"/>
          <w:sz w:val="18"/>
          <w:szCs w:val="18"/>
          <w:color w:val="auto"/>
        </w:rPr>
        <w:t>Bank of America, N.A.</w:t>
      </w:r>
    </w:p>
    <w:p>
      <w:pPr>
        <w:spacing w:after="0" w:line="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c/o Franklin Street Properties Corp</w:t>
      </w:r>
    </w:p>
    <w:p>
      <w:pPr>
        <w:ind w:left="5640"/>
        <w:spacing w:after="0"/>
        <w:rPr>
          <w:sz w:val="20"/>
          <w:szCs w:val="20"/>
          <w:color w:val="auto"/>
        </w:rPr>
      </w:pPr>
      <w:r>
        <w:rPr>
          <w:rFonts w:ascii="Times New Roman" w:cs="Times New Roman" w:eastAsia="Times New Roman" w:hAnsi="Times New Roman"/>
          <w:sz w:val="18"/>
          <w:szCs w:val="18"/>
          <w:color w:val="auto"/>
        </w:rPr>
        <w:t>33037 Collection Center Drive</w:t>
      </w:r>
    </w:p>
    <w:p>
      <w:pPr>
        <w:ind w:left="5640"/>
        <w:spacing w:after="0"/>
        <w:rPr>
          <w:sz w:val="20"/>
          <w:szCs w:val="20"/>
          <w:color w:val="auto"/>
        </w:rPr>
      </w:pPr>
      <w:r>
        <w:rPr>
          <w:rFonts w:ascii="Times New Roman" w:cs="Times New Roman" w:eastAsia="Times New Roman" w:hAnsi="Times New Roman"/>
          <w:sz w:val="18"/>
          <w:szCs w:val="18"/>
          <w:color w:val="auto"/>
        </w:rPr>
        <w:t>Chicago, IL 60693</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via Electronic Funds Transfer (EFT)/ACH Payment:</w:t>
      </w:r>
    </w:p>
    <w:p>
      <w:pPr>
        <w:spacing w:after="0" w:line="2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Bank of America</w:t>
      </w:r>
    </w:p>
    <w:p>
      <w:pPr>
        <w:spacing w:after="0" w:line="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Boston, MA</w:t>
      </w:r>
    </w:p>
    <w:p>
      <w:pPr>
        <w:spacing w:after="0" w:line="13" w:lineRule="exact"/>
        <w:rPr>
          <w:sz w:val="20"/>
          <w:szCs w:val="20"/>
          <w:color w:val="auto"/>
        </w:rPr>
      </w:pPr>
    </w:p>
    <w:p>
      <w:pPr>
        <w:ind w:left="760"/>
        <w:spacing w:after="0"/>
        <w:tabs>
          <w:tab w:leader="none" w:pos="3220" w:val="left"/>
        </w:tabs>
        <w:rPr>
          <w:sz w:val="20"/>
          <w:szCs w:val="20"/>
          <w:color w:val="auto"/>
        </w:rPr>
      </w:pPr>
      <w:r>
        <w:rPr>
          <w:rFonts w:ascii="Times New Roman" w:cs="Times New Roman" w:eastAsia="Times New Roman" w:hAnsi="Times New Roman"/>
          <w:sz w:val="18"/>
          <w:szCs w:val="18"/>
          <w:color w:val="auto"/>
        </w:rPr>
        <w:t>ACH ABA #:</w:t>
      </w:r>
      <w:r>
        <w:rPr>
          <w:sz w:val="20"/>
          <w:szCs w:val="20"/>
          <w:color w:val="auto"/>
        </w:rPr>
        <w:tab/>
      </w:r>
      <w:r>
        <w:rPr>
          <w:rFonts w:ascii="Times New Roman" w:cs="Times New Roman" w:eastAsia="Times New Roman" w:hAnsi="Times New Roman"/>
          <w:sz w:val="18"/>
          <w:szCs w:val="18"/>
          <w:color w:val="auto"/>
        </w:rPr>
        <w:t>[ACH ABA number]</w:t>
      </w:r>
    </w:p>
    <w:p>
      <w:pPr>
        <w:spacing w:after="0" w:line="23" w:lineRule="exact"/>
        <w:rPr>
          <w:sz w:val="20"/>
          <w:szCs w:val="20"/>
          <w:color w:val="auto"/>
        </w:rPr>
      </w:pPr>
    </w:p>
    <w:p>
      <w:pPr>
        <w:ind w:left="760"/>
        <w:spacing w:after="0"/>
        <w:tabs>
          <w:tab w:leader="none" w:pos="3220" w:val="left"/>
        </w:tabs>
        <w:rPr>
          <w:sz w:val="20"/>
          <w:szCs w:val="20"/>
          <w:color w:val="auto"/>
        </w:rPr>
      </w:pPr>
      <w:r>
        <w:rPr>
          <w:rFonts w:ascii="Times New Roman" w:cs="Times New Roman" w:eastAsia="Times New Roman" w:hAnsi="Times New Roman"/>
          <w:sz w:val="18"/>
          <w:szCs w:val="18"/>
          <w:color w:val="auto"/>
        </w:rPr>
        <w:t>Account #:</w:t>
      </w:r>
      <w:r>
        <w:rPr>
          <w:sz w:val="20"/>
          <w:szCs w:val="20"/>
          <w:color w:val="auto"/>
        </w:rPr>
        <w:tab/>
      </w:r>
      <w:r>
        <w:rPr>
          <w:rFonts w:ascii="Times New Roman" w:cs="Times New Roman" w:eastAsia="Times New Roman" w:hAnsi="Times New Roman"/>
          <w:sz w:val="18"/>
          <w:szCs w:val="18"/>
          <w:color w:val="auto"/>
        </w:rPr>
        <w:t>[Account number]</w:t>
      </w:r>
    </w:p>
    <w:p>
      <w:pPr>
        <w:spacing w:after="0" w:line="23" w:lineRule="exact"/>
        <w:rPr>
          <w:sz w:val="20"/>
          <w:szCs w:val="20"/>
          <w:color w:val="auto"/>
        </w:rPr>
      </w:pPr>
    </w:p>
    <w:p>
      <w:pPr>
        <w:ind w:left="760"/>
        <w:spacing w:after="0"/>
        <w:tabs>
          <w:tab w:leader="none" w:pos="3220" w:val="left"/>
        </w:tabs>
        <w:rPr>
          <w:sz w:val="20"/>
          <w:szCs w:val="20"/>
          <w:color w:val="auto"/>
        </w:rPr>
      </w:pPr>
      <w:r>
        <w:rPr>
          <w:rFonts w:ascii="Times New Roman" w:cs="Times New Roman" w:eastAsia="Times New Roman" w:hAnsi="Times New Roman"/>
          <w:sz w:val="18"/>
          <w:szCs w:val="18"/>
          <w:color w:val="auto"/>
        </w:rPr>
        <w:t>Account Name:</w:t>
      </w:r>
      <w:r>
        <w:rPr>
          <w:sz w:val="20"/>
          <w:szCs w:val="20"/>
          <w:color w:val="auto"/>
        </w:rPr>
        <w:tab/>
      </w:r>
      <w:r>
        <w:rPr>
          <w:rFonts w:ascii="Times New Roman" w:cs="Times New Roman" w:eastAsia="Times New Roman" w:hAnsi="Times New Roman"/>
          <w:sz w:val="18"/>
          <w:szCs w:val="18"/>
          <w:color w:val="auto"/>
        </w:rPr>
        <w:t>Franklin Street</w:t>
      </w:r>
    </w:p>
    <w:p>
      <w:pPr>
        <w:spacing w:after="0" w:line="23" w:lineRule="exact"/>
        <w:rPr>
          <w:sz w:val="20"/>
          <w:szCs w:val="20"/>
          <w:color w:val="auto"/>
        </w:rPr>
      </w:pPr>
    </w:p>
    <w:p>
      <w:pPr>
        <w:ind w:left="760"/>
        <w:spacing w:after="0"/>
        <w:tabs>
          <w:tab w:leader="none" w:pos="3220" w:val="left"/>
        </w:tabs>
        <w:rPr>
          <w:sz w:val="20"/>
          <w:szCs w:val="20"/>
          <w:color w:val="auto"/>
        </w:rPr>
      </w:pPr>
      <w:r>
        <w:rPr>
          <w:rFonts w:ascii="Times New Roman" w:cs="Times New Roman" w:eastAsia="Times New Roman" w:hAnsi="Times New Roman"/>
          <w:sz w:val="18"/>
          <w:szCs w:val="18"/>
          <w:color w:val="auto"/>
        </w:rPr>
        <w:t>Reference:</w:t>
      </w:r>
      <w:r>
        <w:rPr>
          <w:sz w:val="20"/>
          <w:szCs w:val="20"/>
          <w:color w:val="auto"/>
        </w:rPr>
        <w:tab/>
      </w:r>
      <w:r>
        <w:rPr>
          <w:rFonts w:ascii="Times New Roman" w:cs="Times New Roman" w:eastAsia="Times New Roman" w:hAnsi="Times New Roman"/>
          <w:sz w:val="18"/>
          <w:szCs w:val="18"/>
          <w:color w:val="auto"/>
        </w:rPr>
        <w:t>FSP Addison Circle Limited Partnership</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LEASE AGREEMENT –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630555</wp:posOffset>
            </wp:positionV>
            <wp:extent cx="7178040" cy="4000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22">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0820"/>
          </w:cols>
          <w:pgMar w:left="320" w:top="1152" w:right="759" w:bottom="1440" w:gutter="0" w:footer="0" w:header="0"/>
          <w:type w:val="continuous"/>
        </w:sectPr>
      </w:pPr>
    </w:p>
    <w:bookmarkStart w:id="195" w:name="page196"/>
    <w:bookmarkEnd w:id="195"/>
    <w:tbl>
      <w:tblPr>
        <w:tblLayout w:type="fixed"/>
        <w:tblInd w:w="0" w:type="dxa"/>
        <w:tblCellMar>
          <w:top w:w="0" w:type="dxa"/>
          <w:left w:w="0" w:type="dxa"/>
          <w:bottom w:w="0" w:type="dxa"/>
          <w:right w:w="0" w:type="dxa"/>
        </w:tblCellMar>
      </w:tblPr>
      <w:tr>
        <w:trPr>
          <w:trHeight w:val="207"/>
        </w:trPr>
        <w:tc>
          <w:tcPr>
            <w:tcW w:w="4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Notice Address of Tenant:</w:t>
            </w:r>
          </w:p>
        </w:tc>
        <w:tc>
          <w:tcPr>
            <w:tcW w:w="6760" w:type="dxa"/>
            <w:vAlign w:val="bottom"/>
            <w:gridSpan w:val="5"/>
          </w:tcPr>
          <w:p>
            <w:pPr>
              <w:ind w:left="1600"/>
              <w:spacing w:after="0"/>
              <w:rPr>
                <w:sz w:val="20"/>
                <w:szCs w:val="20"/>
                <w:color w:val="auto"/>
              </w:rPr>
            </w:pPr>
            <w:r>
              <w:rPr>
                <w:rFonts w:ascii="Times New Roman" w:cs="Times New Roman" w:eastAsia="Times New Roman" w:hAnsi="Times New Roman"/>
                <w:sz w:val="18"/>
                <w:szCs w:val="18"/>
                <w:b w:val="1"/>
                <w:bCs w:val="1"/>
                <w:color w:val="auto"/>
              </w:rPr>
              <w:t>TENANT:</w:t>
            </w:r>
          </w:p>
        </w:tc>
        <w:tc>
          <w:tcPr>
            <w:tcW w:w="0" w:type="dxa"/>
            <w:vAlign w:val="bottom"/>
          </w:tcPr>
          <w:p>
            <w:pPr>
              <w:spacing w:after="0"/>
              <w:rPr>
                <w:sz w:val="1"/>
                <w:szCs w:val="1"/>
                <w:color w:val="auto"/>
              </w:rPr>
            </w:pPr>
          </w:p>
        </w:tc>
      </w:tr>
      <w:tr>
        <w:trPr>
          <w:trHeight w:val="20"/>
        </w:trPr>
        <w:tc>
          <w:tcPr>
            <w:tcW w:w="1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4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15601 Dallas Parkway, Suite 600</w:t>
            </w:r>
          </w:p>
        </w:tc>
        <w:tc>
          <w:tcPr>
            <w:tcW w:w="6760" w:type="dxa"/>
            <w:vAlign w:val="bottom"/>
            <w:gridSpan w:val="5"/>
          </w:tcPr>
          <w:p>
            <w:pPr>
              <w:ind w:left="1600"/>
              <w:spacing w:after="0"/>
              <w:rPr>
                <w:sz w:val="20"/>
                <w:szCs w:val="20"/>
                <w:color w:val="auto"/>
              </w:rPr>
            </w:pPr>
            <w:r>
              <w:rPr>
                <w:rFonts w:ascii="Times New Roman" w:cs="Times New Roman" w:eastAsia="Times New Roman" w:hAnsi="Times New Roman"/>
                <w:sz w:val="18"/>
                <w:szCs w:val="18"/>
                <w:color w:val="auto"/>
              </w:rPr>
              <w:t>CAROFFER, LLC, a Delaware limited liability</w:t>
            </w:r>
          </w:p>
        </w:tc>
        <w:tc>
          <w:tcPr>
            <w:tcW w:w="0" w:type="dxa"/>
            <w:vAlign w:val="bottom"/>
          </w:tcPr>
          <w:p>
            <w:pPr>
              <w:spacing w:after="0"/>
              <w:rPr>
                <w:sz w:val="1"/>
                <w:szCs w:val="1"/>
                <w:color w:val="auto"/>
              </w:rPr>
            </w:pPr>
          </w:p>
        </w:tc>
      </w:tr>
      <w:tr>
        <w:trPr>
          <w:trHeight w:val="207"/>
        </w:trPr>
        <w:tc>
          <w:tcPr>
            <w:tcW w:w="4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Addison, Texas 75001</w:t>
            </w:r>
          </w:p>
        </w:tc>
        <w:tc>
          <w:tcPr>
            <w:tcW w:w="6760" w:type="dxa"/>
            <w:vAlign w:val="bottom"/>
            <w:gridSpan w:val="5"/>
          </w:tcPr>
          <w:p>
            <w:pPr>
              <w:ind w:left="1600"/>
              <w:spacing w:after="0"/>
              <w:rPr>
                <w:sz w:val="20"/>
                <w:szCs w:val="20"/>
                <w:color w:val="auto"/>
              </w:rPr>
            </w:pPr>
            <w:r>
              <w:rPr>
                <w:rFonts w:ascii="Times New Roman" w:cs="Times New Roman" w:eastAsia="Times New Roman" w:hAnsi="Times New Roman"/>
                <w:sz w:val="18"/>
                <w:szCs w:val="18"/>
                <w:color w:val="auto"/>
              </w:rPr>
              <w:t>company</w:t>
            </w:r>
          </w:p>
        </w:tc>
        <w:tc>
          <w:tcPr>
            <w:tcW w:w="0" w:type="dxa"/>
            <w:vAlign w:val="bottom"/>
          </w:tcPr>
          <w:p>
            <w:pPr>
              <w:spacing w:after="0"/>
              <w:rPr>
                <w:sz w:val="1"/>
                <w:szCs w:val="1"/>
                <w:color w:val="auto"/>
              </w:rPr>
            </w:pPr>
          </w:p>
        </w:tc>
      </w:tr>
      <w:tr>
        <w:trPr>
          <w:trHeight w:val="240"/>
        </w:trPr>
        <w:tc>
          <w:tcPr>
            <w:tcW w:w="4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Attn: Bruce Thompson</w:t>
            </w:r>
          </w:p>
        </w:tc>
        <w:tc>
          <w:tcPr>
            <w:tcW w:w="1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4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With a copy to:</w:t>
            </w:r>
          </w:p>
        </w:tc>
        <w:tc>
          <w:tcPr>
            <w:tcW w:w="2120" w:type="dxa"/>
            <w:vAlign w:val="bottom"/>
            <w:gridSpan w:val="3"/>
          </w:tcPr>
          <w:p>
            <w:pPr>
              <w:ind w:left="1600"/>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 Bruce T. Thompson</w:t>
            </w:r>
          </w:p>
        </w:tc>
        <w:tc>
          <w:tcPr>
            <w:tcW w:w="0" w:type="dxa"/>
            <w:vAlign w:val="bottom"/>
          </w:tcPr>
          <w:p>
            <w:pPr>
              <w:spacing w:after="0"/>
              <w:rPr>
                <w:sz w:val="1"/>
                <w:szCs w:val="1"/>
                <w:color w:val="auto"/>
              </w:rPr>
            </w:pPr>
          </w:p>
        </w:tc>
      </w:tr>
      <w:tr>
        <w:trPr>
          <w:trHeight w:val="26"/>
        </w:trPr>
        <w:tc>
          <w:tcPr>
            <w:tcW w:w="1220" w:type="dxa"/>
            <w:vAlign w:val="bottom"/>
            <w:tcBorders>
              <w:top w:val="single" w:sz="8" w:color="auto"/>
            </w:tcBorders>
          </w:tcPr>
          <w:p>
            <w:pPr>
              <w:spacing w:after="0"/>
              <w:rPr>
                <w:sz w:val="2"/>
                <w:szCs w:val="2"/>
                <w:color w:val="auto"/>
              </w:rPr>
            </w:pPr>
          </w:p>
        </w:tc>
        <w:tc>
          <w:tcPr>
            <w:tcW w:w="8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040" w:type="dxa"/>
            <w:vAlign w:val="bottom"/>
            <w:gridSpan w:val="2"/>
            <w:vMerge w:val="restart"/>
          </w:tcPr>
          <w:p>
            <w:pPr>
              <w:ind w:left="1600"/>
              <w:spacing w:after="0"/>
              <w:rPr>
                <w:sz w:val="20"/>
                <w:szCs w:val="20"/>
                <w:color w:val="auto"/>
              </w:rPr>
            </w:pPr>
            <w:r>
              <w:rPr>
                <w:rFonts w:ascii="Times New Roman" w:cs="Times New Roman" w:eastAsia="Times New Roman" w:hAnsi="Times New Roman"/>
                <w:sz w:val="18"/>
                <w:szCs w:val="18"/>
                <w:color w:val="auto"/>
                <w:w w:val="87"/>
              </w:rPr>
              <w:t>Name:</w:t>
            </w: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1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0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340" w:type="dxa"/>
            <w:vAlign w:val="bottom"/>
          </w:tcPr>
          <w:p>
            <w:pPr>
              <w:ind w:left="540"/>
              <w:spacing w:after="0" w:line="188" w:lineRule="exact"/>
              <w:rPr>
                <w:sz w:val="20"/>
                <w:szCs w:val="20"/>
                <w:color w:val="auto"/>
              </w:rPr>
            </w:pPr>
            <w:r>
              <w:rPr>
                <w:rFonts w:ascii="Times New Roman" w:cs="Times New Roman" w:eastAsia="Times New Roman" w:hAnsi="Times New Roman"/>
                <w:sz w:val="18"/>
                <w:szCs w:val="18"/>
                <w:color w:val="auto"/>
              </w:rPr>
              <w:t>Bruce T. Thompson</w:t>
            </w:r>
          </w:p>
        </w:tc>
        <w:tc>
          <w:tcPr>
            <w:tcW w:w="0" w:type="dxa"/>
            <w:vAlign w:val="bottom"/>
          </w:tcPr>
          <w:p>
            <w:pPr>
              <w:spacing w:after="0"/>
              <w:rPr>
                <w:sz w:val="1"/>
                <w:szCs w:val="1"/>
                <w:color w:val="auto"/>
              </w:rPr>
            </w:pPr>
          </w:p>
        </w:tc>
      </w:tr>
      <w:tr>
        <w:trPr>
          <w:trHeight w:val="227"/>
        </w:trPr>
        <w:tc>
          <w:tcPr>
            <w:tcW w:w="4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Munck Wilson Mandala, LLP</w:t>
            </w:r>
          </w:p>
        </w:tc>
        <w:tc>
          <w:tcPr>
            <w:tcW w:w="2120" w:type="dxa"/>
            <w:vAlign w:val="bottom"/>
            <w:gridSpan w:val="3"/>
          </w:tcPr>
          <w:p>
            <w:pPr>
              <w:ind w:left="1600"/>
              <w:spacing w:after="0"/>
              <w:rPr>
                <w:sz w:val="20"/>
                <w:szCs w:val="20"/>
                <w:color w:val="auto"/>
              </w:rPr>
            </w:pPr>
            <w:r>
              <w:rPr>
                <w:rFonts w:ascii="Times New Roman" w:cs="Times New Roman" w:eastAsia="Times New Roman" w:hAnsi="Times New Roman"/>
                <w:sz w:val="18"/>
                <w:szCs w:val="18"/>
                <w:color w:val="auto"/>
              </w:rPr>
              <w:t>Title:</w:t>
            </w:r>
          </w:p>
        </w:tc>
        <w:tc>
          <w:tcPr>
            <w:tcW w:w="300" w:type="dxa"/>
            <w:vAlign w:val="bottom"/>
          </w:tcPr>
          <w:p>
            <w:pPr>
              <w:spacing w:after="0"/>
              <w:rPr>
                <w:sz w:val="19"/>
                <w:szCs w:val="19"/>
                <w:color w:val="auto"/>
              </w:rPr>
            </w:pPr>
          </w:p>
        </w:tc>
        <w:tc>
          <w:tcPr>
            <w:tcW w:w="43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12770 Coit Road, Suite 600</w:t>
      </w:r>
    </w:p>
    <w:p>
      <w:pPr>
        <w:spacing w:after="0"/>
        <w:rPr>
          <w:sz w:val="20"/>
          <w:szCs w:val="20"/>
          <w:color w:val="auto"/>
        </w:rPr>
      </w:pPr>
      <w:r>
        <w:rPr>
          <w:rFonts w:ascii="Times New Roman" w:cs="Times New Roman" w:eastAsia="Times New Roman" w:hAnsi="Times New Roman"/>
          <w:sz w:val="18"/>
          <w:szCs w:val="18"/>
          <w:color w:val="auto"/>
        </w:rPr>
        <w:t>Dallas, Texas 75251</w:t>
      </w:r>
    </w:p>
    <w:p>
      <w:pPr>
        <w:spacing w:after="0"/>
        <w:rPr>
          <w:sz w:val="20"/>
          <w:szCs w:val="20"/>
          <w:color w:val="auto"/>
        </w:rPr>
      </w:pPr>
      <w:r>
        <w:rPr>
          <w:rFonts w:ascii="Times New Roman" w:cs="Times New Roman" w:eastAsia="Times New Roman" w:hAnsi="Times New Roman"/>
          <w:sz w:val="18"/>
          <w:szCs w:val="18"/>
          <w:color w:val="auto"/>
        </w:rPr>
        <w:t>Attn: Randall G. Ray, Esq</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CarGurus, Inc.</w:t>
      </w:r>
    </w:p>
    <w:p>
      <w:pPr>
        <w:spacing w:after="0" w:line="203" w:lineRule="auto"/>
        <w:rPr>
          <w:sz w:val="20"/>
          <w:szCs w:val="20"/>
          <w:color w:val="auto"/>
        </w:rPr>
      </w:pPr>
      <w:r>
        <w:rPr>
          <w:rFonts w:ascii="Times New Roman" w:cs="Times New Roman" w:eastAsia="Times New Roman" w:hAnsi="Times New Roman"/>
          <w:sz w:val="18"/>
          <w:szCs w:val="18"/>
          <w:color w:val="auto"/>
        </w:rPr>
        <w:t>2 Canal Park, 4</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Floor</w:t>
      </w:r>
    </w:p>
    <w:p>
      <w:pPr>
        <w:spacing w:after="0"/>
        <w:rPr>
          <w:sz w:val="20"/>
          <w:szCs w:val="20"/>
          <w:color w:val="auto"/>
        </w:rPr>
      </w:pPr>
      <w:r>
        <w:rPr>
          <w:rFonts w:ascii="Times New Roman" w:cs="Times New Roman" w:eastAsia="Times New Roman" w:hAnsi="Times New Roman"/>
          <w:sz w:val="18"/>
          <w:szCs w:val="18"/>
          <w:color w:val="auto"/>
        </w:rPr>
        <w:t>Cambridge, MA 02141</w:t>
      </w:r>
    </w:p>
    <w:p>
      <w:pPr>
        <w:spacing w:after="0"/>
        <w:rPr>
          <w:sz w:val="20"/>
          <w:szCs w:val="20"/>
          <w:color w:val="auto"/>
        </w:rPr>
      </w:pPr>
      <w:r>
        <w:rPr>
          <w:rFonts w:ascii="Times New Roman" w:cs="Times New Roman" w:eastAsia="Times New Roman" w:hAnsi="Times New Roman"/>
          <w:sz w:val="18"/>
          <w:szCs w:val="18"/>
          <w:color w:val="auto"/>
        </w:rPr>
        <w:t>Attn: Robert Mirabello</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CarGurus, Inc.</w:t>
      </w:r>
    </w:p>
    <w:p>
      <w:pPr>
        <w:spacing w:after="0" w:line="203" w:lineRule="auto"/>
        <w:rPr>
          <w:sz w:val="20"/>
          <w:szCs w:val="20"/>
          <w:color w:val="auto"/>
        </w:rPr>
      </w:pPr>
      <w:r>
        <w:rPr>
          <w:rFonts w:ascii="Times New Roman" w:cs="Times New Roman" w:eastAsia="Times New Roman" w:hAnsi="Times New Roman"/>
          <w:sz w:val="18"/>
          <w:szCs w:val="18"/>
          <w:color w:val="auto"/>
        </w:rPr>
        <w:t>2 Canal Park, 4</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Floor</w:t>
      </w:r>
    </w:p>
    <w:p>
      <w:pPr>
        <w:spacing w:after="0"/>
        <w:rPr>
          <w:sz w:val="20"/>
          <w:szCs w:val="20"/>
          <w:color w:val="auto"/>
        </w:rPr>
      </w:pPr>
      <w:r>
        <w:rPr>
          <w:rFonts w:ascii="Times New Roman" w:cs="Times New Roman" w:eastAsia="Times New Roman" w:hAnsi="Times New Roman"/>
          <w:sz w:val="18"/>
          <w:szCs w:val="18"/>
          <w:color w:val="auto"/>
        </w:rPr>
        <w:t>Cambridge, MA 02141</w:t>
      </w:r>
    </w:p>
    <w:p>
      <w:pPr>
        <w:spacing w:after="0"/>
        <w:rPr>
          <w:sz w:val="20"/>
          <w:szCs w:val="20"/>
          <w:color w:val="auto"/>
        </w:rPr>
      </w:pPr>
      <w:r>
        <w:rPr>
          <w:rFonts w:ascii="Times New Roman" w:cs="Times New Roman" w:eastAsia="Times New Roman" w:hAnsi="Times New Roman"/>
          <w:sz w:val="18"/>
          <w:szCs w:val="18"/>
          <w:color w:val="auto"/>
        </w:rPr>
        <w:t>Attn: General Counsel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Dain, Torpy, Le Ray, Wiest &amp; Garner, P.C.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175 Federal Street, Suite 1500</w:t>
      </w:r>
    </w:p>
    <w:p>
      <w:pPr>
        <w:spacing w:after="0"/>
        <w:rPr>
          <w:sz w:val="20"/>
          <w:szCs w:val="20"/>
          <w:color w:val="auto"/>
        </w:rPr>
      </w:pPr>
      <w:r>
        <w:rPr>
          <w:rFonts w:ascii="Times New Roman" w:cs="Times New Roman" w:eastAsia="Times New Roman" w:hAnsi="Times New Roman"/>
          <w:sz w:val="18"/>
          <w:szCs w:val="18"/>
          <w:color w:val="auto"/>
        </w:rPr>
        <w:t>Boston, MA 02110</w:t>
      </w:r>
    </w:p>
    <w:p>
      <w:pPr>
        <w:spacing w:after="0"/>
        <w:rPr>
          <w:sz w:val="20"/>
          <w:szCs w:val="20"/>
          <w:color w:val="auto"/>
        </w:rPr>
      </w:pPr>
      <w:r>
        <w:rPr>
          <w:rFonts w:ascii="Times New Roman" w:cs="Times New Roman" w:eastAsia="Times New Roman" w:hAnsi="Times New Roman"/>
          <w:sz w:val="18"/>
          <w:szCs w:val="18"/>
          <w:color w:val="auto"/>
        </w:rPr>
        <w:t>Attention: CarGurus/Addison Circle</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LEASE AGREEMENT –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630555</wp:posOffset>
            </wp:positionV>
            <wp:extent cx="7178040" cy="4000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23">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0800"/>
          </w:cols>
          <w:pgMar w:left="320" w:top="1325" w:right="779" w:bottom="1440" w:gutter="0" w:footer="0" w:header="0"/>
        </w:sectPr>
      </w:pPr>
    </w:p>
    <w:bookmarkStart w:id="196" w:name="page197"/>
    <w:bookmarkEnd w:id="19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PROPERTY DESCRIPTION</w:t>
      </w:r>
    </w:p>
    <w:p>
      <w:pPr>
        <w:spacing w:after="0" w:line="19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BEING a tract of land situated in the G. W. Fisher Survey, Abstract No. 482, Town of Addison, Dallas County, Texas, and being a portion of three tracts of land deeded to Opubco Properties, Inc. as evidenced by three instruments recorded in Volume 82020, Page 0684, Volume 84151, Page 3619, and Volume 85147, Page 4305 all of the Deed Records of Dallas County, Texas, said tract being all of Lot 2, Block C of ADDISON CIRCLE PHASE II, an addition to the Town of Addison, Texas, as recorded in Volume 97217, Page 3056, Deed Records, Dallas County, Texas, and being more particularly described as follows:</w:t>
      </w:r>
    </w:p>
    <w:p>
      <w:pPr>
        <w:spacing w:after="0" w:line="15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COMMENCING at a one-half inch iron rod found with "Huitt-Zollars" cap at the intersection of the north right-of-way line of the Dallas Area Rapid Transit Property Acquisition Corporation, (formerly St. Louis Southwestern Railroad) a 100 foot wide right-of-way, as evidenced by instrument recorded in Volume 91008, Page 1390 of the Deed Records of Dallas County, Texas, with east right-of-way line of Quorum Drive as established by instrument to the Town of Addison, Texas as recorded in Volume 82093, Page 1077 of the Deed Records of Dallas County, Texas;</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THENCE, North 66 degrees 45 minutes 01 seconds East along the northwesterly right-of-way line of said Dallas Area Rapid Transit tract a distance of 769.32 feet to a one-half inch iron rod set with "Huitt-Zollars" cap for the POINT OF BEGINNING;</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THENCE, North 23 degrees 14 minutes 59 seconds West a distance of 59.99 feet to a one-half inch iron rod set with "Huitt-Zollars" cap for a corner;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THENCE, North 00 degrees 55 minutes 13 seconds East a distance of 157.85 feet to a one-half inch iron rod set with "Huitt-Zollars" cap for a corner;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THENCE, North 66 degrees 45 minutes 01 seconds East a distance of 343.62 feet to a one-half inch iron rod set with "Huitt-Zollars" cap for a corner;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THENCE, North 17 degrees 01 minute 01 second West a distance of 60.70 feet to a one-half inch iron rod set with "Huitt-Zollars" cap for a corner;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THENCE, North 72 degrees 58 minutes 59 seconds East a distance of 69.00 feet to a one-half inch iron rod set with "Huitt-Zollars" cap for a corner;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THENCE, North 17 degrees 01 minutes 01 second West a distance of 32.00 feet to a one-half inch iron rod set with "Huitt-Zollars" cap for a corner;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THENCE, North 72 degrees 58 minutes 59 seconds East a distance of 0.67 feet to a one-half inch iron rod set with "Huitt-Zollars" cap for a corner;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THENCE, North 17 degrees 01 minutes 01 second West a distance of 30.83 feet to a one-half inch iron rod set with "Huitt-Zollars" cap for a corner;</w:t>
      </w:r>
    </w:p>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THENCE, North 72 degrees 58 minutes 59 seconds East a distance of 214.02 feet to a one-half inch iron rod set with "Huitt-Zollars" cap on the east line of a tract of land described in instrument to Opubco Properties, Inc. as recorded in Volume 85147, Page 4305, Deed Records, Dallas County, Texas and the west right-of-way line of the Dallas North Tollway, said point being the beginning of a non-tangent curve to the left having a radius of 1,997.84 feet;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A, PropertyDescription</w:t>
      </w:r>
      <w:r>
        <w:rPr>
          <w:rFonts w:ascii="Times New Roman" w:cs="Times New Roman" w:eastAsia="Times New Roman" w:hAnsi="Times New Roman"/>
          <w:sz w:val="18"/>
          <w:szCs w:val="18"/>
          <w:color w:val="auto"/>
        </w:rPr>
        <w:t xml:space="preserve"> –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630555</wp:posOffset>
            </wp:positionV>
            <wp:extent cx="7178040" cy="4000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24">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48" w:right="319" w:bottom="1440" w:gutter="0" w:footer="0" w:header="0"/>
        </w:sectPr>
      </w:pPr>
    </w:p>
    <w:bookmarkStart w:id="197" w:name="page198"/>
    <w:bookmarkEnd w:id="197"/>
    <w:p>
      <w:pPr>
        <w:jc w:val="both"/>
        <w:spacing w:after="0" w:line="249" w:lineRule="auto"/>
        <w:rPr>
          <w:sz w:val="20"/>
          <w:szCs w:val="20"/>
          <w:color w:val="auto"/>
        </w:rPr>
      </w:pPr>
      <w:r>
        <w:rPr>
          <w:rFonts w:ascii="Times New Roman" w:cs="Times New Roman" w:eastAsia="Times New Roman" w:hAnsi="Times New Roman"/>
          <w:sz w:val="17"/>
          <w:szCs w:val="17"/>
          <w:color w:val="auto"/>
        </w:rPr>
        <w:t>THENCE, continuing alone the east line of said Opubco tract and west right-of-way of the Dallas North Tollway and along said curve to the left through a central angle of 2 degrees 27 minutes 02 seconds, an arc distance of 85.45 feet and being subtended by a chord bearing South 8 degrees 44 minutes 32 seconds East a distance of 85.44 feet to a one-half inch iron rod set with "Huitt-Zollars" cap at the northeast corner of said Opubco tract recorded in Volume 84151, Page 3619, Deed Records, Dallas County, Texas, said corner being the beginning of a non-tangent curve to the left having a radius of 2,964.79 feet;</w:t>
      </w:r>
    </w:p>
    <w:p>
      <w:pPr>
        <w:spacing w:after="0" w:line="1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THENCE, continuing along the East line of said Opubco tract and the west right-of-way line of the Dallas North Tollway and along said curve to the left through a central angle of 01 degree 54 minutes 29 seconds, an arc distance of 98.74 feet and being subtended by a chord bearing South 12 degrees 05 minutes 47 seconds East a distance of 98.73 feet to a one-half inch iron rod found with "Huitt-Zollars" cap at the end of said curve;</w:t>
      </w:r>
    </w:p>
    <w:p>
      <w:pPr>
        <w:spacing w:after="0" w:line="150"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6"/>
          <w:szCs w:val="16"/>
          <w:color w:val="auto"/>
        </w:rPr>
        <w:t>THENCE, South 13 degrees 03 minutes 02 seconds East continuing along the east line of the Opubco tract and along the west right-of-way line of the Dallas North Tollway a distance of 118.29 feet to one-half inch iron rod set with "Huitt-Zollars" cap on the northwesterly right-of-way line of said Dallas Area Rapid Transit tract;</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THENCE, South 66 degrees 45 minutes 01 second West alone the northwesterly right-of-way line of Dallas Area Rapid Transit tract a distance of 642.23 feet to the POINT OF BEGINNING and CONTAINING 3.576 acres of land, more or less.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A, PropertyDescription</w:t>
      </w:r>
      <w:r>
        <w:rPr>
          <w:rFonts w:ascii="Times New Roman" w:cs="Times New Roman" w:eastAsia="Times New Roman" w:hAnsi="Times New Roman"/>
          <w:sz w:val="18"/>
          <w:szCs w:val="18"/>
          <w:color w:val="auto"/>
        </w:rPr>
        <w:t xml:space="preserve"> –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630555</wp:posOffset>
            </wp:positionV>
            <wp:extent cx="7178040" cy="4000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25">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40"/>
          </w:cols>
          <w:pgMar w:left="320" w:top="1341" w:right="339" w:bottom="1440" w:gutter="0" w:footer="0" w:header="0"/>
        </w:sectPr>
      </w:pPr>
    </w:p>
    <w:bookmarkStart w:id="198" w:name="page199"/>
    <w:bookmarkEnd w:id="198"/>
    <w:p>
      <w:pPr>
        <w:jc w:val="center"/>
        <w:ind w:right="-1100"/>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18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u w:val="single" w:color="auto"/>
          <w:color w:val="auto"/>
        </w:rPr>
        <w:t>FLOOR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1565910</wp:posOffset>
            </wp:positionH>
            <wp:positionV relativeFrom="paragraph">
              <wp:posOffset>170815</wp:posOffset>
            </wp:positionV>
            <wp:extent cx="3982085" cy="558165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26">
                      <a:extLst>
                        <a:ext uri="{28A0092B-C50C-407E-A947-70E740481C1C}"/>
                      </a:extLst>
                    </a:blip>
                    <a:srcRect/>
                    <a:stretch>
                      <a:fillRect/>
                    </a:stretch>
                  </pic:blipFill>
                  <pic:spPr bwMode="auto">
                    <a:xfrm>
                      <a:off x="0" y="0"/>
                      <a:ext cx="3982085" cy="5581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Exhibit B, Floor Plan</w:t>
      </w:r>
      <w:r>
        <w:rPr>
          <w:rFonts w:ascii="Times New Roman" w:cs="Times New Roman" w:eastAsia="Times New Roman" w:hAnsi="Times New Roman"/>
          <w:sz w:val="17"/>
          <w:szCs w:val="17"/>
          <w:color w:val="auto"/>
        </w:rPr>
        <w:t xml:space="preserve"> –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627380</wp:posOffset>
            </wp:positionV>
            <wp:extent cx="7178040" cy="4000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27">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0139"/>
          </w:cols>
          <w:pgMar w:left="320" w:top="1148" w:right="1440" w:bottom="1440" w:gutter="0" w:footer="0" w:header="0"/>
        </w:sectPr>
      </w:pPr>
    </w:p>
    <w:bookmarkStart w:id="199" w:name="page200"/>
    <w:bookmarkEnd w:id="19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C</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RULES AND REGULATIONS</w:t>
      </w:r>
    </w:p>
    <w:p>
      <w:pPr>
        <w:spacing w:after="0" w:line="18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 xml:space="preserve">Any capitalized terms not defined in this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will have the meaning set forth in the Lease to which this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is attached.</w:t>
      </w:r>
    </w:p>
    <w:p>
      <w:pPr>
        <w:spacing w:after="0" w:line="184" w:lineRule="exact"/>
        <w:rPr>
          <w:sz w:val="20"/>
          <w:szCs w:val="20"/>
          <w:color w:val="auto"/>
        </w:rPr>
      </w:pPr>
    </w:p>
    <w:p>
      <w:pPr>
        <w:jc w:val="both"/>
        <w:ind w:firstLine="743"/>
        <w:spacing w:after="0" w:line="249" w:lineRule="auto"/>
        <w:tabs>
          <w:tab w:leader="none" w:pos="987"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Sidewalks, doorways, vestibules, halls, stairways, and similar areas shall not be obstructed, nor shall refuse, furniture, boxes or other items be placed therein by Tenant or Tenant's officers, agents, servants, contractors and employees, or used for any purpose other than ingress and egress to and from the Premises, or for going from one part of the Building or Complex to another part of the Building or Complex. Tenant shall be responsible, at its sole cost, for the removal of any large boxes or crates not used in the ordinary course of business. Nothing shall be swept or thrown into the corridors, halls, elevator shafts or stairways.</w:t>
      </w:r>
    </w:p>
    <w:p>
      <w:pPr>
        <w:spacing w:after="0" w:line="145" w:lineRule="exact"/>
        <w:rPr>
          <w:rFonts w:ascii="Times New Roman" w:cs="Times New Roman" w:eastAsia="Times New Roman" w:hAnsi="Times New Roman"/>
          <w:sz w:val="18"/>
          <w:szCs w:val="18"/>
          <w:color w:val="auto"/>
        </w:rPr>
      </w:pPr>
    </w:p>
    <w:p>
      <w:pPr>
        <w:ind w:left="980" w:hanging="237"/>
        <w:spacing w:after="0"/>
        <w:tabs>
          <w:tab w:leader="none" w:pos="9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Canvassing, soliciting, distributing handbills, advertising and peddling in the Building and Complex are prohibited.</w:t>
      </w:r>
    </w:p>
    <w:p>
      <w:pPr>
        <w:spacing w:after="0" w:line="184" w:lineRule="exact"/>
        <w:rPr>
          <w:rFonts w:ascii="Times New Roman" w:cs="Times New Roman" w:eastAsia="Times New Roman" w:hAnsi="Times New Roman"/>
          <w:sz w:val="18"/>
          <w:szCs w:val="18"/>
          <w:color w:val="auto"/>
        </w:rPr>
      </w:pPr>
    </w:p>
    <w:p>
      <w:pPr>
        <w:jc w:val="both"/>
        <w:ind w:firstLine="743"/>
        <w:spacing w:after="0" w:line="254" w:lineRule="auto"/>
        <w:tabs>
          <w:tab w:leader="none" w:pos="103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Plumbing fixtures and appliances shall be used only for the purpose for which such were constructed or installed, and no unsuitable material shall be placed therein. The cost of repair of any stoppage or damage to any such fixtures or appliances from misuse on the part of Tenant or Tenant's officers, agents, servants, contractors, employees, guests and customers shall be paid by Tenant, and Landlord shall not in any case be responsible therefor.</w:t>
      </w:r>
    </w:p>
    <w:p>
      <w:pPr>
        <w:spacing w:after="0" w:line="355" w:lineRule="exact"/>
        <w:rPr>
          <w:rFonts w:ascii="Times New Roman" w:cs="Times New Roman" w:eastAsia="Times New Roman" w:hAnsi="Times New Roman"/>
          <w:sz w:val="18"/>
          <w:szCs w:val="18"/>
          <w:color w:val="auto"/>
        </w:rPr>
      </w:pPr>
    </w:p>
    <w:p>
      <w:pPr>
        <w:jc w:val="both"/>
        <w:ind w:firstLine="743"/>
        <w:spacing w:after="0" w:line="252" w:lineRule="auto"/>
        <w:tabs>
          <w:tab w:leader="none" w:pos="101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signs, directories, posters, advertisements, or notices visible to the public shall be painted or affixed on or to any of the windows or doors, or in corridors or other parts of the Building, except in such color, size, and style, and in such places, as shall be first approved in writing by Landlord. Landlord shall have the right to remove, at the expense of Tenant, all unapproved signs, directories, posters, advertisements or notices following reasonable prior notice to Tenant.</w:t>
      </w:r>
    </w:p>
    <w:p>
      <w:pPr>
        <w:spacing w:after="0" w:line="143" w:lineRule="exact"/>
        <w:rPr>
          <w:rFonts w:ascii="Times New Roman" w:cs="Times New Roman" w:eastAsia="Times New Roman" w:hAnsi="Times New Roman"/>
          <w:sz w:val="18"/>
          <w:szCs w:val="18"/>
          <w:color w:val="auto"/>
        </w:rPr>
      </w:pPr>
    </w:p>
    <w:p>
      <w:pPr>
        <w:jc w:val="both"/>
        <w:ind w:firstLine="743"/>
        <w:spacing w:after="0" w:line="252" w:lineRule="auto"/>
        <w:tabs>
          <w:tab w:leader="none" w:pos="98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not do, or permit anything to be done, in or about the Building or Complex, or bring or keep anything therein, that will in any way increase the rate of fire or other insurance on the Building, or on property kept therein, or otherwise increase the possibility of fire or other casualty. No cooking (other than cooking through the use of a microwave oven), including grills or barbecues, shall be permitted within the Premises or on any patio adjoining the Premises.</w:t>
      </w:r>
    </w:p>
    <w:p>
      <w:pPr>
        <w:spacing w:after="0" w:line="143" w:lineRule="exact"/>
        <w:rPr>
          <w:rFonts w:ascii="Times New Roman" w:cs="Times New Roman" w:eastAsia="Times New Roman" w:hAnsi="Times New Roman"/>
          <w:sz w:val="18"/>
          <w:szCs w:val="18"/>
          <w:color w:val="auto"/>
        </w:rPr>
      </w:pPr>
    </w:p>
    <w:p>
      <w:pPr>
        <w:jc w:val="both"/>
        <w:ind w:firstLine="743"/>
        <w:spacing w:after="0" w:line="250" w:lineRule="auto"/>
        <w:tabs>
          <w:tab w:leader="none" w:pos="98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shall have the power to prescribe the weight and position of heavy equipment or objects which may overstress any portion of the floor of the Premises. All damage done to the Building by the improper placing of such heavy items shall be repaired at the sole expense of Tenant. Tenant shall notify the Building manager when safes or other heavy equipment are to be taken in or out of the Building and the moving of such equipment shall be done only after written permission is obtained from Landlord and shall be performed under such conditions as Landlord may reasonably require.</w:t>
      </w:r>
    </w:p>
    <w:p>
      <w:pPr>
        <w:spacing w:after="0" w:line="357" w:lineRule="exact"/>
        <w:rPr>
          <w:rFonts w:ascii="Times New Roman" w:cs="Times New Roman" w:eastAsia="Times New Roman" w:hAnsi="Times New Roman"/>
          <w:sz w:val="18"/>
          <w:szCs w:val="18"/>
          <w:color w:val="auto"/>
        </w:rPr>
      </w:pPr>
    </w:p>
    <w:p>
      <w:pPr>
        <w:ind w:left="980" w:hanging="237"/>
        <w:spacing w:after="0"/>
        <w:tabs>
          <w:tab w:leader="none" w:pos="9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Corridor doors, when not in use, shall be kept closed.</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C, Rules and Regulations</w:t>
      </w:r>
      <w:r>
        <w:rPr>
          <w:rFonts w:ascii="Times New Roman" w:cs="Times New Roman" w:eastAsia="Times New Roman" w:hAnsi="Times New Roman"/>
          <w:sz w:val="18"/>
          <w:szCs w:val="18"/>
          <w:color w:val="auto"/>
        </w:rPr>
        <w:t xml:space="preserve"> –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630555</wp:posOffset>
            </wp:positionV>
            <wp:extent cx="7178040" cy="4000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28">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48" w:right="319" w:bottom="1440" w:gutter="0" w:footer="0" w:header="0"/>
        </w:sectPr>
      </w:pPr>
    </w:p>
    <w:bookmarkStart w:id="200" w:name="page201"/>
    <w:bookmarkEnd w:id="200"/>
    <w:p>
      <w:pPr>
        <w:jc w:val="both"/>
        <w:ind w:firstLine="743"/>
        <w:spacing w:after="0" w:line="252" w:lineRule="auto"/>
        <w:tabs>
          <w:tab w:leader="none" w:pos="1011"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movement of furniture and equipment into and out of the Building shall be scheduled through the Building manager and conducted outside of Normal Business Hours. All deliveries must be made via the service entrance and service elevator, when provided, during Normal Business Hours. Any delivery after Normal Business Hours must be coordinated with the Building manager. When conditions are such that Tenant must dispose of crates, boxes, and other such items, Tenant shall dispose of such items prior to or after Normal Business Hours.</w:t>
      </w:r>
    </w:p>
    <w:p>
      <w:pPr>
        <w:spacing w:after="0" w:line="143" w:lineRule="exact"/>
        <w:rPr>
          <w:rFonts w:ascii="Times New Roman" w:cs="Times New Roman" w:eastAsia="Times New Roman" w:hAnsi="Times New Roman"/>
          <w:sz w:val="18"/>
          <w:szCs w:val="18"/>
          <w:color w:val="auto"/>
        </w:rPr>
      </w:pPr>
    </w:p>
    <w:p>
      <w:pPr>
        <w:ind w:left="980" w:hanging="237"/>
        <w:spacing w:after="0"/>
        <w:tabs>
          <w:tab w:leader="none" w:pos="9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cooperate with Landlord's employees in keeping the Premises neat and clean.</w:t>
      </w:r>
    </w:p>
    <w:p>
      <w:pPr>
        <w:spacing w:after="0" w:line="184" w:lineRule="exact"/>
        <w:rPr>
          <w:rFonts w:ascii="Times New Roman" w:cs="Times New Roman" w:eastAsia="Times New Roman" w:hAnsi="Times New Roman"/>
          <w:sz w:val="18"/>
          <w:szCs w:val="18"/>
          <w:color w:val="auto"/>
        </w:rPr>
      </w:pPr>
    </w:p>
    <w:p>
      <w:pPr>
        <w:ind w:right="20" w:firstLine="743"/>
        <w:spacing w:after="0" w:line="278" w:lineRule="auto"/>
        <w:tabs>
          <w:tab w:leader="none" w:pos="1103"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not cause or permit any improper noises in the Building, or allow any unpleasant odors to emanate from the Premises, or otherwise interfere, injure or annoy in any way other tenants, or persons having business with such tenants.</w:t>
      </w:r>
    </w:p>
    <w:p>
      <w:pPr>
        <w:spacing w:after="0" w:line="118" w:lineRule="exact"/>
        <w:rPr>
          <w:rFonts w:ascii="Times New Roman" w:cs="Times New Roman" w:eastAsia="Times New Roman" w:hAnsi="Times New Roman"/>
          <w:sz w:val="18"/>
          <w:szCs w:val="18"/>
          <w:color w:val="auto"/>
        </w:rPr>
      </w:pPr>
    </w:p>
    <w:p>
      <w:pPr>
        <w:ind w:left="1060" w:hanging="317"/>
        <w:spacing w:after="0"/>
        <w:tabs>
          <w:tab w:leader="none" w:pos="10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animals or birds shall be brought into or kept in or about the Building, except those assisting the disabled.</w:t>
      </w:r>
    </w:p>
    <w:p>
      <w:pPr>
        <w:spacing w:after="0" w:line="184" w:lineRule="exact"/>
        <w:rPr>
          <w:rFonts w:ascii="Times New Roman" w:cs="Times New Roman" w:eastAsia="Times New Roman" w:hAnsi="Times New Roman"/>
          <w:sz w:val="18"/>
          <w:szCs w:val="18"/>
          <w:color w:val="auto"/>
        </w:rPr>
      </w:pPr>
    </w:p>
    <w:p>
      <w:pPr>
        <w:jc w:val="both"/>
        <w:ind w:firstLine="743"/>
        <w:spacing w:after="0" w:line="259" w:lineRule="auto"/>
        <w:tabs>
          <w:tab w:leader="none" w:pos="107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machinery of any kind, other than ordinary office machines such as copiers, fax machines, computers and related word processing and telecommunications equipment, shall be operated on the Premises without the prior written consent of Landlord, which consent shall not be unreasonably withheld or delayed.</w:t>
      </w:r>
    </w:p>
    <w:p>
      <w:pPr>
        <w:spacing w:after="0" w:line="135" w:lineRule="exact"/>
        <w:rPr>
          <w:rFonts w:ascii="Times New Roman" w:cs="Times New Roman" w:eastAsia="Times New Roman" w:hAnsi="Times New Roman"/>
          <w:sz w:val="18"/>
          <w:szCs w:val="18"/>
          <w:color w:val="auto"/>
        </w:rPr>
      </w:pPr>
    </w:p>
    <w:p>
      <w:pPr>
        <w:ind w:right="20" w:firstLine="743"/>
        <w:spacing w:after="0" w:line="278" w:lineRule="auto"/>
        <w:tabs>
          <w:tab w:leader="none" w:pos="1082"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not use or keep in the Building any flammable or explosive fluid or substance (including Christmas trees and ornaments), or any illuminating materials, without the prior written approval of the Building manager.</w:t>
      </w:r>
    </w:p>
    <w:p>
      <w:pPr>
        <w:spacing w:after="0" w:line="118" w:lineRule="exact"/>
        <w:rPr>
          <w:rFonts w:ascii="Times New Roman" w:cs="Times New Roman" w:eastAsia="Times New Roman" w:hAnsi="Times New Roman"/>
          <w:sz w:val="18"/>
          <w:szCs w:val="18"/>
          <w:color w:val="auto"/>
        </w:rPr>
      </w:pPr>
    </w:p>
    <w:p>
      <w:pPr>
        <w:ind w:left="1060" w:hanging="317"/>
        <w:spacing w:after="0"/>
        <w:tabs>
          <w:tab w:leader="none" w:pos="10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bicycles, motorcycles or similar vehicles will be allowed in the Building.</w:t>
      </w:r>
    </w:p>
    <w:p>
      <w:pPr>
        <w:spacing w:after="0" w:line="184" w:lineRule="exact"/>
        <w:rPr>
          <w:rFonts w:ascii="Times New Roman" w:cs="Times New Roman" w:eastAsia="Times New Roman" w:hAnsi="Times New Roman"/>
          <w:sz w:val="18"/>
          <w:szCs w:val="18"/>
          <w:color w:val="auto"/>
        </w:rPr>
      </w:pPr>
    </w:p>
    <w:p>
      <w:pPr>
        <w:ind w:right="20" w:firstLine="743"/>
        <w:spacing w:after="0" w:line="278" w:lineRule="auto"/>
        <w:tabs>
          <w:tab w:leader="none" w:pos="1073"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nails, hooks, or screws (other than those necessary for hanging artwork, diplomas, posterboards and other such items on interior walls) shall be driven into or inserted in any part of the Building (including doors), except as approved by Landlord.</w:t>
      </w:r>
    </w:p>
    <w:p>
      <w:pPr>
        <w:spacing w:after="0" w:line="118" w:lineRule="exact"/>
        <w:rPr>
          <w:rFonts w:ascii="Times New Roman" w:cs="Times New Roman" w:eastAsia="Times New Roman" w:hAnsi="Times New Roman"/>
          <w:sz w:val="18"/>
          <w:szCs w:val="18"/>
          <w:color w:val="auto"/>
        </w:rPr>
      </w:pPr>
    </w:p>
    <w:p>
      <w:pPr>
        <w:ind w:firstLine="743"/>
        <w:spacing w:after="0" w:line="278" w:lineRule="auto"/>
        <w:tabs>
          <w:tab w:leader="none" w:pos="11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has the right to evacuate the Building in the event of an emergency or catastrophe. Tenant shall cause its officers, agents and employees to participate in any fire safety or emergency evacuation drills scheduled by Landlord.</w:t>
      </w:r>
    </w:p>
    <w:p>
      <w:pPr>
        <w:spacing w:after="0" w:line="118" w:lineRule="exact"/>
        <w:rPr>
          <w:rFonts w:ascii="Times New Roman" w:cs="Times New Roman" w:eastAsia="Times New Roman" w:hAnsi="Times New Roman"/>
          <w:sz w:val="18"/>
          <w:szCs w:val="18"/>
          <w:color w:val="auto"/>
        </w:rPr>
      </w:pPr>
    </w:p>
    <w:p>
      <w:pPr>
        <w:jc w:val="both"/>
        <w:ind w:firstLine="743"/>
        <w:spacing w:after="0" w:line="259" w:lineRule="auto"/>
        <w:tabs>
          <w:tab w:leader="none" w:pos="109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food or beverages shall be prepared, cooked or distributed from the Premises without the prior written approval of Landlord, which approval shall not be unreasonably withheld or delayed; provided, however, Tenant shall be permitted to install refrigerators, microwave ovens, coffee machines and vending machines for the use of its own employees and guests.</w:t>
      </w:r>
    </w:p>
    <w:p>
      <w:pPr>
        <w:spacing w:after="0" w:line="135" w:lineRule="exact"/>
        <w:rPr>
          <w:rFonts w:ascii="Times New Roman" w:cs="Times New Roman" w:eastAsia="Times New Roman" w:hAnsi="Times New Roman"/>
          <w:sz w:val="18"/>
          <w:szCs w:val="18"/>
          <w:color w:val="auto"/>
        </w:rPr>
      </w:pPr>
    </w:p>
    <w:p>
      <w:pPr>
        <w:jc w:val="both"/>
        <w:ind w:firstLine="743"/>
        <w:spacing w:after="0" w:line="252" w:lineRule="auto"/>
        <w:tabs>
          <w:tab w:leader="none" w:pos="1091"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additional or replacement locks shall be placed upon any doors without the prior written approval of Landlord, which approval shall not be unreasonably withheld or delayed. All necessary access cards and key fobs shall be furnished by Landlord. Upon termination of the Lease, Tenant shall return all such access cards key fobs to Landlord and shall provide the Landlord the combination of all locks on doors or vaults. No duplicates of access cards or key fobs shall be made by Tenant.</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C, Rules and Regulations</w:t>
      </w:r>
      <w:r>
        <w:rPr>
          <w:rFonts w:ascii="Times New Roman" w:cs="Times New Roman" w:eastAsia="Times New Roman" w:hAnsi="Times New Roman"/>
          <w:sz w:val="18"/>
          <w:szCs w:val="18"/>
          <w:color w:val="auto"/>
        </w:rPr>
        <w:t xml:space="preserve"> –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630555</wp:posOffset>
            </wp:positionV>
            <wp:extent cx="7178040" cy="4000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29">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336" w:right="319" w:bottom="1440" w:gutter="0" w:footer="0" w:header="0"/>
        </w:sectPr>
      </w:pPr>
    </w:p>
    <w:bookmarkStart w:id="201" w:name="page202"/>
    <w:bookmarkEnd w:id="201"/>
    <w:p>
      <w:pPr>
        <w:jc w:val="both"/>
        <w:ind w:firstLine="743"/>
        <w:spacing w:after="0" w:line="252" w:lineRule="auto"/>
        <w:tabs>
          <w:tab w:leader="none" w:pos="109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will not locate furnishings or cabinets adjacent to mechanical or electrical access panels or over air conditioning outlets so as to prevent Landlord's personnel or contractors from servicing such units as routine or emergency service may require. Tenant shall pay the cost of moving such furnishings for Landlord's access. Tenant shall instruct all of its employees to refrain from any attempts to adjust thermostats. The lighting and air conditioning equipment of the Building shall be exclusively controlled by Landlord's personnel.</w:t>
      </w:r>
    </w:p>
    <w:p>
      <w:pPr>
        <w:spacing w:after="0" w:line="143" w:lineRule="exact"/>
        <w:rPr>
          <w:rFonts w:ascii="Times New Roman" w:cs="Times New Roman" w:eastAsia="Times New Roman" w:hAnsi="Times New Roman"/>
          <w:sz w:val="18"/>
          <w:szCs w:val="18"/>
          <w:color w:val="auto"/>
        </w:rPr>
      </w:pPr>
    </w:p>
    <w:p>
      <w:pPr>
        <w:ind w:left="1060" w:hanging="317"/>
        <w:spacing w:after="0"/>
        <w:tabs>
          <w:tab w:leader="none" w:pos="10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portion of the Building shall be used for the purpose of lodging rooms.</w:t>
      </w:r>
    </w:p>
    <w:p>
      <w:pPr>
        <w:spacing w:after="0" w:line="184" w:lineRule="exact"/>
        <w:rPr>
          <w:rFonts w:ascii="Times New Roman" w:cs="Times New Roman" w:eastAsia="Times New Roman" w:hAnsi="Times New Roman"/>
          <w:sz w:val="18"/>
          <w:szCs w:val="18"/>
          <w:color w:val="auto"/>
        </w:rPr>
      </w:pPr>
    </w:p>
    <w:p>
      <w:pPr>
        <w:jc w:val="both"/>
        <w:ind w:firstLine="743"/>
        <w:spacing w:after="0" w:line="252" w:lineRule="auto"/>
        <w:tabs>
          <w:tab w:leader="none" w:pos="1073"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obtain Landlord's prior written approval, which approval shall not be unreasonably withheld or delayed, for the installation of window shades, blinds, drapes or any other window treatment or object that may be visible from the exterior of the Building or affect the heating and cooling of the Building. Landlord will control all internal lighting that may be visible from the exterior of the Building and shall have the right to change, at Tenant's expense, any unapproved lighting following reasonable prior notice to Tenant.</w:t>
      </w:r>
    </w:p>
    <w:p>
      <w:pPr>
        <w:spacing w:after="0" w:line="143" w:lineRule="exact"/>
        <w:rPr>
          <w:rFonts w:ascii="Times New Roman" w:cs="Times New Roman" w:eastAsia="Times New Roman" w:hAnsi="Times New Roman"/>
          <w:sz w:val="18"/>
          <w:szCs w:val="18"/>
          <w:color w:val="auto"/>
        </w:rPr>
      </w:pPr>
    </w:p>
    <w:p>
      <w:pPr>
        <w:ind w:right="20" w:firstLine="743"/>
        <w:spacing w:after="0" w:line="278" w:lineRule="auto"/>
        <w:tabs>
          <w:tab w:leader="none" w:pos="110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supplemental heating, air ventilation or air conditioning equipment, including space heaters and fans, shall be installed or used by Tenant without the prior written consent of Landlord.</w:t>
      </w:r>
    </w:p>
    <w:p>
      <w:pPr>
        <w:spacing w:after="0" w:line="118" w:lineRule="exact"/>
        <w:rPr>
          <w:rFonts w:ascii="Times New Roman" w:cs="Times New Roman" w:eastAsia="Times New Roman" w:hAnsi="Times New Roman"/>
          <w:sz w:val="18"/>
          <w:szCs w:val="18"/>
          <w:color w:val="auto"/>
        </w:rPr>
      </w:pPr>
    </w:p>
    <w:p>
      <w:pPr>
        <w:ind w:firstLine="743"/>
        <w:spacing w:after="0" w:line="278" w:lineRule="auto"/>
        <w:tabs>
          <w:tab w:leader="none" w:pos="109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smoking shall be permitted within the Premises or anywhere else within the Complex, other than those smoking areas designated by the Building manager.</w:t>
      </w:r>
    </w:p>
    <w:p>
      <w:pPr>
        <w:spacing w:after="0" w:line="118" w:lineRule="exact"/>
        <w:rPr>
          <w:rFonts w:ascii="Times New Roman" w:cs="Times New Roman" w:eastAsia="Times New Roman" w:hAnsi="Times New Roman"/>
          <w:sz w:val="18"/>
          <w:szCs w:val="18"/>
          <w:color w:val="auto"/>
        </w:rPr>
      </w:pPr>
    </w:p>
    <w:p>
      <w:pPr>
        <w:ind w:left="1060" w:hanging="317"/>
        <w:spacing w:after="0"/>
        <w:tabs>
          <w:tab w:leader="none" w:pos="10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unattended children shall be allowed within the Complex.</w:t>
      </w:r>
    </w:p>
    <w:p>
      <w:pPr>
        <w:spacing w:after="0" w:line="184" w:lineRule="exact"/>
        <w:rPr>
          <w:rFonts w:ascii="Times New Roman" w:cs="Times New Roman" w:eastAsia="Times New Roman" w:hAnsi="Times New Roman"/>
          <w:sz w:val="18"/>
          <w:szCs w:val="18"/>
          <w:color w:val="auto"/>
        </w:rPr>
      </w:pPr>
    </w:p>
    <w:p>
      <w:pPr>
        <w:ind w:firstLine="743"/>
        <w:spacing w:after="0" w:line="278" w:lineRule="auto"/>
        <w:tabs>
          <w:tab w:leader="none" w:pos="1073"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during Normal Business Hours, Building access shall be limited, with the result that access will require entry cards or keys and compliance with Landlord's registration procedures.</w:t>
      </w:r>
    </w:p>
    <w:p>
      <w:pPr>
        <w:spacing w:after="0" w:line="118" w:lineRule="exact"/>
        <w:rPr>
          <w:rFonts w:ascii="Times New Roman" w:cs="Times New Roman" w:eastAsia="Times New Roman" w:hAnsi="Times New Roman"/>
          <w:sz w:val="18"/>
          <w:szCs w:val="18"/>
          <w:color w:val="auto"/>
        </w:rPr>
      </w:pPr>
    </w:p>
    <w:p>
      <w:pPr>
        <w:jc w:val="both"/>
        <w:ind w:firstLine="743"/>
        <w:spacing w:after="0" w:line="252" w:lineRule="auto"/>
        <w:tabs>
          <w:tab w:leader="none" w:pos="107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reserves the right to rescind any of these Rules and Regulations and make such other and further Rules and Regulations as in its judgment shall from time to time be necessary or advisable for the operation of the Building or the Complex, providing that such Rules and Regulations are in writing and uniformly enforced against all other tenants of the Building and do not materially increase Tenant's obligations under this Lease. Such Rules and Regulations shall be binding upon Tenant upon delivery to Tenant of notice thereof in writing.</w:t>
      </w:r>
    </w:p>
    <w:p>
      <w:pPr>
        <w:spacing w:after="0" w:line="143" w:lineRule="exact"/>
        <w:rPr>
          <w:rFonts w:ascii="Times New Roman" w:cs="Times New Roman" w:eastAsia="Times New Roman" w:hAnsi="Times New Roman"/>
          <w:sz w:val="18"/>
          <w:szCs w:val="18"/>
          <w:color w:val="auto"/>
        </w:rPr>
      </w:pPr>
    </w:p>
    <w:p>
      <w:pPr>
        <w:ind w:left="1060" w:hanging="317"/>
        <w:spacing w:after="0"/>
        <w:tabs>
          <w:tab w:leader="none" w:pos="10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inconsistency between these Rules and Regulations and the terms of the Lease, the terms of the Lease shall control.</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C, Rules and Regulations</w:t>
      </w:r>
      <w:r>
        <w:rPr>
          <w:rFonts w:ascii="Times New Roman" w:cs="Times New Roman" w:eastAsia="Times New Roman" w:hAnsi="Times New Roman"/>
          <w:sz w:val="18"/>
          <w:szCs w:val="18"/>
          <w:color w:val="auto"/>
        </w:rPr>
        <w:t xml:space="preserve"> –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630555</wp:posOffset>
            </wp:positionV>
            <wp:extent cx="7178040" cy="4000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30">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336" w:right="319" w:bottom="1440" w:gutter="0" w:footer="0" w:header="0"/>
        </w:sectPr>
      </w:pPr>
    </w:p>
    <w:bookmarkStart w:id="202" w:name="page203"/>
    <w:bookmarkEnd w:id="202"/>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D</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TENANT IMPROVEMENTS AGREEMENT</w:t>
      </w:r>
    </w:p>
    <w:p>
      <w:pPr>
        <w:spacing w:after="0" w:line="188" w:lineRule="exact"/>
        <w:rPr>
          <w:sz w:val="20"/>
          <w:szCs w:val="20"/>
          <w:color w:val="auto"/>
        </w:rPr>
      </w:pPr>
    </w:p>
    <w:p>
      <w:pPr>
        <w:jc w:val="both"/>
        <w:ind w:left="140" w:right="120" w:firstLine="751"/>
        <w:spacing w:after="0" w:line="259" w:lineRule="auto"/>
        <w:rPr>
          <w:sz w:val="20"/>
          <w:szCs w:val="20"/>
          <w:color w:val="auto"/>
        </w:rPr>
      </w:pPr>
      <w:r>
        <w:rPr>
          <w:rFonts w:ascii="Times New Roman" w:cs="Times New Roman" w:eastAsia="Times New Roman" w:hAnsi="Times New Roman"/>
          <w:sz w:val="18"/>
          <w:szCs w:val="18"/>
          <w:color w:val="auto"/>
        </w:rPr>
        <w:t xml:space="preserve">This Tenant Improvements Agreement (herein so called) describes and specifies the rights and obligations of Landlord and Tenant under the Lease to which this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is attached, with respect to the design, construction and payment for the completion of the Tenant Improvements within the Premises. Performance of the Work shall occur after the Effective Date.</w:t>
      </w:r>
    </w:p>
    <w:p>
      <w:pPr>
        <w:spacing w:after="0" w:line="135" w:lineRule="exact"/>
        <w:rPr>
          <w:sz w:val="20"/>
          <w:szCs w:val="20"/>
          <w:color w:val="auto"/>
        </w:rPr>
      </w:pPr>
    </w:p>
    <w:p>
      <w:pPr>
        <w:jc w:val="both"/>
        <w:ind w:firstLine="743"/>
        <w:spacing w:after="0" w:line="259" w:lineRule="auto"/>
        <w:tabs>
          <w:tab w:leader="none" w:pos="101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Any capitalized terms not defined in this Tenant Improvements Agreement shall have the meaning set forth in the Lease. Additionally, as used in this Tenant Improvements Agreement, the following terms (when delineated with initial capital letters) shall have the respective meaning indicated for each as follows:</w:t>
      </w:r>
    </w:p>
    <w:p>
      <w:pPr>
        <w:spacing w:after="0" w:line="135" w:lineRule="exact"/>
        <w:rPr>
          <w:sz w:val="20"/>
          <w:szCs w:val="20"/>
          <w:color w:val="auto"/>
        </w:rPr>
      </w:pPr>
    </w:p>
    <w:p>
      <w:pPr>
        <w:jc w:val="both"/>
        <w:ind w:left="740" w:firstLine="75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 of Occupancy</w:t>
      </w:r>
      <w:r>
        <w:rPr>
          <w:rFonts w:ascii="Times New Roman" w:cs="Times New Roman" w:eastAsia="Times New Roman" w:hAnsi="Times New Roman"/>
          <w:sz w:val="18"/>
          <w:szCs w:val="18"/>
          <w:color w:val="auto"/>
        </w:rPr>
        <w:t>" means a certificate of occupancy, governmental sign- off or other document, permit or approval (whether conditional, unconditional, temporary or permanent) which must be obtained by Tenant from the appropriate governmental authority as a condition to the lawful initial occupancy by Tenant of the Premises.</w:t>
      </w:r>
    </w:p>
    <w:p>
      <w:pPr>
        <w:spacing w:after="0" w:line="13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Contractor</w:t>
      </w:r>
      <w:r>
        <w:rPr>
          <w:rFonts w:ascii="Times New Roman" w:cs="Times New Roman" w:eastAsia="Times New Roman" w:hAnsi="Times New Roman"/>
          <w:sz w:val="18"/>
          <w:szCs w:val="18"/>
          <w:color w:val="auto"/>
        </w:rPr>
        <w:t>" means the general contractor selected to perform the Work.</w:t>
      </w:r>
    </w:p>
    <w:p>
      <w:pPr>
        <w:spacing w:after="0" w:line="18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Improvement Allowance</w:t>
      </w:r>
      <w:r>
        <w:rPr>
          <w:rFonts w:ascii="Times New Roman" w:cs="Times New Roman" w:eastAsia="Times New Roman" w:hAnsi="Times New Roman"/>
          <w:sz w:val="18"/>
          <w:szCs w:val="18"/>
          <w:color w:val="auto"/>
        </w:rPr>
        <w:t>" means $1,762,041.00.</w:t>
      </w:r>
    </w:p>
    <w:p>
      <w:pPr>
        <w:spacing w:after="0" w:line="18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Plans and Specifications</w:t>
      </w:r>
      <w:r>
        <w:rPr>
          <w:rFonts w:ascii="Times New Roman" w:cs="Times New Roman" w:eastAsia="Times New Roman" w:hAnsi="Times New Roman"/>
          <w:sz w:val="18"/>
          <w:szCs w:val="18"/>
          <w:color w:val="auto"/>
        </w:rPr>
        <w:t>" means the detailed construction documents for the Tenant Improvements referred to in paragraph 5</w:t>
      </w:r>
    </w:p>
    <w:p>
      <w:pPr>
        <w:spacing w:after="0" w:line="2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below.</w:t>
      </w:r>
    </w:p>
    <w:p>
      <w:pPr>
        <w:spacing w:after="0" w:line="16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Preliminary Planning Allowance</w:t>
      </w:r>
      <w:r>
        <w:rPr>
          <w:rFonts w:ascii="Times New Roman" w:cs="Times New Roman" w:eastAsia="Times New Roman" w:hAnsi="Times New Roman"/>
          <w:sz w:val="18"/>
          <w:szCs w:val="18"/>
          <w:color w:val="auto"/>
        </w:rPr>
        <w:t>" means $0.12 per rentable square foot of the Premises for test fit and preliminary pricing plans.</w:t>
      </w:r>
    </w:p>
    <w:p>
      <w:pPr>
        <w:spacing w:after="0" w:line="184" w:lineRule="exact"/>
        <w:rPr>
          <w:sz w:val="20"/>
          <w:szCs w:val="20"/>
          <w:color w:val="auto"/>
        </w:rPr>
      </w:pPr>
    </w:p>
    <w:p>
      <w:pPr>
        <w:jc w:val="both"/>
        <w:ind w:left="740" w:firstLine="75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Soft Costs</w:t>
      </w:r>
      <w:r>
        <w:rPr>
          <w:rFonts w:ascii="Times New Roman" w:cs="Times New Roman" w:eastAsia="Times New Roman" w:hAnsi="Times New Roman"/>
          <w:sz w:val="18"/>
          <w:szCs w:val="18"/>
          <w:color w:val="auto"/>
        </w:rPr>
        <w:t>" means, collectively, (a) fees and expenses incurred for architectural design, space planning and engineering plans and fees, (b) fees and costs related to preparation of the construction documentation, Space Plan, the Plans and Specifications and other design plans, if any, (c) MEP's, (d) wiring and cabling costs, and (e) Landlord's construction management fee.</w:t>
      </w:r>
    </w:p>
    <w:p>
      <w:pPr>
        <w:spacing w:after="0" w:line="135" w:lineRule="exact"/>
        <w:rPr>
          <w:sz w:val="20"/>
          <w:szCs w:val="20"/>
          <w:color w:val="auto"/>
        </w:rPr>
      </w:pPr>
    </w:p>
    <w:p>
      <w:pPr>
        <w:jc w:val="both"/>
        <w:ind w:left="740" w:firstLine="751"/>
        <w:spacing w:after="0" w:line="27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Space Plan</w:t>
      </w:r>
      <w:r>
        <w:rPr>
          <w:rFonts w:ascii="Times New Roman" w:cs="Times New Roman" w:eastAsia="Times New Roman" w:hAnsi="Times New Roman"/>
          <w:sz w:val="18"/>
          <w:szCs w:val="18"/>
          <w:color w:val="auto"/>
        </w:rPr>
        <w:t>" means the space plan to be prepared by Tenant in accordance with paragraph 4 below and approved by Landlord and Tenant, and showing the general configuration of the Tenant Improvements.</w:t>
      </w:r>
    </w:p>
    <w:p>
      <w:pPr>
        <w:spacing w:after="0" w:line="119" w:lineRule="exact"/>
        <w:rPr>
          <w:sz w:val="20"/>
          <w:szCs w:val="20"/>
          <w:color w:val="auto"/>
        </w:rPr>
      </w:pPr>
    </w:p>
    <w:p>
      <w:pPr>
        <w:jc w:val="both"/>
        <w:ind w:left="740" w:firstLine="751"/>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Substantial Completion</w:t>
      </w:r>
      <w:r>
        <w:rPr>
          <w:rFonts w:ascii="Times New Roman" w:cs="Times New Roman" w:eastAsia="Times New Roman" w:hAnsi="Times New Roman"/>
          <w:sz w:val="18"/>
          <w:szCs w:val="18"/>
          <w:color w:val="auto"/>
        </w:rPr>
        <w:t>" means either (a) the date a Certificate of Occupancy (or all approvals required for the issuance thereof) is obtained for the Premises, or (b) if a Certificate of Occupancy is not required as a condition to Tenant's lawful occupancy of the Premises, the date that the Tenant Improvements are substantially completed (subject to punch list items), as confirmed in writing by Landlord's architect.</w:t>
      </w:r>
    </w:p>
    <w:p>
      <w:pPr>
        <w:spacing w:after="0" w:line="135" w:lineRule="exact"/>
        <w:rPr>
          <w:sz w:val="20"/>
          <w:szCs w:val="20"/>
          <w:color w:val="auto"/>
        </w:rPr>
      </w:pPr>
    </w:p>
    <w:p>
      <w:pPr>
        <w:jc w:val="both"/>
        <w:ind w:left="740" w:firstLine="751"/>
        <w:spacing w:after="0" w:line="27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Tenant Improvements</w:t>
      </w:r>
      <w:r>
        <w:rPr>
          <w:rFonts w:ascii="Times New Roman" w:cs="Times New Roman" w:eastAsia="Times New Roman" w:hAnsi="Times New Roman"/>
          <w:sz w:val="18"/>
          <w:szCs w:val="18"/>
          <w:color w:val="auto"/>
        </w:rPr>
        <w:t>" means the initial improvements to the Premises that are more particularly described in the Plans and Specifications.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D, TenantImprovements Agreement</w:t>
      </w:r>
      <w:r>
        <w:rPr>
          <w:rFonts w:ascii="Times New Roman" w:cs="Times New Roman" w:eastAsia="Times New Roman" w:hAnsi="Times New Roman"/>
          <w:sz w:val="18"/>
          <w:szCs w:val="18"/>
          <w:color w:val="auto"/>
        </w:rPr>
        <w:t xml:space="preserve"> –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622935</wp:posOffset>
            </wp:positionV>
            <wp:extent cx="7178040" cy="4000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31">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17" w:right="319" w:bottom="1440" w:gutter="0" w:footer="0" w:header="0"/>
        </w:sectPr>
      </w:pPr>
    </w:p>
    <w:bookmarkStart w:id="203" w:name="page204"/>
    <w:bookmarkEnd w:id="203"/>
    <w:p>
      <w:pPr>
        <w:ind w:left="150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Tenant's Architect</w:t>
      </w:r>
      <w:r>
        <w:rPr>
          <w:rFonts w:ascii="Times New Roman" w:cs="Times New Roman" w:eastAsia="Times New Roman" w:hAnsi="Times New Roman"/>
          <w:sz w:val="18"/>
          <w:szCs w:val="18"/>
          <w:color w:val="auto"/>
        </w:rPr>
        <w:t>" means the licensed architect selected and engaged by Tenant and approved by Landlord.</w:t>
      </w:r>
    </w:p>
    <w:p>
      <w:pPr>
        <w:spacing w:after="0" w:line="184" w:lineRule="exact"/>
        <w:rPr>
          <w:sz w:val="20"/>
          <w:szCs w:val="20"/>
          <w:color w:val="auto"/>
        </w:rPr>
      </w:pPr>
    </w:p>
    <w:p>
      <w:pPr>
        <w:jc w:val="both"/>
        <w:ind w:left="748" w:firstLine="751"/>
        <w:spacing w:after="0" w:line="249" w:lineRule="auto"/>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Work</w:t>
      </w:r>
      <w:r>
        <w:rPr>
          <w:rFonts w:ascii="Times New Roman" w:cs="Times New Roman" w:eastAsia="Times New Roman" w:hAnsi="Times New Roman"/>
          <w:sz w:val="18"/>
          <w:szCs w:val="18"/>
          <w:color w:val="auto"/>
        </w:rPr>
        <w:t>" means all materials and labor to be added to the existing improvements in the Premises, if any, in order to complete the installation of the Tenant Improvements within the Premises in accordance with the Plans and Specifications, including, without limitation, all air balancing and other mechanical adjustments to Building equipment serving the Premises. Tenant acknowledges and agrees that only Building Standard materials may be utilized in the performance of the Work unless otherwise approved by Landlord in writing, such approval not to be unreasonably withheld.</w:t>
      </w:r>
    </w:p>
    <w:p>
      <w:pPr>
        <w:spacing w:after="0" w:line="146" w:lineRule="exact"/>
        <w:rPr>
          <w:sz w:val="20"/>
          <w:szCs w:val="20"/>
          <w:color w:val="auto"/>
        </w:rPr>
      </w:pPr>
    </w:p>
    <w:p>
      <w:pPr>
        <w:jc w:val="both"/>
        <w:ind w:left="8" w:firstLine="743"/>
        <w:spacing w:after="0" w:line="243" w:lineRule="auto"/>
        <w:tabs>
          <w:tab w:leader="none" w:pos="1012"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Space Plan</w:t>
      </w:r>
      <w:r>
        <w:rPr>
          <w:rFonts w:ascii="Times New Roman" w:cs="Times New Roman" w:eastAsia="Times New Roman" w:hAnsi="Times New Roman"/>
          <w:sz w:val="18"/>
          <w:szCs w:val="18"/>
          <w:color w:val="auto"/>
        </w:rPr>
        <w:t>. Tenant will engage Tenant's Architect to develop and design a space plan for the Tenant Improvement and will deliver such space plan to Landlord for Landlord's review. The space plan must (a) be compatible with the base building (both aesthetically and mechanically, as reasonably determined by Landlord); (b) be adequate, in Landlord's reasonable discretion, for the preparation of Plans and Specifications for the Tenant Improvements; (c) show, in reasonable detail, the design and appearance of the finishing materials to be used in connection with installing the Tenant Improvements; (d) contain such other detail or description as Landlord may reasonably deem necessary to adequately outline the scope of the Tenant Improvements; (e) conform to all applicable governing codes and ordinances; and (f) contain all information necessary for construction cost estimating. All space plan drawings must be not less than 1/8" scale. Without limiting those general requirements, the space plan must expressly specify and include (without limitation) all of the following: (1) wall types and heights and insulation, if needed; (2) door types and hardware groups; (3) door frame types;</w:t>
      </w:r>
    </w:p>
    <w:p>
      <w:pPr>
        <w:jc w:val="both"/>
        <w:ind w:left="8" w:hanging="8"/>
        <w:spacing w:after="0"/>
        <w:tabs>
          <w:tab w:leader="none" w:pos="307"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ceiling heights; (5) ceiling materials; (6) floor covering materials and locations; (7) all wall finishes; (8) any appliances, special systems or equipment to be furnished as a part of the construction; (9) any mechanical requirements beyond that provided in the base building; (10) any fire protection requirements beyond that provided in the base building; (11) any plumbing requirements; (12) all power and data locations; (13) any power required other than building standard power distribution; (14) any power requirements for modular furniture; (15) any emergency power requirement;</w:t>
      </w:r>
    </w:p>
    <w:p>
      <w:pPr>
        <w:jc w:val="both"/>
        <w:ind w:left="8" w:hanging="8"/>
        <w:spacing w:after="0" w:line="243" w:lineRule="auto"/>
        <w:tabs>
          <w:tab w:leader="none" w:pos="361"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lighting requirements beyond that provided in the base building; (17) millwork elevations and details; (18) specific floor material selections and designations; and (19) specific wall material selections and designations. The Space Plan must also include enlarged sketch layouts for any non-standard rooms, including reflected ceiling plans, and must state the approximate usable and rentable square footage of the Premises. If Tenant fails to provide Landlord with a Space Plan meeting the foregoing requirements by the date set forth above in this Section there shall be no extension of the Commencement Date.</w:t>
      </w:r>
    </w:p>
    <w:p>
      <w:pPr>
        <w:spacing w:after="0" w:line="151" w:lineRule="exact"/>
        <w:rPr>
          <w:rFonts w:ascii="Times New Roman" w:cs="Times New Roman" w:eastAsia="Times New Roman" w:hAnsi="Times New Roman"/>
          <w:sz w:val="18"/>
          <w:szCs w:val="18"/>
          <w:color w:val="auto"/>
        </w:rPr>
      </w:pPr>
    </w:p>
    <w:p>
      <w:pPr>
        <w:jc w:val="both"/>
        <w:ind w:left="8" w:firstLine="743"/>
        <w:spacing w:after="0" w:line="247" w:lineRule="auto"/>
        <w:tabs>
          <w:tab w:leader="none" w:pos="1058"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Plans and Specifications</w:t>
      </w:r>
      <w:r>
        <w:rPr>
          <w:rFonts w:ascii="Times New Roman" w:cs="Times New Roman" w:eastAsia="Times New Roman" w:hAnsi="Times New Roman"/>
          <w:sz w:val="18"/>
          <w:szCs w:val="18"/>
          <w:color w:val="auto"/>
        </w:rPr>
        <w:t>. After Landlord receives and approves Tenant's Space Plan as provided above, Tenant will cause Tenant's Architect to prepare the Plans and Specifications for the Tenant Improvements. Landlord will approve or disapprove (specifically describing any reasons for disapproval) the Plans and Specifications in writing within five (5) Business Days after receiving them. If Landlord disapproves the Plans and Specifications, Tenant will provide appropriately revised Plans and Specifications to Landlord for approval (or disapproval) within five (5) Business Days on the same basis as set forth above. After Landlord's approval, Tenant will submit the Plans and Specifications for permits and construction bids. No deviation from the Building Standard will be permitted in the Space Plan or the Plans and Specifications. Landlord will not approve any deviations</w:t>
      </w:r>
    </w:p>
    <w:p>
      <w:pPr>
        <w:spacing w:after="0" w:line="14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u w:val="single" w:color="auto"/>
          <w:color w:val="auto"/>
        </w:rPr>
        <w:t>Exhibit D, TenantImprovements Agreement</w:t>
      </w:r>
      <w:r>
        <w:rPr>
          <w:rFonts w:ascii="Times New Roman" w:cs="Times New Roman" w:eastAsia="Times New Roman" w:hAnsi="Times New Roman"/>
          <w:sz w:val="18"/>
          <w:szCs w:val="18"/>
          <w:color w:val="auto"/>
        </w:rPr>
        <w:t xml:space="preserve"> –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630555</wp:posOffset>
            </wp:positionV>
            <wp:extent cx="7178040" cy="4000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32">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8"/>
          </w:cols>
          <w:pgMar w:left="312" w:top="1336" w:right="319" w:bottom="1440" w:gutter="0" w:footer="0" w:header="0"/>
        </w:sectPr>
      </w:pPr>
    </w:p>
    <w:bookmarkStart w:id="204" w:name="page205"/>
    <w:bookmarkEnd w:id="204"/>
    <w:p>
      <w:pPr>
        <w:jc w:val="both"/>
        <w:spacing w:after="0" w:line="252" w:lineRule="auto"/>
        <w:rPr>
          <w:sz w:val="20"/>
          <w:szCs w:val="20"/>
          <w:color w:val="auto"/>
        </w:rPr>
      </w:pPr>
      <w:r>
        <w:rPr>
          <w:rFonts w:ascii="Times New Roman" w:cs="Times New Roman" w:eastAsia="Times New Roman" w:hAnsi="Times New Roman"/>
          <w:sz w:val="18"/>
          <w:szCs w:val="18"/>
          <w:color w:val="auto"/>
        </w:rPr>
        <w:t>which Landlord believes (a) do not conform to applicable codes, ordinances and other Laws or are disapproved by any governmental agency, (b) require services beyond the level normally provided to other tenants in the Building, or (c) are of a nature or quality that are inconsistent with Landlord's overall plan or objectives for the Building. No approval by Landlord of any deviation constitutes an acknowledgment by Landlord that such deviations are in conformance with applicable codes, ordinances and other Laws.</w:t>
      </w:r>
    </w:p>
    <w:p>
      <w:pPr>
        <w:spacing w:after="0" w:line="143" w:lineRule="exact"/>
        <w:rPr>
          <w:sz w:val="20"/>
          <w:szCs w:val="20"/>
          <w:color w:val="auto"/>
        </w:rPr>
      </w:pPr>
    </w:p>
    <w:p>
      <w:pPr>
        <w:jc w:val="both"/>
        <w:ind w:firstLine="743"/>
        <w:spacing w:after="0" w:line="245" w:lineRule="auto"/>
        <w:tabs>
          <w:tab w:leader="none" w:pos="993"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Tenant Improvements</w:t>
      </w:r>
      <w:r>
        <w:rPr>
          <w:rFonts w:ascii="Times New Roman" w:cs="Times New Roman" w:eastAsia="Times New Roman" w:hAnsi="Times New Roman"/>
          <w:sz w:val="18"/>
          <w:szCs w:val="18"/>
          <w:color w:val="auto"/>
        </w:rPr>
        <w:t xml:space="preserve">. Tenant will cause to be constructed, at Tenant's sole cost and expense (subject to the Improvement Allowance and Preliminary Planning Allowance), the Tenant Improvements. The Tenant Improvements will be designed and constructed as described in this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Tenant will select the Contractor to be the general contractor to perform the Work from Landlord's approved list. Tenant may propose four (4) contractors to Landlord for Landlord's consideration; provided, however, (i) Landlord approves K2, Structure Tone, Pacific Builders and Scott + Reid as the Contractor, and (ii) Landlord shall have the right to approve all subcontractors that will be performing any portion of the Work, such approval not to be unreasonably withheld or delayed. Tenant will pay all direct and indirect costs of the design and construction of the Tenant Improvements. For all purposes of ownership, including risk of loss thereto, the Tenant Improvements will immediately upon installation be and remain a part of the Building and the property of Landlord.</w:t>
      </w:r>
    </w:p>
    <w:p>
      <w:pPr>
        <w:spacing w:after="0" w:line="150" w:lineRule="exact"/>
        <w:rPr>
          <w:rFonts w:ascii="Times New Roman" w:cs="Times New Roman" w:eastAsia="Times New Roman" w:hAnsi="Times New Roman"/>
          <w:sz w:val="18"/>
          <w:szCs w:val="18"/>
          <w:color w:val="auto"/>
        </w:rPr>
      </w:pPr>
    </w:p>
    <w:p>
      <w:pPr>
        <w:jc w:val="both"/>
        <w:ind w:firstLine="743"/>
        <w:spacing w:after="0" w:line="242" w:lineRule="auto"/>
        <w:tabs>
          <w:tab w:leader="none" w:pos="983"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Funding of the Improvement Allowance</w:t>
      </w:r>
      <w:r>
        <w:rPr>
          <w:rFonts w:ascii="Times New Roman" w:cs="Times New Roman" w:eastAsia="Times New Roman" w:hAnsi="Times New Roman"/>
          <w:sz w:val="18"/>
          <w:szCs w:val="18"/>
          <w:color w:val="auto"/>
        </w:rPr>
        <w:t xml:space="preserve">. The Improvement Allowance and Preliminary Planning Allowance shall be disbursed by Landlord to reimburse Tenant for all costs reasonably incurred by Tenant in connection with the construction and installation of the Tenant Improvements (including Soft Costs, contractor overhead, hard costs directly related to construction of the Tenant Improvements, the purchase and installation of fixtures, the installation of technology/audio visual and similar equipment and signage). Notwithstanding anything herein to the contrary, the portion of the Improvement Allowance that may be applied to pay Soft Costs shall not exceed twenty percent (20%) of the Improvement Allowance. Landlord will charge Tenant a construction management fee in an amount equal to one percent (1%) of the total hard costs and Soft Costs of the Work, which amount will be deducted from the Improvement Allowance and retained by Landlord when Landlord disburses the Improvement Allowance. The Improvement Allowance (less 10% retainage) and Preliminary Planning Allowance shall be disbursed by Landlord to Tenant from time to time, but not more often than monthly, within thirty (30) days of Landlord's receipt of a written request for disbursement from Tenant together with (i) copies of paid invoices for all Soft Costs and Work for which Tenant requests reimbursement and unconditional lien waivers in form of </w:t>
      </w:r>
      <w:r>
        <w:rPr>
          <w:rFonts w:ascii="Times New Roman" w:cs="Times New Roman" w:eastAsia="Times New Roman" w:hAnsi="Times New Roman"/>
          <w:sz w:val="18"/>
          <w:szCs w:val="18"/>
          <w:u w:val="single" w:color="auto"/>
          <w:color w:val="auto"/>
        </w:rPr>
        <w:t>Exhibit D-1</w:t>
      </w:r>
      <w:r>
        <w:rPr>
          <w:rFonts w:ascii="Times New Roman" w:cs="Times New Roman" w:eastAsia="Times New Roman" w:hAnsi="Times New Roman"/>
          <w:sz w:val="18"/>
          <w:szCs w:val="18"/>
          <w:color w:val="auto"/>
        </w:rPr>
        <w:t xml:space="preserve"> attached hereto or otherwise strictly conforming to the requirements of the Texas Property Code, and (ii) such other documentation as Landlord may reasonably request to evidence the proper, lien-free completion of the Work for which Tenant seeks reimbursement. The remaining 10% retainage shall be disbursed by Landlord upon Landlord's receipt of a final written request for disbursement from Tenant together with (i) an all bills paid affidavit from Tenant confirming that all costs and expenses incurred by or on behalf of Tenant in connection with the Work have been paid in full, (ii) copies of cancelled checks and paid invoices for all Soft Costs and Work for which Tenant requests reimbursement, (iii) final, unconditional lien waivers in form of </w:t>
      </w:r>
      <w:r>
        <w:rPr>
          <w:rFonts w:ascii="Times New Roman" w:cs="Times New Roman" w:eastAsia="Times New Roman" w:hAnsi="Times New Roman"/>
          <w:sz w:val="18"/>
          <w:szCs w:val="18"/>
          <w:u w:val="single" w:color="auto"/>
          <w:color w:val="auto"/>
        </w:rPr>
        <w:t>Exhibit D-1</w:t>
      </w:r>
      <w:r>
        <w:rPr>
          <w:rFonts w:ascii="Times New Roman" w:cs="Times New Roman" w:eastAsia="Times New Roman" w:hAnsi="Times New Roman"/>
          <w:sz w:val="18"/>
          <w:szCs w:val="18"/>
          <w:color w:val="auto"/>
        </w:rPr>
        <w:t xml:space="preserve"> attached hereto or otherwise strictly conforming to the requirements of the Texas Property Code, (iv) a final Certificate of Occupancy for the Premises (or portion thereof, as applicable, as set forth in the approved Plans and Specifications), and (v) such other documentation as Landlord may reasonably request to evidence the final, lien- free completion</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D, TenantImprovements Agreement</w:t>
      </w:r>
      <w:r>
        <w:rPr>
          <w:rFonts w:ascii="Times New Roman" w:cs="Times New Roman" w:eastAsia="Times New Roman" w:hAnsi="Times New Roman"/>
          <w:sz w:val="18"/>
          <w:szCs w:val="18"/>
          <w:color w:val="auto"/>
        </w:rPr>
        <w:t xml:space="preserve"> –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630555</wp:posOffset>
            </wp:positionV>
            <wp:extent cx="7178040" cy="4000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33">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337" w:right="319" w:bottom="1440" w:gutter="0" w:footer="0" w:header="0"/>
        </w:sectPr>
      </w:pPr>
    </w:p>
    <w:bookmarkStart w:id="205" w:name="page206"/>
    <w:bookmarkEnd w:id="205"/>
    <w:p>
      <w:pPr>
        <w:jc w:val="both"/>
        <w:ind w:left="8"/>
        <w:spacing w:after="0" w:line="244" w:lineRule="auto"/>
        <w:rPr>
          <w:sz w:val="20"/>
          <w:szCs w:val="20"/>
          <w:color w:val="auto"/>
        </w:rPr>
      </w:pPr>
      <w:r>
        <w:rPr>
          <w:rFonts w:ascii="Times New Roman" w:cs="Times New Roman" w:eastAsia="Times New Roman" w:hAnsi="Times New Roman"/>
          <w:sz w:val="18"/>
          <w:szCs w:val="18"/>
          <w:color w:val="auto"/>
        </w:rPr>
        <w:t>of the Work (including all punchlist items) for which Tenant seeks reimbursement. Tenant's failure to make any such payment for the Soft Costs or other costs of the Work when due shall constitute a default under the Lease, entitling Landlord, subject to any applicable notice and/or grace periods provided in the Lease, to exercise any or all of its remedies under the Lease. Nothing in the Lease or this Tenant Improvements Agreement is intended or will be construed to constitute an obligation by Landlord with respect to the performance of the Work or to grant any lien rights in the Property or the Complex to any mechanic or materialman furnishing labor and/or materials to or for the benefit of Tenant with respect to the Work. If Tenant does not supply all invoices for repayment prior to the end of the twelfth (12th) calendar month following the Commencement Date (the "</w:t>
      </w:r>
      <w:r>
        <w:rPr>
          <w:rFonts w:ascii="Times New Roman" w:cs="Times New Roman" w:eastAsia="Times New Roman" w:hAnsi="Times New Roman"/>
          <w:sz w:val="18"/>
          <w:szCs w:val="18"/>
          <w:u w:val="single" w:color="auto"/>
          <w:color w:val="auto"/>
        </w:rPr>
        <w:t>Reimbursement Deadline</w:t>
      </w:r>
      <w:r>
        <w:rPr>
          <w:rFonts w:ascii="Times New Roman" w:cs="Times New Roman" w:eastAsia="Times New Roman" w:hAnsi="Times New Roman"/>
          <w:sz w:val="18"/>
          <w:szCs w:val="18"/>
          <w:color w:val="auto"/>
        </w:rPr>
        <w:t>"), the portion of the Improvement Allowance and Preliminary Planning Allowance not documented by the Tenant on the expiration of the Reimbursement Deadline will not be reimbursed by the Landlord. Tenant shall be solely responsible for any and all costs of constructing the Work in excess of the Improvement Allowance and Preliminary Planning Allowance. Any amount of the Improvement Allowance not otherwise used by Tenant may be used for the payment of costs and expenses incurred by Tenant in connection with the installation of Tenant's Crown Signage.</w:t>
      </w:r>
    </w:p>
    <w:p>
      <w:pPr>
        <w:spacing w:after="0" w:line="151" w:lineRule="exact"/>
        <w:rPr>
          <w:sz w:val="20"/>
          <w:szCs w:val="20"/>
          <w:color w:val="auto"/>
        </w:rPr>
      </w:pPr>
    </w:p>
    <w:p>
      <w:pPr>
        <w:jc w:val="both"/>
        <w:ind w:left="8" w:firstLine="743"/>
        <w:spacing w:after="0" w:line="248" w:lineRule="auto"/>
        <w:tabs>
          <w:tab w:leader="none" w:pos="1047"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to Plans and Specifications</w:t>
      </w:r>
      <w:r>
        <w:rPr>
          <w:rFonts w:ascii="Times New Roman" w:cs="Times New Roman" w:eastAsia="Times New Roman" w:hAnsi="Times New Roman"/>
          <w:sz w:val="18"/>
          <w:szCs w:val="18"/>
          <w:color w:val="auto"/>
        </w:rPr>
        <w:t>. Tenant will immediately notify Landlord if Tenant desires to make any changes to the Tenant Improvements after Tenant has approved the Plans and Specifications. If Landlord approves the revisions, Tenant may carry out the changes contemplated therein. If Landlord reasonably estimates that the change order will cause the cost of the Tenant Improvements to exceed the Improvement Allowance and Preliminary Planning Allowance (or if the cost of the Tenant Improvements already exceeds the Improvement Allowance and Preliminary Planning Allowance), Landlord may require Tenant to deposit such estimated additional cost with Landlord before the change order work is performed.</w:t>
      </w:r>
    </w:p>
    <w:p>
      <w:pPr>
        <w:spacing w:after="0" w:line="357" w:lineRule="exact"/>
        <w:rPr>
          <w:rFonts w:ascii="Times New Roman" w:cs="Times New Roman" w:eastAsia="Times New Roman" w:hAnsi="Times New Roman"/>
          <w:sz w:val="18"/>
          <w:szCs w:val="18"/>
          <w:color w:val="auto"/>
        </w:rPr>
      </w:pPr>
    </w:p>
    <w:p>
      <w:pPr>
        <w:jc w:val="both"/>
        <w:ind w:left="8" w:firstLine="743"/>
        <w:spacing w:after="0" w:line="245" w:lineRule="auto"/>
        <w:tabs>
          <w:tab w:leader="none" w:pos="989"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Landlord's Approval Rights</w:t>
      </w:r>
      <w:r>
        <w:rPr>
          <w:rFonts w:ascii="Times New Roman" w:cs="Times New Roman" w:eastAsia="Times New Roman" w:hAnsi="Times New Roman"/>
          <w:sz w:val="18"/>
          <w:szCs w:val="18"/>
          <w:color w:val="auto"/>
        </w:rPr>
        <w:t>. Landlord may withhold its approval of any Space Plan, Plans and Specifications, change orders, or other work requested by Tenant which Landlord reasonably determines may require work which: (a) exceeds or adversely affects the structural integrity of the Building; (b) adversely affects, or exceeds Tenant's pro rata capacity of, any part of the heating, ventilating, air conditioning, plumbing, mechanical, electrical, communication or other systems of the Building; (c) will increase the cost of operation or maintenance of any of the systems of the Property;</w:t>
      </w:r>
    </w:p>
    <w:p>
      <w:pPr>
        <w:spacing w:after="0" w:line="3" w:lineRule="exact"/>
        <w:rPr>
          <w:rFonts w:ascii="Times New Roman" w:cs="Times New Roman" w:eastAsia="Times New Roman" w:hAnsi="Times New Roman"/>
          <w:sz w:val="18"/>
          <w:szCs w:val="18"/>
          <w:color w:val="auto"/>
        </w:rPr>
      </w:pPr>
    </w:p>
    <w:p>
      <w:pPr>
        <w:jc w:val="both"/>
        <w:ind w:left="8" w:hanging="8"/>
        <w:spacing w:after="0" w:line="247" w:lineRule="auto"/>
        <w:tabs>
          <w:tab w:leader="none" w:pos="28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conform to applicable building codes or is not approved by any governmental authority with jurisdiction over the Premises; (e) is not a building standard item or an item of equal or higher quality; (f) may detrimentally affect the uniform appearance of the Property; or (g) is reasonably disapproved by Landlord for any other reason.</w:t>
      </w:r>
    </w:p>
    <w:p>
      <w:pPr>
        <w:spacing w:after="0" w:line="146" w:lineRule="exact"/>
        <w:rPr>
          <w:rFonts w:ascii="Times New Roman" w:cs="Times New Roman" w:eastAsia="Times New Roman" w:hAnsi="Times New Roman"/>
          <w:sz w:val="18"/>
          <w:szCs w:val="18"/>
          <w:color w:val="auto"/>
        </w:rPr>
      </w:pPr>
    </w:p>
    <w:p>
      <w:pPr>
        <w:jc w:val="both"/>
        <w:ind w:left="8" w:right="20" w:firstLine="743"/>
        <w:spacing w:after="0" w:line="259" w:lineRule="auto"/>
        <w:tabs>
          <w:tab w:leader="none" w:pos="1024"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Tenant's Representative</w:t>
      </w:r>
      <w:r>
        <w:rPr>
          <w:rFonts w:ascii="Times New Roman" w:cs="Times New Roman" w:eastAsia="Times New Roman" w:hAnsi="Times New Roman"/>
          <w:sz w:val="18"/>
          <w:szCs w:val="18"/>
          <w:color w:val="auto"/>
        </w:rPr>
        <w:t>. Tenant designates Robert Mirabello, as the representative of Tenant having authority to approve the Plans and Specifications, request or approve any change order, give and receive all notices, consents, approvals and directions regarding the Tenant Improvements, and to otherwise act for and bind Tenant in all matters relating to the Tenant Improvements.</w:t>
      </w:r>
    </w:p>
    <w:p>
      <w:pPr>
        <w:spacing w:after="0" w:line="135" w:lineRule="exact"/>
        <w:rPr>
          <w:rFonts w:ascii="Times New Roman" w:cs="Times New Roman" w:eastAsia="Times New Roman" w:hAnsi="Times New Roman"/>
          <w:sz w:val="18"/>
          <w:szCs w:val="18"/>
          <w:color w:val="auto"/>
        </w:rPr>
      </w:pPr>
    </w:p>
    <w:p>
      <w:pPr>
        <w:jc w:val="both"/>
        <w:ind w:left="8" w:firstLine="743"/>
        <w:spacing w:after="0" w:line="252" w:lineRule="auto"/>
        <w:tabs>
          <w:tab w:leader="none" w:pos="989"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Liens and Claims</w:t>
      </w:r>
      <w:r>
        <w:rPr>
          <w:rFonts w:ascii="Times New Roman" w:cs="Times New Roman" w:eastAsia="Times New Roman" w:hAnsi="Times New Roman"/>
          <w:sz w:val="18"/>
          <w:szCs w:val="18"/>
          <w:color w:val="auto"/>
        </w:rPr>
        <w:t>. Tenant will keep the Property and the Complex free from any mechanics', materialmen's, designers' or other liens arising out of any work performed, materials furnished or obligations incurred by or for Tenant or any person or entity claiming by, through or under Tenant. If any such liens are filed and Tenant, within 30 days after such filing, does not release the same of record or provide Landlord with a bond or other surety satisfactory to Landlord protecting</w:t>
      </w:r>
    </w:p>
    <w:p>
      <w:pPr>
        <w:spacing w:after="0" w:line="14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u w:val="single" w:color="auto"/>
          <w:color w:val="auto"/>
        </w:rPr>
        <w:t>Exhibit D, TenantImprovements Agreement</w:t>
      </w:r>
      <w:r>
        <w:rPr>
          <w:rFonts w:ascii="Times New Roman" w:cs="Times New Roman" w:eastAsia="Times New Roman" w:hAnsi="Times New Roman"/>
          <w:sz w:val="18"/>
          <w:szCs w:val="18"/>
          <w:color w:val="auto"/>
        </w:rPr>
        <w:t xml:space="preserve"> – 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630555</wp:posOffset>
            </wp:positionV>
            <wp:extent cx="7178040" cy="4000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34">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8"/>
          </w:cols>
          <w:pgMar w:left="312" w:top="1336" w:right="319" w:bottom="1440" w:gutter="0" w:footer="0" w:header="0"/>
        </w:sectPr>
      </w:pPr>
    </w:p>
    <w:bookmarkStart w:id="206" w:name="page207"/>
    <w:bookmarkEnd w:id="206"/>
    <w:p>
      <w:pPr>
        <w:jc w:val="both"/>
        <w:spacing w:after="0" w:line="245" w:lineRule="auto"/>
        <w:rPr>
          <w:sz w:val="20"/>
          <w:szCs w:val="20"/>
          <w:color w:val="auto"/>
        </w:rPr>
      </w:pPr>
      <w:r>
        <w:rPr>
          <w:rFonts w:ascii="Times New Roman" w:cs="Times New Roman" w:eastAsia="Times New Roman" w:hAnsi="Times New Roman"/>
          <w:sz w:val="18"/>
          <w:szCs w:val="18"/>
          <w:color w:val="auto"/>
        </w:rPr>
        <w:t>Landlord and the Property and the Complex against such liens, Landlord may, without waiving its rights and remedies based upon such breach by Tenant and without releasing Tenant from any obligation under the Lease, cause such liens to be released by any means Landlord deems proper, including, but not limited to, paying the claim giving rise to the lien or posting security to cause the discharge of the lien. In such event, Tenant will reimburse Landlord, as Rent, for all amounts Landlord pays (including, without limitation, reasonable attorneys' fees and costs). To the fullest extent allowable under the Laws, Tenant releases and will indemnify, protect, defend (with counsel reasonably acceptable to Landlord) and hold harmless the Landlord Related Parties and the Property and the Complex from and against any Claims in any manner relating to or arising out of the Tenant Improvements, any of the Work or any other work performed, materials furnished or obligations incurred by or for Tenant or any person or entity claiming by, through or under Tenant.</w:t>
      </w:r>
    </w:p>
    <w:p>
      <w:pPr>
        <w:spacing w:after="0" w:line="362" w:lineRule="exact"/>
        <w:rPr>
          <w:sz w:val="20"/>
          <w:szCs w:val="20"/>
          <w:color w:val="auto"/>
        </w:rPr>
      </w:pPr>
    </w:p>
    <w:p>
      <w:pPr>
        <w:jc w:val="both"/>
        <w:ind w:firstLine="743"/>
        <w:spacing w:after="0" w:line="250" w:lineRule="auto"/>
        <w:tabs>
          <w:tab w:leader="none" w:pos="108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Security System</w:t>
      </w:r>
      <w:r>
        <w:rPr>
          <w:rFonts w:ascii="Times New Roman" w:cs="Times New Roman" w:eastAsia="Times New Roman" w:hAnsi="Times New Roman"/>
          <w:sz w:val="18"/>
          <w:szCs w:val="18"/>
          <w:color w:val="auto"/>
        </w:rPr>
        <w:t xml:space="preserve">. Tenant may install its own security system for the Premises, provided that such system is compatible with the existing Building systems and Tenant provides Landlord with such cards or codes as may be necessary to allow Landlord access to the Premises if and when permitted by this Lease. Tenant will perform all such work in the same manner and following the same procedures as are provided in this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Landlord is under no obligation to perform, inspect, or supervise any such work, and Landlord will have no liability or responsibility whatsoever therefor.</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D, TenantImprovements Agreement</w:t>
      </w:r>
      <w:r>
        <w:rPr>
          <w:rFonts w:ascii="Times New Roman" w:cs="Times New Roman" w:eastAsia="Times New Roman" w:hAnsi="Times New Roman"/>
          <w:sz w:val="18"/>
          <w:szCs w:val="18"/>
          <w:color w:val="auto"/>
        </w:rPr>
        <w:t xml:space="preserve"> – 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630555</wp:posOffset>
            </wp:positionV>
            <wp:extent cx="7178040" cy="4000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35">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336" w:right="319" w:bottom="1440" w:gutter="0" w:footer="0" w:header="0"/>
        </w:sectPr>
      </w:pPr>
    </w:p>
    <w:bookmarkStart w:id="207" w:name="page208"/>
    <w:bookmarkEnd w:id="207"/>
    <w:p>
      <w:pPr>
        <w:jc w:val="center"/>
        <w:ind w:right="-7"/>
        <w:spacing w:after="0"/>
        <w:rPr>
          <w:sz w:val="20"/>
          <w:szCs w:val="20"/>
          <w:color w:val="auto"/>
        </w:rPr>
      </w:pPr>
      <w:r>
        <w:rPr>
          <w:rFonts w:ascii="Times New Roman" w:cs="Times New Roman" w:eastAsia="Times New Roman" w:hAnsi="Times New Roman"/>
          <w:sz w:val="18"/>
          <w:szCs w:val="18"/>
          <w:b w:val="1"/>
          <w:bCs w:val="1"/>
          <w:color w:val="auto"/>
        </w:rPr>
        <w:t>EXHIBIT D-1</w:t>
      </w:r>
    </w:p>
    <w:p>
      <w:pPr>
        <w:spacing w:after="0" w:line="18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b w:val="1"/>
          <w:bCs w:val="1"/>
          <w:u w:val="single" w:color="auto"/>
          <w:color w:val="auto"/>
        </w:rPr>
        <w:t>TEXAS STATUTORY LIEN WAIVER FORMS</w:t>
      </w:r>
    </w:p>
    <w:p>
      <w:pPr>
        <w:spacing w:after="0" w:line="188" w:lineRule="exact"/>
        <w:rPr>
          <w:sz w:val="20"/>
          <w:szCs w:val="20"/>
          <w:color w:val="auto"/>
        </w:rPr>
      </w:pPr>
    </w:p>
    <w:p>
      <w:pPr>
        <w:ind w:left="8" w:right="20"/>
        <w:spacing w:after="0" w:line="278" w:lineRule="auto"/>
        <w:rPr>
          <w:sz w:val="20"/>
          <w:szCs w:val="20"/>
          <w:color w:val="auto"/>
        </w:rPr>
      </w:pPr>
      <w:r>
        <w:rPr>
          <w:rFonts w:ascii="Times New Roman" w:cs="Times New Roman" w:eastAsia="Times New Roman" w:hAnsi="Times New Roman"/>
          <w:sz w:val="18"/>
          <w:szCs w:val="18"/>
          <w:color w:val="auto"/>
        </w:rPr>
        <w:t>Section 53.284 of the Texas Property Code provides that a waiver and release given by a claimant or potential claimant is unenforceable unless it substantially complies with the applicable forms described by Subsections (b)-(e) of said Section 53.284. See attached forms.</w:t>
      </w:r>
    </w:p>
    <w:p>
      <w:pPr>
        <w:spacing w:after="0" w:line="119" w:lineRule="exact"/>
        <w:rPr>
          <w:sz w:val="20"/>
          <w:szCs w:val="20"/>
          <w:color w:val="auto"/>
        </w:rPr>
      </w:pPr>
    </w:p>
    <w:p>
      <w:pPr>
        <w:ind w:left="288" w:hanging="288"/>
        <w:spacing w:after="0"/>
        <w:tabs>
          <w:tab w:leader="none" w:pos="288" w:val="left"/>
        </w:tabs>
        <w:numPr>
          <w:ilvl w:val="0"/>
          <w:numId w:val="10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For Progress Payments</w:t>
      </w:r>
      <w:r>
        <w:rPr>
          <w:rFonts w:ascii="Times New Roman" w:cs="Times New Roman" w:eastAsia="Times New Roman" w:hAnsi="Times New Roman"/>
          <w:sz w:val="17"/>
          <w:szCs w:val="17"/>
          <w:color w:val="auto"/>
        </w:rPr>
        <w:t>:</w:t>
      </w:r>
    </w:p>
    <w:p>
      <w:pPr>
        <w:spacing w:after="0" w:line="184" w:lineRule="exact"/>
        <w:rPr>
          <w:rFonts w:ascii="Times New Roman" w:cs="Times New Roman" w:eastAsia="Times New Roman" w:hAnsi="Times New Roman"/>
          <w:sz w:val="17"/>
          <w:szCs w:val="17"/>
          <w:b w:val="1"/>
          <w:bCs w:val="1"/>
          <w:color w:val="auto"/>
        </w:rPr>
      </w:pPr>
    </w:p>
    <w:p>
      <w:pPr>
        <w:ind w:left="668" w:hanging="293"/>
        <w:spacing w:after="0"/>
        <w:tabs>
          <w:tab w:leader="none" w:pos="668" w:val="left"/>
        </w:tabs>
        <w:numPr>
          <w:ilvl w:val="1"/>
          <w:numId w:val="10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Conditional Waiver and Release on Progress Payment</w:t>
      </w:r>
    </w:p>
    <w:p>
      <w:pPr>
        <w:spacing w:after="0" w:line="19" w:lineRule="exact"/>
        <w:rPr>
          <w:rFonts w:ascii="Times New Roman" w:cs="Times New Roman" w:eastAsia="Times New Roman" w:hAnsi="Times New Roman"/>
          <w:sz w:val="17"/>
          <w:szCs w:val="17"/>
          <w:b w:val="1"/>
          <w:bCs w:val="1"/>
          <w:color w:val="auto"/>
        </w:rPr>
      </w:pPr>
    </w:p>
    <w:p>
      <w:pPr>
        <w:ind w:left="748"/>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i w:val="1"/>
          <w:iCs w:val="1"/>
          <w:color w:val="auto"/>
        </w:rPr>
        <w:t>Texas Property Code Section 53.284(b)</w:t>
      </w:r>
    </w:p>
    <w:p>
      <w:pPr>
        <w:spacing w:after="0" w:line="160" w:lineRule="exact"/>
        <w:rPr>
          <w:rFonts w:ascii="Times New Roman" w:cs="Times New Roman" w:eastAsia="Times New Roman" w:hAnsi="Times New Roman"/>
          <w:sz w:val="17"/>
          <w:szCs w:val="17"/>
          <w:b w:val="1"/>
          <w:bCs w:val="1"/>
          <w:color w:val="auto"/>
        </w:rPr>
      </w:pPr>
    </w:p>
    <w:p>
      <w:pPr>
        <w:ind w:left="748" w:right="6080" w:hanging="373"/>
        <w:spacing w:after="0" w:line="283" w:lineRule="auto"/>
        <w:tabs>
          <w:tab w:leader="none" w:pos="705" w:val="left"/>
        </w:tabs>
        <w:numPr>
          <w:ilvl w:val="1"/>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Unconditional Waiver and Release on Progress Payment</w:t>
      </w:r>
      <w:r>
        <w:rPr>
          <w:rFonts w:ascii="Times New Roman" w:cs="Times New Roman" w:eastAsia="Times New Roman" w:hAnsi="Times New Roman"/>
          <w:sz w:val="12"/>
          <w:szCs w:val="12"/>
          <w:color w:val="auto"/>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Texas Property Code Section 53.284(c)</w:t>
      </w:r>
    </w:p>
    <w:p>
      <w:pPr>
        <w:spacing w:after="0" w:line="110" w:lineRule="exact"/>
        <w:rPr>
          <w:rFonts w:ascii="Times New Roman" w:cs="Times New Roman" w:eastAsia="Times New Roman" w:hAnsi="Times New Roman"/>
          <w:sz w:val="18"/>
          <w:szCs w:val="18"/>
          <w:b w:val="1"/>
          <w:bCs w:val="1"/>
          <w:color w:val="auto"/>
        </w:rPr>
      </w:pPr>
    </w:p>
    <w:p>
      <w:pPr>
        <w:ind w:left="228" w:hanging="228"/>
        <w:spacing w:after="0"/>
        <w:tabs>
          <w:tab w:leader="none" w:pos="228"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For Final Payments</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b w:val="1"/>
          <w:bCs w:val="1"/>
          <w:color w:val="auto"/>
        </w:rPr>
      </w:pPr>
    </w:p>
    <w:p>
      <w:pPr>
        <w:ind w:left="628" w:hanging="253"/>
        <w:spacing w:after="0"/>
        <w:tabs>
          <w:tab w:leader="none" w:pos="628" w:val="left"/>
        </w:tabs>
        <w:numPr>
          <w:ilvl w:val="1"/>
          <w:numId w:val="10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Conditional Lien Waiver and Release on Final Payment</w:t>
      </w:r>
    </w:p>
    <w:p>
      <w:pPr>
        <w:spacing w:after="0" w:line="20" w:lineRule="exact"/>
        <w:rPr>
          <w:sz w:val="20"/>
          <w:szCs w:val="20"/>
          <w:color w:val="auto"/>
        </w:rPr>
      </w:pPr>
    </w:p>
    <w:p>
      <w:pPr>
        <w:ind w:left="748"/>
        <w:spacing w:after="0"/>
        <w:rPr>
          <w:sz w:val="20"/>
          <w:szCs w:val="20"/>
          <w:color w:val="auto"/>
        </w:rPr>
      </w:pPr>
      <w:r>
        <w:rPr>
          <w:rFonts w:ascii="Times New Roman" w:cs="Times New Roman" w:eastAsia="Times New Roman" w:hAnsi="Times New Roman"/>
          <w:sz w:val="18"/>
          <w:szCs w:val="18"/>
          <w:i w:val="1"/>
          <w:iCs w:val="1"/>
          <w:color w:val="auto"/>
        </w:rPr>
        <w:t>Texas Property Code Section 53.284(d)</w:t>
      </w:r>
    </w:p>
    <w:p>
      <w:pPr>
        <w:spacing w:after="0" w:line="173" w:lineRule="exact"/>
        <w:rPr>
          <w:sz w:val="20"/>
          <w:szCs w:val="20"/>
          <w:color w:val="auto"/>
        </w:rPr>
      </w:pPr>
    </w:p>
    <w:p>
      <w:pPr>
        <w:ind w:left="628" w:hanging="253"/>
        <w:spacing w:after="0"/>
        <w:tabs>
          <w:tab w:leader="none" w:pos="628" w:val="left"/>
        </w:tabs>
        <w:numPr>
          <w:ilvl w:val="0"/>
          <w:numId w:val="10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Unconditional Lien Waiver and Release on Final Payment</w:t>
      </w:r>
      <w:r>
        <w:rPr>
          <w:rFonts w:ascii="Times New Roman" w:cs="Times New Roman" w:eastAsia="Times New Roman" w:hAnsi="Times New Roman"/>
          <w:sz w:val="22"/>
          <w:szCs w:val="22"/>
          <w:color w:val="auto"/>
          <w:vertAlign w:val="superscript"/>
        </w:rPr>
        <w:t>2</w:t>
      </w:r>
    </w:p>
    <w:p>
      <w:pPr>
        <w:ind w:left="748"/>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i w:val="1"/>
          <w:iCs w:val="1"/>
          <w:color w:val="auto"/>
        </w:rPr>
        <w:t>Texas Property Code Section 53.284(e)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1981835</wp:posOffset>
            </wp:positionV>
            <wp:extent cx="2863850" cy="762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36">
                      <a:extLst>
                        <a:ext uri="{28A0092B-C50C-407E-A947-70E740481C1C}"/>
                      </a:extLst>
                    </a:blip>
                    <a:srcRect/>
                    <a:stretch>
                      <a:fillRect/>
                    </a:stretch>
                  </pic:blipFill>
                  <pic:spPr bwMode="auto">
                    <a:xfrm>
                      <a:off x="0" y="0"/>
                      <a:ext cx="286385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left="8"/>
        <w:spacing w:after="0" w:line="239" w:lineRule="auto"/>
        <w:rPr>
          <w:sz w:val="20"/>
          <w:szCs w:val="20"/>
          <w:color w:val="auto"/>
        </w:rPr>
      </w:pPr>
      <w:r>
        <w:rPr>
          <w:rFonts w:ascii="Times New Roman" w:cs="Times New Roman" w:eastAsia="Times New Roman" w:hAnsi="Times New Roman"/>
          <w:sz w:val="10"/>
          <w:szCs w:val="10"/>
          <w:color w:val="auto"/>
        </w:rPr>
        <w:t xml:space="preserve">1 </w:t>
      </w:r>
      <w:r>
        <w:rPr>
          <w:rFonts w:ascii="Times New Roman" w:cs="Times New Roman" w:eastAsia="Times New Roman" w:hAnsi="Times New Roman"/>
          <w:sz w:val="12"/>
          <w:szCs w:val="12"/>
          <w:color w:val="auto"/>
        </w:rPr>
        <w:t>This form is to be used if a claimant or potential claimant is required to execute an unconditional waiver and release to prove the receipt of good and sufficient funds for a progress payment and the claimant or potential claimant</w:t>
      </w: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2"/>
          <w:szCs w:val="12"/>
          <w:color w:val="auto"/>
        </w:rPr>
        <w:t>asserts in the waiver and release that the claimant or potential claimant has been paid the progress payment. If the progress payment has not been made, use the statutory "conditional waiver and release on progress payment" form in Texas Property Code, Section 53.284(b)</w:t>
      </w:r>
    </w:p>
    <w:p>
      <w:pPr>
        <w:spacing w:after="0" w:line="152" w:lineRule="exact"/>
        <w:rPr>
          <w:sz w:val="20"/>
          <w:szCs w:val="20"/>
          <w:color w:val="auto"/>
        </w:rPr>
      </w:pPr>
    </w:p>
    <w:p>
      <w:pPr>
        <w:jc w:val="both"/>
        <w:ind w:left="8" w:right="20"/>
        <w:spacing w:after="0" w:line="239" w:lineRule="auto"/>
        <w:rPr>
          <w:sz w:val="20"/>
          <w:szCs w:val="20"/>
          <w:color w:val="auto"/>
        </w:rPr>
      </w:pPr>
      <w:r>
        <w:rPr>
          <w:rFonts w:ascii="Times New Roman" w:cs="Times New Roman" w:eastAsia="Times New Roman" w:hAnsi="Times New Roman"/>
          <w:sz w:val="10"/>
          <w:szCs w:val="10"/>
          <w:color w:val="auto"/>
        </w:rPr>
        <w:t xml:space="preserve">2 </w:t>
      </w:r>
      <w:r>
        <w:rPr>
          <w:rFonts w:ascii="Times New Roman" w:cs="Times New Roman" w:eastAsia="Times New Roman" w:hAnsi="Times New Roman"/>
          <w:sz w:val="12"/>
          <w:szCs w:val="12"/>
          <w:color w:val="auto"/>
        </w:rPr>
        <w:t>This form is to be used if a claimant or potential claimant is required to execute an unconditional waiver and release to prove the receipt of good and sufficient funds for a final payment and the claimant or potential claimant</w:t>
      </w:r>
      <w:r>
        <w:rPr>
          <w:rFonts w:ascii="Times New Roman" w:cs="Times New Roman" w:eastAsia="Times New Roman" w:hAnsi="Times New Roman"/>
          <w:sz w:val="10"/>
          <w:szCs w:val="10"/>
          <w:color w:val="auto"/>
        </w:rPr>
        <w:t xml:space="preserve"> </w:t>
      </w:r>
      <w:r>
        <w:rPr>
          <w:rFonts w:ascii="Times New Roman" w:cs="Times New Roman" w:eastAsia="Times New Roman" w:hAnsi="Times New Roman"/>
          <w:sz w:val="12"/>
          <w:szCs w:val="12"/>
          <w:color w:val="auto"/>
        </w:rPr>
        <w:t>asserts in the waiver and release that the claimant or potential claimant has been paid the final payment. If final payment has not been made, use the statutory "conditional waiver and release on final payment" form in Texas Property Code, Section 53.284(d).</w:t>
      </w:r>
    </w:p>
    <w:p>
      <w:pPr>
        <w:spacing w:after="0" w:line="14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u w:val="single" w:color="auto"/>
          <w:color w:val="auto"/>
        </w:rPr>
        <w:t>Exhibit D-1, Texas Statutory Lien Waiver Forms</w:t>
      </w:r>
      <w:r>
        <w:rPr>
          <w:rFonts w:ascii="Times New Roman" w:cs="Times New Roman" w:eastAsia="Times New Roman" w:hAnsi="Times New Roman"/>
          <w:sz w:val="18"/>
          <w:szCs w:val="18"/>
          <w:color w:val="auto"/>
        </w:rPr>
        <w:t xml:space="preserve"> –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622935</wp:posOffset>
            </wp:positionV>
            <wp:extent cx="7178040" cy="4000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37">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8"/>
          </w:cols>
          <w:pgMar w:left="312" w:top="1148" w:right="319" w:bottom="1440" w:gutter="0" w:footer="0" w:header="0"/>
        </w:sectPr>
      </w:pPr>
    </w:p>
    <w:bookmarkStart w:id="208" w:name="page209"/>
    <w:bookmarkEnd w:id="208"/>
    <w:tbl>
      <w:tblPr>
        <w:tblLayout w:type="fixed"/>
        <w:tblInd w:w="740" w:type="dxa"/>
        <w:tblCellMar>
          <w:top w:w="0" w:type="dxa"/>
          <w:left w:w="0" w:type="dxa"/>
          <w:bottom w:w="0" w:type="dxa"/>
          <w:right w:w="0" w:type="dxa"/>
        </w:tblCellMar>
      </w:tblPr>
      <w:tr>
        <w:trPr>
          <w:trHeight w:val="172"/>
        </w:trPr>
        <w:tc>
          <w:tcPr>
            <w:tcW w:w="2260" w:type="dxa"/>
            <w:vAlign w:val="bottom"/>
          </w:tcPr>
          <w:p>
            <w:pPr>
              <w:spacing w:after="0"/>
              <w:rPr>
                <w:sz w:val="15"/>
                <w:szCs w:val="15"/>
                <w:color w:val="auto"/>
              </w:rPr>
            </w:pPr>
          </w:p>
        </w:tc>
        <w:tc>
          <w:tcPr>
            <w:tcW w:w="5780" w:type="dxa"/>
            <w:vAlign w:val="bottom"/>
            <w:gridSpan w:val="5"/>
          </w:tcPr>
          <w:p>
            <w:pPr>
              <w:spacing w:after="0"/>
              <w:rPr>
                <w:sz w:val="20"/>
                <w:szCs w:val="20"/>
                <w:color w:val="auto"/>
              </w:rPr>
            </w:pPr>
            <w:r>
              <w:rPr>
                <w:rFonts w:ascii="Times New Roman" w:cs="Times New Roman" w:eastAsia="Times New Roman" w:hAnsi="Times New Roman"/>
                <w:sz w:val="15"/>
                <w:szCs w:val="15"/>
                <w:b w:val="1"/>
                <w:bCs w:val="1"/>
                <w:color w:val="auto"/>
              </w:rPr>
              <w:t>CONDITIONAL LIEN WAIVER AND RELEASE ON PROGRESS PAYMENT</w:t>
            </w:r>
          </w:p>
        </w:tc>
        <w:tc>
          <w:tcPr>
            <w:tcW w:w="680" w:type="dxa"/>
            <w:vAlign w:val="bottom"/>
          </w:tcPr>
          <w:p>
            <w:pPr>
              <w:spacing w:after="0"/>
              <w:rPr>
                <w:sz w:val="15"/>
                <w:szCs w:val="15"/>
                <w:color w:val="auto"/>
              </w:rPr>
            </w:pPr>
          </w:p>
        </w:tc>
      </w:tr>
      <w:tr>
        <w:trPr>
          <w:trHeight w:val="20"/>
        </w:trPr>
        <w:tc>
          <w:tcPr>
            <w:tcW w:w="22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48"/>
        </w:trPr>
        <w:tc>
          <w:tcPr>
            <w:tcW w:w="36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On receipt by the signer of this document of a check from</w:t>
            </w:r>
          </w:p>
        </w:tc>
        <w:tc>
          <w:tcPr>
            <w:tcW w:w="1480" w:type="dxa"/>
            <w:vAlign w:val="bottom"/>
            <w:tcBorders>
              <w:bottom w:val="single" w:sz="8" w:color="auto"/>
            </w:tcBorders>
          </w:tcPr>
          <w:p>
            <w:pPr>
              <w:spacing w:after="0"/>
              <w:rPr>
                <w:sz w:val="24"/>
                <w:szCs w:val="24"/>
                <w:color w:val="auto"/>
              </w:rPr>
            </w:pPr>
          </w:p>
        </w:tc>
        <w:tc>
          <w:tcPr>
            <w:tcW w:w="208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(maker of check) in the sum of $</w:t>
            </w:r>
          </w:p>
        </w:tc>
        <w:tc>
          <w:tcPr>
            <w:tcW w:w="860" w:type="dxa"/>
            <w:vAlign w:val="bottom"/>
            <w:tcBorders>
              <w:bottom w:val="single" w:sz="8" w:color="auto"/>
            </w:tcBorders>
            <w:gridSpan w:val="2"/>
          </w:tcPr>
          <w:p>
            <w:pPr>
              <w:spacing w:after="0"/>
              <w:rPr>
                <w:sz w:val="24"/>
                <w:szCs w:val="24"/>
                <w:color w:val="auto"/>
              </w:rPr>
            </w:pPr>
          </w:p>
        </w:tc>
        <w:tc>
          <w:tcPr>
            <w:tcW w:w="680" w:type="dxa"/>
            <w:vAlign w:val="bottom"/>
          </w:tcPr>
          <w:p>
            <w:pPr>
              <w:ind w:left="40"/>
              <w:spacing w:after="0"/>
              <w:rPr>
                <w:sz w:val="20"/>
                <w:szCs w:val="20"/>
                <w:color w:val="auto"/>
              </w:rPr>
            </w:pPr>
            <w:r>
              <w:rPr>
                <w:rFonts w:ascii="Times New Roman" w:cs="Times New Roman" w:eastAsia="Times New Roman" w:hAnsi="Times New Roman"/>
                <w:sz w:val="15"/>
                <w:szCs w:val="15"/>
                <w:color w:val="auto"/>
                <w:w w:val="99"/>
              </w:rPr>
              <w:t>payable to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6031230</wp:posOffset>
            </wp:positionH>
            <wp:positionV relativeFrom="paragraph">
              <wp:posOffset>-6985</wp:posOffset>
            </wp:positionV>
            <wp:extent cx="1109980" cy="762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38">
                      <a:extLst>
                        <a:ext uri="{28A0092B-C50C-407E-A947-70E740481C1C}"/>
                      </a:extLst>
                    </a:blip>
                    <a:srcRect/>
                    <a:stretch>
                      <a:fillRect/>
                    </a:stretch>
                  </pic:blipFill>
                  <pic:spPr bwMode="auto">
                    <a:xfrm>
                      <a:off x="0" y="0"/>
                      <a:ext cx="1109980" cy="7620"/>
                    </a:xfrm>
                    <a:prstGeom prst="rect">
                      <a:avLst/>
                    </a:prstGeom>
                    <a:noFill/>
                  </pic:spPr>
                </pic:pic>
              </a:graphicData>
            </a:graphic>
          </wp:anchor>
        </w:drawing>
      </w:r>
    </w:p>
    <w:p>
      <w:pPr>
        <w:jc w:val="both"/>
        <w:ind w:right="100"/>
        <w:spacing w:after="0" w:line="266" w:lineRule="auto"/>
        <w:rPr>
          <w:sz w:val="20"/>
          <w:szCs w:val="20"/>
          <w:color w:val="auto"/>
        </w:rPr>
      </w:pPr>
      <w:r>
        <w:rPr>
          <w:rFonts w:ascii="Times New Roman" w:cs="Times New Roman" w:eastAsia="Times New Roman" w:hAnsi="Times New Roman"/>
          <w:sz w:val="15"/>
          <w:szCs w:val="15"/>
          <w:color w:val="auto"/>
        </w:rPr>
        <w:t>(payee or payees of check) and when the check has been properly endorsed and has been paid by the bank on which it is drawn, this document becomes effective to release any mechanic's lien right, any right arising from a payment bond that complies with a state or federal statute, any common law payment bond right, any claim for payment, and any rights</w:t>
      </w:r>
    </w:p>
    <w:tbl>
      <w:tblPr>
        <w:tblLayout w:type="fixed"/>
        <w:tblInd w:w="0" w:type="dxa"/>
        <w:tblCellMar>
          <w:top w:w="0" w:type="dxa"/>
          <w:left w:w="0" w:type="dxa"/>
          <w:bottom w:w="0" w:type="dxa"/>
          <w:right w:w="0" w:type="dxa"/>
        </w:tblCellMar>
      </w:tblPr>
      <w:tr>
        <w:trPr>
          <w:trHeight w:val="150"/>
        </w:trPr>
        <w:tc>
          <w:tcPr>
            <w:tcW w:w="9280" w:type="dxa"/>
            <w:vAlign w:val="bottom"/>
            <w:gridSpan w:val="6"/>
          </w:tcPr>
          <w:p>
            <w:pPr>
              <w:spacing w:after="0" w:line="150" w:lineRule="exact"/>
              <w:rPr>
                <w:sz w:val="20"/>
                <w:szCs w:val="20"/>
                <w:color w:val="auto"/>
              </w:rPr>
            </w:pPr>
            <w:r>
              <w:rPr>
                <w:rFonts w:ascii="Times New Roman" w:cs="Times New Roman" w:eastAsia="Times New Roman" w:hAnsi="Times New Roman"/>
                <w:sz w:val="15"/>
                <w:szCs w:val="15"/>
                <w:color w:val="auto"/>
              </w:rPr>
              <w:t>under any similar ordinance, rule, or statute related to claim or payment rights for persons in the signer's position that the signer has on the property of</w:t>
            </w:r>
          </w:p>
        </w:tc>
        <w:tc>
          <w:tcPr>
            <w:tcW w:w="3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20" w:type="dxa"/>
            <w:vAlign w:val="bottom"/>
          </w:tcPr>
          <w:p>
            <w:pPr>
              <w:jc w:val="right"/>
              <w:spacing w:after="0" w:line="150" w:lineRule="exact"/>
              <w:rPr>
                <w:sz w:val="20"/>
                <w:szCs w:val="20"/>
                <w:color w:val="auto"/>
              </w:rPr>
            </w:pPr>
            <w:r>
              <w:rPr>
                <w:rFonts w:ascii="Times New Roman" w:cs="Times New Roman" w:eastAsia="Times New Roman" w:hAnsi="Times New Roman"/>
                <w:sz w:val="15"/>
                <w:szCs w:val="15"/>
                <w:color w:val="auto"/>
              </w:rPr>
              <w:t>(owner) located</w:t>
            </w:r>
          </w:p>
        </w:tc>
      </w:tr>
      <w:tr>
        <w:trPr>
          <w:trHeight w:val="164"/>
        </w:trPr>
        <w:tc>
          <w:tcPr>
            <w:tcW w:w="140" w:type="dxa"/>
            <w:vAlign w:val="bottom"/>
          </w:tcPr>
          <w:p>
            <w:pPr>
              <w:spacing w:after="0" w:line="164" w:lineRule="exact"/>
              <w:rPr>
                <w:sz w:val="20"/>
                <w:szCs w:val="20"/>
                <w:color w:val="auto"/>
              </w:rPr>
            </w:pPr>
            <w:r>
              <w:rPr>
                <w:rFonts w:ascii="Times New Roman" w:cs="Times New Roman" w:eastAsia="Times New Roman" w:hAnsi="Times New Roman"/>
                <w:sz w:val="15"/>
                <w:szCs w:val="15"/>
                <w:color w:val="auto"/>
              </w:rPr>
              <w:t>at</w:t>
            </w:r>
          </w:p>
        </w:tc>
        <w:tc>
          <w:tcPr>
            <w:tcW w:w="1620" w:type="dxa"/>
            <w:vAlign w:val="bottom"/>
            <w:tcBorders>
              <w:bottom w:val="single" w:sz="8" w:color="auto"/>
            </w:tcBorders>
          </w:tcPr>
          <w:p>
            <w:pPr>
              <w:spacing w:after="0"/>
              <w:rPr>
                <w:sz w:val="14"/>
                <w:szCs w:val="14"/>
                <w:color w:val="auto"/>
              </w:rPr>
            </w:pPr>
          </w:p>
        </w:tc>
        <w:tc>
          <w:tcPr>
            <w:tcW w:w="2140" w:type="dxa"/>
            <w:vAlign w:val="bottom"/>
          </w:tcPr>
          <w:p>
            <w:pPr>
              <w:ind w:left="20"/>
              <w:spacing w:after="0" w:line="164" w:lineRule="exact"/>
              <w:rPr>
                <w:sz w:val="20"/>
                <w:szCs w:val="20"/>
                <w:color w:val="auto"/>
              </w:rPr>
            </w:pPr>
            <w:r>
              <w:rPr>
                <w:rFonts w:ascii="Times New Roman" w:cs="Times New Roman" w:eastAsia="Times New Roman" w:hAnsi="Times New Roman"/>
                <w:sz w:val="15"/>
                <w:szCs w:val="15"/>
                <w:color w:val="auto"/>
              </w:rPr>
              <w:t>(location) to the following extent:</w:t>
            </w:r>
          </w:p>
        </w:tc>
        <w:tc>
          <w:tcPr>
            <w:tcW w:w="1880" w:type="dxa"/>
            <w:vAlign w:val="bottom"/>
            <w:tcBorders>
              <w:bottom w:val="single" w:sz="8" w:color="auto"/>
            </w:tcBorders>
          </w:tcPr>
          <w:p>
            <w:pPr>
              <w:spacing w:after="0"/>
              <w:rPr>
                <w:sz w:val="14"/>
                <w:szCs w:val="14"/>
                <w:color w:val="auto"/>
              </w:rPr>
            </w:pPr>
          </w:p>
        </w:tc>
        <w:tc>
          <w:tcPr>
            <w:tcW w:w="3500" w:type="dxa"/>
            <w:vAlign w:val="bottom"/>
            <w:gridSpan w:val="2"/>
          </w:tcPr>
          <w:p>
            <w:pPr>
              <w:ind w:left="40"/>
              <w:spacing w:after="0" w:line="164" w:lineRule="exact"/>
              <w:rPr>
                <w:sz w:val="20"/>
                <w:szCs w:val="20"/>
                <w:color w:val="auto"/>
              </w:rPr>
            </w:pPr>
            <w:r>
              <w:rPr>
                <w:rFonts w:ascii="Times New Roman" w:cs="Times New Roman" w:eastAsia="Times New Roman" w:hAnsi="Times New Roman"/>
                <w:sz w:val="15"/>
                <w:szCs w:val="15"/>
                <w:color w:val="auto"/>
              </w:rPr>
              <w:t>(job description).</w:t>
            </w: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48"/>
        </w:trPr>
        <w:tc>
          <w:tcPr>
            <w:tcW w:w="140" w:type="dxa"/>
            <w:vAlign w:val="bottom"/>
          </w:tcPr>
          <w:p>
            <w:pPr>
              <w:spacing w:after="0"/>
              <w:rPr>
                <w:sz w:val="24"/>
                <w:szCs w:val="24"/>
                <w:color w:val="auto"/>
              </w:rPr>
            </w:pPr>
          </w:p>
        </w:tc>
        <w:tc>
          <w:tcPr>
            <w:tcW w:w="7840" w:type="dxa"/>
            <w:vAlign w:val="bottom"/>
            <w:gridSpan w:val="4"/>
          </w:tcPr>
          <w:p>
            <w:pPr>
              <w:ind w:left="600"/>
              <w:spacing w:after="0"/>
              <w:rPr>
                <w:sz w:val="20"/>
                <w:szCs w:val="20"/>
                <w:color w:val="auto"/>
              </w:rPr>
            </w:pPr>
            <w:r>
              <w:rPr>
                <w:rFonts w:ascii="Times New Roman" w:cs="Times New Roman" w:eastAsia="Times New Roman" w:hAnsi="Times New Roman"/>
                <w:sz w:val="15"/>
                <w:szCs w:val="15"/>
                <w:color w:val="auto"/>
              </w:rPr>
              <w:t>This release covers a progress payment for all labor, services, equipment, or materials furnished to the property or to</w:t>
            </w:r>
          </w:p>
        </w:tc>
        <w:tc>
          <w:tcPr>
            <w:tcW w:w="1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(person with whom signer</w:t>
            </w:r>
          </w:p>
        </w:tc>
      </w:tr>
    </w:tbl>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contracted) as indicated in the attached statement(s) or progress payment request(s), except for unpaid retention, pending modifications and changes, or other items furnished.</w:t>
      </w:r>
    </w:p>
    <w:p>
      <w:pPr>
        <w:spacing w:after="0" w:line="19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5"/>
          <w:szCs w:val="15"/>
          <w:color w:val="auto"/>
        </w:rPr>
        <w:t>Before any recipient of this document relies on this document, the recipient should verify evidence of payment to the signer.</w:t>
      </w:r>
    </w:p>
    <w:p>
      <w:pPr>
        <w:spacing w:after="0" w:line="196" w:lineRule="exact"/>
        <w:rPr>
          <w:sz w:val="20"/>
          <w:szCs w:val="20"/>
          <w:color w:val="auto"/>
        </w:rPr>
      </w:pPr>
    </w:p>
    <w:p>
      <w:pPr>
        <w:jc w:val="both"/>
        <w:ind w:right="80" w:firstLine="751"/>
        <w:spacing w:after="0" w:line="274" w:lineRule="auto"/>
        <w:rPr>
          <w:sz w:val="20"/>
          <w:szCs w:val="20"/>
          <w:color w:val="auto"/>
        </w:rPr>
      </w:pPr>
      <w:r>
        <w:rPr>
          <w:rFonts w:ascii="Times New Roman" w:cs="Times New Roman" w:eastAsia="Times New Roman" w:hAnsi="Times New Roman"/>
          <w:sz w:val="15"/>
          <w:szCs w:val="15"/>
          <w:color w:val="auto"/>
        </w:rPr>
        <w:t>The signer warrants that the signer has already paid or will use the funds received from this progress payment to promptly pay in full all of the signer's laborers, subcontractors, materialmen, and suppliers for all work, materials, equipment, or services provided for or to the above referenced project in regard to the attached statement(s) or progress payment request(s).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w:t>
      </w:r>
    </w:p>
    <w:p>
      <w:pPr>
        <w:spacing w:after="0" w:line="31"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5"/>
          <w:szCs w:val="15"/>
          <w:color w:val="auto"/>
        </w:rPr>
        <w:t xml:space="preserve">Company </w:t>
      </w:r>
      <w:r>
        <w:rPr>
          <w:rFonts w:ascii="Times New Roman" w:cs="Times New Roman" w:eastAsia="Times New Roman" w:hAnsi="Times New Roman"/>
          <w:sz w:val="15"/>
          <w:szCs w:val="15"/>
          <w:i w:val="1"/>
          <w:iCs w:val="1"/>
          <w:color w:val="auto"/>
        </w:rPr>
        <w:t>[insert legal name of entity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-104140</wp:posOffset>
            </wp:positionV>
            <wp:extent cx="6721475" cy="762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39">
                      <a:extLst>
                        <a:ext uri="{28A0092B-C50C-407E-A947-70E740481C1C}"/>
                      </a:extLst>
                    </a:blip>
                    <a:srcRect/>
                    <a:stretch>
                      <a:fillRect/>
                    </a:stretch>
                  </pic:blipFill>
                  <pic:spPr bwMode="auto">
                    <a:xfrm>
                      <a:off x="0" y="0"/>
                      <a:ext cx="6721475" cy="7620"/>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0" w:type="dxa"/>
            <w:vAlign w:val="bottom"/>
            <w:gridSpan w:val="6"/>
          </w:tcPr>
          <w:p>
            <w:pPr>
              <w:ind w:left="260"/>
              <w:spacing w:after="0"/>
              <w:rPr>
                <w:sz w:val="20"/>
                <w:szCs w:val="20"/>
                <w:color w:val="auto"/>
              </w:rPr>
            </w:pPr>
            <w:r>
              <w:rPr>
                <w:rFonts w:ascii="Times New Roman" w:cs="Times New Roman" w:eastAsia="Times New Roman" w:hAnsi="Times New Roman"/>
                <w:sz w:val="15"/>
                <w:szCs w:val="15"/>
                <w:color w:val="auto"/>
              </w:rPr>
              <w:t>By:</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40" w:type="dxa"/>
            <w:vAlign w:val="bottom"/>
            <w:gridSpan w:val="2"/>
          </w:tcPr>
          <w:p>
            <w:pPr>
              <w:ind w:left="260"/>
              <w:spacing w:after="0"/>
              <w:rPr>
                <w:sz w:val="20"/>
                <w:szCs w:val="20"/>
                <w:color w:val="auto"/>
              </w:rPr>
            </w:pPr>
            <w:r>
              <w:rPr>
                <w:rFonts w:ascii="Times New Roman" w:cs="Times New Roman" w:eastAsia="Times New Roman" w:hAnsi="Times New Roman"/>
                <w:sz w:val="15"/>
                <w:szCs w:val="15"/>
                <w:color w:val="auto"/>
              </w:rPr>
              <w:t>Name:</w:t>
            </w:r>
          </w:p>
        </w:tc>
        <w:tc>
          <w:tcPr>
            <w:tcW w:w="2440" w:type="dxa"/>
            <w:vAlign w:val="bottom"/>
            <w:tcBorders>
              <w:top w:val="single" w:sz="8" w:color="auto"/>
              <w:bottom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200" w:type="dxa"/>
            <w:vAlign w:val="bottom"/>
            <w:gridSpan w:val="5"/>
            <w:vMerge w:val="restart"/>
          </w:tcPr>
          <w:p>
            <w:pPr>
              <w:spacing w:after="0"/>
              <w:rPr>
                <w:sz w:val="20"/>
                <w:szCs w:val="20"/>
                <w:color w:val="auto"/>
              </w:rPr>
            </w:pPr>
            <w:r>
              <w:rPr>
                <w:rFonts w:ascii="Times New Roman" w:cs="Times New Roman" w:eastAsia="Times New Roman" w:hAnsi="Times New Roman"/>
                <w:sz w:val="15"/>
                <w:szCs w:val="15"/>
                <w:color w:val="auto"/>
              </w:rPr>
              <w:t>STATE OF TEXAS</w:t>
            </w: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spacing w:after="0"/>
              <w:rPr>
                <w:sz w:val="16"/>
                <w:szCs w:val="16"/>
                <w:color w:val="auto"/>
              </w:rPr>
            </w:pPr>
          </w:p>
        </w:tc>
        <w:tc>
          <w:tcPr>
            <w:tcW w:w="1040" w:type="dxa"/>
            <w:vAlign w:val="bottom"/>
            <w:gridSpan w:val="2"/>
          </w:tcPr>
          <w:p>
            <w:pPr>
              <w:ind w:left="260"/>
              <w:spacing w:after="0"/>
              <w:rPr>
                <w:sz w:val="20"/>
                <w:szCs w:val="20"/>
                <w:color w:val="auto"/>
              </w:rPr>
            </w:pPr>
            <w:r>
              <w:rPr>
                <w:rFonts w:ascii="Times New Roman" w:cs="Times New Roman" w:eastAsia="Times New Roman" w:hAnsi="Times New Roman"/>
                <w:sz w:val="15"/>
                <w:szCs w:val="15"/>
                <w:color w:val="auto"/>
              </w:rPr>
              <w:t>Title:</w:t>
            </w:r>
          </w:p>
        </w:tc>
        <w:tc>
          <w:tcPr>
            <w:tcW w:w="24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58"/>
        </w:trPr>
        <w:tc>
          <w:tcPr>
            <w:tcW w:w="3200" w:type="dxa"/>
            <w:vAlign w:val="bottom"/>
            <w:gridSpan w:val="5"/>
            <w:vMerge w:val="continue"/>
          </w:tcPr>
          <w:p>
            <w:pPr>
              <w:spacing w:after="0"/>
              <w:rPr>
                <w:sz w:val="24"/>
                <w:szCs w:val="24"/>
                <w:color w:val="auto"/>
              </w:rPr>
            </w:pPr>
          </w:p>
        </w:tc>
        <w:tc>
          <w:tcPr>
            <w:tcW w:w="196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COUNTY OF</w:t>
            </w:r>
          </w:p>
        </w:tc>
        <w:tc>
          <w:tcPr>
            <w:tcW w:w="1180" w:type="dxa"/>
            <w:vAlign w:val="bottom"/>
            <w:tcBorders>
              <w:bottom w:val="single" w:sz="8" w:color="auto"/>
            </w:tcBorders>
            <w:gridSpan w:val="3"/>
          </w:tcPr>
          <w:p>
            <w:pPr>
              <w:spacing w:after="0"/>
              <w:rPr>
                <w:sz w:val="17"/>
                <w:szCs w:val="17"/>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8"/>
        </w:trPr>
        <w:tc>
          <w:tcPr>
            <w:tcW w:w="1800" w:type="dxa"/>
            <w:vAlign w:val="bottom"/>
          </w:tcPr>
          <w:p>
            <w:pPr>
              <w:spacing w:after="0"/>
              <w:rPr>
                <w:sz w:val="24"/>
                <w:szCs w:val="24"/>
                <w:color w:val="auto"/>
              </w:rPr>
            </w:pPr>
          </w:p>
        </w:tc>
        <w:tc>
          <w:tcPr>
            <w:tcW w:w="140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 xml:space="preserve">, 20  </w:t>
            </w:r>
            <w:r>
              <w:rPr>
                <w:rFonts w:ascii="Times New Roman" w:cs="Times New Roman" w:eastAsia="Times New Roman" w:hAnsi="Times New Roman"/>
                <w:sz w:val="15"/>
                <w:szCs w:val="15"/>
                <w:i w:val="1"/>
                <w:iCs w:val="1"/>
                <w:color w:val="auto"/>
              </w:rPr>
              <w:t>[Insert Date]</w:t>
            </w:r>
          </w:p>
        </w:tc>
        <w:tc>
          <w:tcPr>
            <w:tcW w:w="1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98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i w:val="1"/>
                <w:iCs w:val="1"/>
                <w:color w:val="auto"/>
              </w:rPr>
              <w:t>[insert name of person signing this instrument]</w:t>
            </w:r>
            <w:r>
              <w:rPr>
                <w:rFonts w:ascii="Times New Roman" w:cs="Times New Roman" w:eastAsia="Times New Roman" w:hAnsi="Times New Roman"/>
                <w:sz w:val="15"/>
                <w:szCs w:val="15"/>
                <w:color w:val="auto"/>
              </w:rPr>
              <w:t>,</w:t>
            </w:r>
          </w:p>
        </w:tc>
        <w:tc>
          <w:tcPr>
            <w:tcW w:w="1720" w:type="dxa"/>
            <w:vAlign w:val="bottom"/>
            <w:gridSpan w:val="3"/>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3200" w:type="dxa"/>
            <w:vAlign w:val="bottom"/>
            <w:gridSpan w:val="5"/>
          </w:tcPr>
          <w:p>
            <w:pPr>
              <w:ind w:left="140"/>
              <w:spacing w:after="0"/>
              <w:rPr>
                <w:sz w:val="20"/>
                <w:szCs w:val="20"/>
                <w:color w:val="auto"/>
              </w:rPr>
            </w:pPr>
            <w:r>
              <w:rPr>
                <w:rFonts w:ascii="Times New Roman" w:cs="Times New Roman" w:eastAsia="Times New Roman" w:hAnsi="Times New Roman"/>
                <w:sz w:val="15"/>
                <w:szCs w:val="15"/>
                <w:color w:val="auto"/>
              </w:rPr>
              <w:t>This instrument was acknowledged before me by</w:t>
            </w:r>
          </w:p>
        </w:tc>
        <w:tc>
          <w:tcPr>
            <w:tcW w:w="19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980" w:type="dxa"/>
            <w:vAlign w:val="bottom"/>
            <w:gridSpan w:val="2"/>
            <w:vMerge w:val="continue"/>
          </w:tcPr>
          <w:p>
            <w:pPr>
              <w:spacing w:after="0"/>
              <w:rPr>
                <w:sz w:val="24"/>
                <w:szCs w:val="24"/>
                <w:color w:val="auto"/>
              </w:rPr>
            </w:pPr>
          </w:p>
        </w:tc>
        <w:tc>
          <w:tcPr>
            <w:tcW w:w="1720" w:type="dxa"/>
            <w:vAlign w:val="bottom"/>
            <w:tcBorders>
              <w:bottom w:val="single" w:sz="8" w:color="auto"/>
            </w:tcBorders>
            <w:gridSpan w:val="3"/>
            <w:vMerge w:val="continue"/>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3140" w:type="dxa"/>
            <w:vAlign w:val="bottom"/>
            <w:gridSpan w:val="4"/>
          </w:tcPr>
          <w:p>
            <w:pPr>
              <w:ind w:left="140"/>
              <w:spacing w:after="0" w:line="164" w:lineRule="exact"/>
              <w:rPr>
                <w:sz w:val="20"/>
                <w:szCs w:val="20"/>
                <w:color w:val="auto"/>
              </w:rPr>
            </w:pPr>
            <w:r>
              <w:rPr>
                <w:rFonts w:ascii="Times New Roman" w:cs="Times New Roman" w:eastAsia="Times New Roman" w:hAnsi="Times New Roman"/>
                <w:sz w:val="15"/>
                <w:szCs w:val="15"/>
                <w:i w:val="1"/>
                <w:iCs w:val="1"/>
                <w:color w:val="auto"/>
              </w:rPr>
              <w:t xml:space="preserve">[insert title of person signing this instrument] </w:t>
            </w:r>
            <w:r>
              <w:rPr>
                <w:rFonts w:ascii="Times New Roman" w:cs="Times New Roman" w:eastAsia="Times New Roman" w:hAnsi="Times New Roman"/>
                <w:sz w:val="15"/>
                <w:szCs w:val="15"/>
                <w:color w:val="auto"/>
              </w:rPr>
              <w:t>of</w:t>
            </w:r>
          </w:p>
        </w:tc>
        <w:tc>
          <w:tcPr>
            <w:tcW w:w="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860" w:type="dxa"/>
            <w:vAlign w:val="bottom"/>
            <w:gridSpan w:val="4"/>
          </w:tcPr>
          <w:p>
            <w:pPr>
              <w:ind w:left="40"/>
              <w:spacing w:after="0" w:line="164" w:lineRule="exact"/>
              <w:rPr>
                <w:sz w:val="20"/>
                <w:szCs w:val="20"/>
                <w:color w:val="auto"/>
              </w:rPr>
            </w:pPr>
            <w:r>
              <w:rPr>
                <w:rFonts w:ascii="Times New Roman" w:cs="Times New Roman" w:eastAsia="Times New Roman" w:hAnsi="Times New Roman"/>
                <w:sz w:val="15"/>
                <w:szCs w:val="15"/>
                <w:i w:val="1"/>
                <w:iCs w:val="1"/>
                <w:color w:val="auto"/>
              </w:rPr>
              <w:t>[insert legal name of original contractor or subcontractor]</w:t>
            </w:r>
            <w:r>
              <w:rPr>
                <w:rFonts w:ascii="Times New Roman" w:cs="Times New Roman" w:eastAsia="Times New Roman" w:hAnsi="Times New Roman"/>
                <w:sz w:val="15"/>
                <w:szCs w:val="15"/>
                <w:color w:val="auto"/>
              </w:rPr>
              <w:t>, a</w:t>
            </w:r>
          </w:p>
        </w:tc>
        <w:tc>
          <w:tcPr>
            <w:tcW w:w="12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i w:val="1"/>
          <w:iCs w:val="1"/>
          <w:color w:val="auto"/>
        </w:rPr>
        <w:t>[insert type of entity: corporation, partnership, limited partnership, limited liability company and state of formation or incorporation - example: "a Texas limited liability</w:t>
      </w:r>
    </w:p>
    <w:p>
      <w:pPr>
        <w:spacing w:after="0" w:line="30" w:lineRule="exact"/>
        <w:rPr>
          <w:sz w:val="20"/>
          <w:szCs w:val="20"/>
          <w:color w:val="auto"/>
        </w:rPr>
      </w:pPr>
    </w:p>
    <w:p>
      <w:pPr>
        <w:ind w:left="140"/>
        <w:spacing w:after="0"/>
        <w:tabs>
          <w:tab w:leader="none" w:pos="3200" w:val="left"/>
        </w:tabs>
        <w:rPr>
          <w:sz w:val="20"/>
          <w:szCs w:val="20"/>
          <w:color w:val="auto"/>
        </w:rPr>
      </w:pPr>
      <w:r>
        <w:rPr>
          <w:rFonts w:ascii="Times New Roman" w:cs="Times New Roman" w:eastAsia="Times New Roman" w:hAnsi="Times New Roman"/>
          <w:sz w:val="15"/>
          <w:szCs w:val="15"/>
          <w:i w:val="1"/>
          <w:iCs w:val="1"/>
          <w:color w:val="auto"/>
        </w:rPr>
        <w:t>company"]</w:t>
      </w:r>
      <w:r>
        <w:rPr>
          <w:rFonts w:ascii="Times New Roman" w:cs="Times New Roman" w:eastAsia="Times New Roman" w:hAnsi="Times New Roman"/>
          <w:sz w:val="15"/>
          <w:szCs w:val="15"/>
          <w:color w:val="auto"/>
        </w:rPr>
        <w:t>, on behalf of said</w:t>
      </w:r>
      <w:r>
        <w:rPr>
          <w:sz w:val="20"/>
          <w:szCs w:val="20"/>
          <w:color w:val="auto"/>
        </w:rPr>
        <w:tab/>
      </w:r>
      <w:r>
        <w:rPr>
          <w:rFonts w:ascii="Times New Roman" w:cs="Times New Roman" w:eastAsia="Times New Roman" w:hAnsi="Times New Roman"/>
          <w:sz w:val="15"/>
          <w:szCs w:val="15"/>
          <w:i w:val="1"/>
          <w:iCs w:val="1"/>
          <w:color w:val="auto"/>
        </w:rPr>
        <w:t>[insert type of entity: corporation, partnership, limited partnership, limited liability company]</w:t>
      </w: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2866390</wp:posOffset>
            </wp:positionH>
            <wp:positionV relativeFrom="paragraph">
              <wp:posOffset>262890</wp:posOffset>
            </wp:positionV>
            <wp:extent cx="4274185" cy="762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40">
                      <a:extLst>
                        <a:ext uri="{28A0092B-C50C-407E-A947-70E740481C1C}"/>
                      </a:extLst>
                    </a:blip>
                    <a:srcRect/>
                    <a:stretch>
                      <a:fillRect/>
                    </a:stretch>
                  </pic:blipFill>
                  <pic:spPr bwMode="auto">
                    <a:xfrm>
                      <a:off x="0" y="0"/>
                      <a:ext cx="4274185" cy="7620"/>
                    </a:xfrm>
                    <a:prstGeom prst="rect">
                      <a:avLst/>
                    </a:prstGeom>
                    <a:noFill/>
                  </pic:spPr>
                </pic:pic>
              </a:graphicData>
            </a:graphic>
          </wp:anchor>
        </w:drawing>
        <w:drawing>
          <wp:anchor simplePos="0" relativeHeight="251657728" behindDoc="1" locked="0" layoutInCell="0" allowOverlap="1">
            <wp:simplePos x="0" y="0"/>
            <wp:positionH relativeFrom="column">
              <wp:posOffset>1242060</wp:posOffset>
            </wp:positionH>
            <wp:positionV relativeFrom="paragraph">
              <wp:posOffset>-13970</wp:posOffset>
            </wp:positionV>
            <wp:extent cx="779145" cy="762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41">
                      <a:extLst>
                        <a:ext uri="{28A0092B-C50C-407E-A947-70E740481C1C}"/>
                      </a:extLst>
                    </a:blip>
                    <a:srcRect/>
                    <a:stretch>
                      <a:fillRect/>
                    </a:stretch>
                  </pic:blipFill>
                  <pic:spPr bwMode="auto">
                    <a:xfrm>
                      <a:off x="0" y="0"/>
                      <a:ext cx="779145" cy="762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5"/>
          <w:szCs w:val="15"/>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3538220</wp:posOffset>
            </wp:positionH>
            <wp:positionV relativeFrom="paragraph">
              <wp:posOffset>31115</wp:posOffset>
            </wp:positionV>
            <wp:extent cx="3601720" cy="762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42">
                      <a:extLst>
                        <a:ext uri="{28A0092B-C50C-407E-A947-70E740481C1C}"/>
                      </a:extLst>
                    </a:blip>
                    <a:srcRect/>
                    <a:stretch>
                      <a:fillRect/>
                    </a:stretch>
                  </pic:blipFill>
                  <pic:spPr bwMode="auto">
                    <a:xfrm>
                      <a:off x="0" y="0"/>
                      <a:ext cx="3601720" cy="7620"/>
                    </a:xfrm>
                    <a:prstGeom prst="rect">
                      <a:avLst/>
                    </a:prstGeom>
                    <a:noFill/>
                  </pic:spPr>
                </pic:pic>
              </a:graphicData>
            </a:graphic>
          </wp:anchor>
        </w:drawing>
      </w:r>
    </w:p>
    <w:p>
      <w:pPr>
        <w:spacing w:after="0" w:line="3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5"/>
          <w:szCs w:val="15"/>
          <w:color w:val="auto"/>
        </w:rPr>
        <w:t>Notary Public, State of Texas</w:t>
      </w:r>
    </w:p>
    <w:p>
      <w:pPr>
        <w:spacing w:after="0" w:line="3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5"/>
          <w:szCs w:val="15"/>
          <w:color w:val="auto"/>
        </w:rPr>
        <w:t>My commission expires: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4926330</wp:posOffset>
            </wp:positionH>
            <wp:positionV relativeFrom="paragraph">
              <wp:posOffset>24130</wp:posOffset>
            </wp:positionV>
            <wp:extent cx="2221230" cy="762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43">
                      <a:extLst>
                        <a:ext uri="{28A0092B-C50C-407E-A947-70E740481C1C}"/>
                      </a:extLst>
                    </a:blip>
                    <a:srcRect/>
                    <a:stretch>
                      <a:fillRect/>
                    </a:stretch>
                  </pic:blipFill>
                  <pic:spPr bwMode="auto">
                    <a:xfrm>
                      <a:off x="0" y="0"/>
                      <a:ext cx="2221230" cy="7620"/>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D-1, Texas Statutory Lien Waiver Forms</w:t>
      </w:r>
      <w:r>
        <w:rPr>
          <w:rFonts w:ascii="Times New Roman" w:cs="Times New Roman" w:eastAsia="Times New Roman" w:hAnsi="Times New Roman"/>
          <w:sz w:val="18"/>
          <w:szCs w:val="18"/>
          <w:color w:val="auto"/>
        </w:rPr>
        <w:t xml:space="preserve"> –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630555</wp:posOffset>
            </wp:positionV>
            <wp:extent cx="7178040" cy="4000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44">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340"/>
          </w:cols>
          <w:pgMar w:left="320" w:top="1152" w:right="239" w:bottom="1440" w:gutter="0" w:footer="0" w:header="0"/>
        </w:sectPr>
      </w:pPr>
    </w:p>
    <w:bookmarkStart w:id="209" w:name="page210"/>
    <w:bookmarkEnd w:id="209"/>
    <w:p>
      <w:pPr>
        <w:jc w:val="both"/>
        <w:ind w:left="140" w:right="220"/>
        <w:spacing w:after="0" w:line="298" w:lineRule="auto"/>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198120</wp:posOffset>
            </wp:positionH>
            <wp:positionV relativeFrom="page">
              <wp:posOffset>753745</wp:posOffset>
            </wp:positionV>
            <wp:extent cx="7152640" cy="762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45">
                      <a:extLst>
                        <a:ext uri="{28A0092B-C50C-407E-A947-70E740481C1C}"/>
                      </a:extLst>
                    </a:blip>
                    <a:srcRect/>
                    <a:stretch>
                      <a:fillRect/>
                    </a:stretch>
                  </pic:blipFill>
                  <pic:spPr bwMode="auto">
                    <a:xfrm>
                      <a:off x="0" y="0"/>
                      <a:ext cx="7152640" cy="7620"/>
                    </a:xfrm>
                    <a:prstGeom prst="rect">
                      <a:avLst/>
                    </a:prstGeom>
                    <a:noFill/>
                  </pic:spPr>
                </pic:pic>
              </a:graphicData>
            </a:graphic>
          </wp:anchor>
        </w:drawing>
        <w:t>Notice: This document waives rights unconditionally and states that you have been paid for giving up those rights. It is prohibited for a person to require you to sign this document if you have not been paid the payment amount set forth below. If you have not been paid, use a conditional release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60960</wp:posOffset>
            </wp:positionV>
            <wp:extent cx="7152640" cy="762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46">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pacing w:after="0" w:line="26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5"/>
          <w:szCs w:val="15"/>
          <w:b w:val="1"/>
          <w:bCs w:val="1"/>
          <w:u w:val="single" w:color="auto"/>
          <w:color w:val="auto"/>
        </w:rPr>
        <w:t>UNCONDITIONAL WAIVER AND RELEASE ON PROGRESS PAYMENT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24130</wp:posOffset>
            </wp:positionV>
            <wp:extent cx="1285875" cy="762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47">
                      <a:extLst>
                        <a:ext uri="{28A0092B-C50C-407E-A947-70E740481C1C}"/>
                      </a:extLst>
                    </a:blip>
                    <a:srcRect/>
                    <a:stretch>
                      <a:fillRect/>
                    </a:stretch>
                  </pic:blipFill>
                  <pic:spPr bwMode="auto">
                    <a:xfrm>
                      <a:off x="0" y="0"/>
                      <a:ext cx="1285875" cy="762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Job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24130</wp:posOffset>
            </wp:positionV>
            <wp:extent cx="1285875" cy="762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48">
                      <a:extLst>
                        <a:ext uri="{28A0092B-C50C-407E-A947-70E740481C1C}"/>
                      </a:extLst>
                    </a:blip>
                    <a:srcRect/>
                    <a:stretch>
                      <a:fillRect/>
                    </a:stretch>
                  </pic:blipFill>
                  <pic:spPr bwMode="auto">
                    <a:xfrm>
                      <a:off x="0" y="0"/>
                      <a:ext cx="1285875" cy="7620"/>
                    </a:xfrm>
                    <a:prstGeom prst="rect">
                      <a:avLst/>
                    </a:prstGeom>
                    <a:noFill/>
                  </pic:spPr>
                </pic:pic>
              </a:graphicData>
            </a:graphic>
          </wp:anchor>
        </w:drawing>
      </w:r>
    </w:p>
    <w:p>
      <w:pPr>
        <w:spacing w:after="0" w:line="190" w:lineRule="exact"/>
        <w:rPr>
          <w:sz w:val="20"/>
          <w:szCs w:val="20"/>
          <w:color w:val="auto"/>
        </w:rPr>
      </w:pPr>
    </w:p>
    <w:tbl>
      <w:tblPr>
        <w:tblLayout w:type="fixed"/>
        <w:tblInd w:w="140" w:type="dxa"/>
        <w:tblCellMar>
          <w:top w:w="0" w:type="dxa"/>
          <w:left w:w="0" w:type="dxa"/>
          <w:bottom w:w="0" w:type="dxa"/>
          <w:right w:w="0" w:type="dxa"/>
        </w:tblCellMar>
      </w:tblPr>
      <w:tr>
        <w:trPr>
          <w:trHeight w:val="172"/>
        </w:trPr>
        <w:tc>
          <w:tcPr>
            <w:tcW w:w="6600" w:type="dxa"/>
            <w:vAlign w:val="bottom"/>
            <w:gridSpan w:val="5"/>
          </w:tcPr>
          <w:p>
            <w:pPr>
              <w:ind w:left="740"/>
              <w:spacing w:after="0"/>
              <w:rPr>
                <w:sz w:val="20"/>
                <w:szCs w:val="20"/>
                <w:color w:val="auto"/>
              </w:rPr>
            </w:pPr>
            <w:r>
              <w:rPr>
                <w:rFonts w:ascii="Times New Roman" w:cs="Times New Roman" w:eastAsia="Times New Roman" w:hAnsi="Times New Roman"/>
                <w:sz w:val="15"/>
                <w:szCs w:val="15"/>
                <w:color w:val="auto"/>
              </w:rPr>
              <w:t>The signer of this document has been paid and has received a progress payment in the sum of $</w:t>
            </w:r>
          </w:p>
        </w:tc>
        <w:tc>
          <w:tcPr>
            <w:tcW w:w="520" w:type="dxa"/>
            <w:vAlign w:val="bottom"/>
            <w:tcBorders>
              <w:bottom w:val="single" w:sz="8" w:color="auto"/>
            </w:tcBorders>
            <w:gridSpan w:val="2"/>
          </w:tcPr>
          <w:p>
            <w:pPr>
              <w:spacing w:after="0"/>
              <w:rPr>
                <w:sz w:val="15"/>
                <w:szCs w:val="15"/>
                <w:color w:val="auto"/>
              </w:rPr>
            </w:pPr>
          </w:p>
        </w:tc>
        <w:tc>
          <w:tcPr>
            <w:tcW w:w="388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for all labor, services, equipment, or materials furnished to the</w:t>
            </w:r>
          </w:p>
        </w:tc>
      </w:tr>
      <w:tr>
        <w:trPr>
          <w:trHeight w:val="164"/>
        </w:trPr>
        <w:tc>
          <w:tcPr>
            <w:tcW w:w="880" w:type="dxa"/>
            <w:vAlign w:val="bottom"/>
          </w:tcPr>
          <w:p>
            <w:pPr>
              <w:spacing w:after="0" w:line="164" w:lineRule="exact"/>
              <w:rPr>
                <w:sz w:val="20"/>
                <w:szCs w:val="20"/>
                <w:color w:val="auto"/>
              </w:rPr>
            </w:pPr>
            <w:r>
              <w:rPr>
                <w:rFonts w:ascii="Times New Roman" w:cs="Times New Roman" w:eastAsia="Times New Roman" w:hAnsi="Times New Roman"/>
                <w:sz w:val="15"/>
                <w:szCs w:val="15"/>
                <w:color w:val="auto"/>
              </w:rPr>
              <w:t>property or to</w:t>
            </w:r>
          </w:p>
        </w:tc>
        <w:tc>
          <w:tcPr>
            <w:tcW w:w="6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820" w:type="dxa"/>
            <w:vAlign w:val="bottom"/>
            <w:gridSpan w:val="2"/>
          </w:tcPr>
          <w:p>
            <w:pPr>
              <w:ind w:left="40"/>
              <w:spacing w:after="0" w:line="164" w:lineRule="exact"/>
              <w:rPr>
                <w:sz w:val="20"/>
                <w:szCs w:val="20"/>
                <w:color w:val="auto"/>
              </w:rPr>
            </w:pPr>
            <w:r>
              <w:rPr>
                <w:rFonts w:ascii="Times New Roman" w:cs="Times New Roman" w:eastAsia="Times New Roman" w:hAnsi="Times New Roman"/>
                <w:sz w:val="15"/>
                <w:szCs w:val="15"/>
                <w:color w:val="auto"/>
              </w:rPr>
              <w:t>(person with whom signer contracted) on the real property of</w:t>
            </w:r>
          </w:p>
        </w:tc>
        <w:tc>
          <w:tcPr>
            <w:tcW w:w="28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tcPr>
          <w:p>
            <w:pPr>
              <w:spacing w:after="0"/>
              <w:rPr>
                <w:sz w:val="14"/>
                <w:szCs w:val="14"/>
                <w:color w:val="auto"/>
              </w:rPr>
            </w:pPr>
          </w:p>
        </w:tc>
        <w:tc>
          <w:tcPr>
            <w:tcW w:w="1400" w:type="dxa"/>
            <w:vAlign w:val="bottom"/>
          </w:tcPr>
          <w:p>
            <w:pPr>
              <w:spacing w:after="0" w:line="164" w:lineRule="exact"/>
              <w:rPr>
                <w:sz w:val="20"/>
                <w:szCs w:val="20"/>
                <w:color w:val="auto"/>
              </w:rPr>
            </w:pPr>
            <w:r>
              <w:rPr>
                <w:rFonts w:ascii="Times New Roman" w:cs="Times New Roman" w:eastAsia="Times New Roman" w:hAnsi="Times New Roman"/>
                <w:sz w:val="15"/>
                <w:szCs w:val="15"/>
                <w:color w:val="auto"/>
              </w:rPr>
              <w:t>(owner) located at</w:t>
            </w:r>
          </w:p>
        </w:tc>
      </w:tr>
      <w:tr>
        <w:trPr>
          <w:trHeight w:val="164"/>
        </w:trPr>
        <w:tc>
          <w:tcPr>
            <w:tcW w:w="8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060" w:type="dxa"/>
            <w:vAlign w:val="bottom"/>
            <w:gridSpan w:val="4"/>
          </w:tcPr>
          <w:p>
            <w:pPr>
              <w:ind w:left="40"/>
              <w:spacing w:after="0" w:line="164" w:lineRule="exact"/>
              <w:rPr>
                <w:sz w:val="20"/>
                <w:szCs w:val="20"/>
                <w:color w:val="auto"/>
              </w:rPr>
            </w:pPr>
            <w:r>
              <w:rPr>
                <w:rFonts w:ascii="Times New Roman" w:cs="Times New Roman" w:eastAsia="Times New Roman" w:hAnsi="Times New Roman"/>
                <w:sz w:val="15"/>
                <w:szCs w:val="15"/>
                <w:color w:val="auto"/>
              </w:rPr>
              <w:t>(location) to the following extent:</w:t>
            </w:r>
          </w:p>
        </w:tc>
        <w:tc>
          <w:tcPr>
            <w:tcW w:w="24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4"/>
        </w:trPr>
        <w:tc>
          <w:tcPr>
            <w:tcW w:w="8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520" w:type="dxa"/>
            <w:vAlign w:val="bottom"/>
            <w:gridSpan w:val="7"/>
          </w:tcPr>
          <w:p>
            <w:pPr>
              <w:ind w:left="60"/>
              <w:spacing w:after="0" w:line="164" w:lineRule="exact"/>
              <w:rPr>
                <w:sz w:val="20"/>
                <w:szCs w:val="20"/>
                <w:color w:val="auto"/>
              </w:rPr>
            </w:pPr>
            <w:r>
              <w:rPr>
                <w:rFonts w:ascii="Times New Roman" w:cs="Times New Roman" w:eastAsia="Times New Roman" w:hAnsi="Times New Roman"/>
                <w:sz w:val="15"/>
                <w:szCs w:val="15"/>
                <w:color w:val="auto"/>
              </w:rPr>
              <w:t>(job description). The signer therefore waives and releases any mechanic's lien right, any right arising from a payment bond that complies with a state or</w:t>
            </w:r>
          </w:p>
        </w:tc>
      </w:tr>
    </w:tbl>
    <w:p>
      <w:pPr>
        <w:spacing w:after="0" w:line="8" w:lineRule="exact"/>
        <w:rPr>
          <w:sz w:val="20"/>
          <w:szCs w:val="20"/>
          <w:color w:val="auto"/>
        </w:rPr>
      </w:pPr>
    </w:p>
    <w:p>
      <w:pPr>
        <w:jc w:val="both"/>
        <w:ind w:left="140" w:right="200"/>
        <w:spacing w:after="0" w:line="292" w:lineRule="auto"/>
        <w:rPr>
          <w:sz w:val="20"/>
          <w:szCs w:val="20"/>
          <w:color w:val="auto"/>
        </w:rPr>
      </w:pPr>
      <w:r>
        <w:rPr>
          <w:rFonts w:ascii="Times New Roman" w:cs="Times New Roman" w:eastAsia="Times New Roman" w:hAnsi="Times New Roman"/>
          <w:sz w:val="15"/>
          <w:szCs w:val="15"/>
          <w:color w:val="auto"/>
        </w:rPr>
        <w:t>federal statute, any common law payment bond right, any claim for payment, and any rights under any similar ordinance, rule, or statute related to claim or payment rights for persons in the signer's position that the signer has on the above referenced project to the following extent:</w:t>
      </w:r>
    </w:p>
    <w:p>
      <w:pPr>
        <w:spacing w:after="0" w:line="133" w:lineRule="exact"/>
        <w:rPr>
          <w:sz w:val="20"/>
          <w:szCs w:val="20"/>
          <w:color w:val="auto"/>
        </w:rPr>
      </w:pPr>
    </w:p>
    <w:p>
      <w:pPr>
        <w:ind w:left="880"/>
        <w:spacing w:after="0"/>
        <w:tabs>
          <w:tab w:leader="none" w:pos="10640" w:val="left"/>
        </w:tabs>
        <w:rPr>
          <w:sz w:val="20"/>
          <w:szCs w:val="20"/>
          <w:color w:val="auto"/>
        </w:rPr>
      </w:pPr>
      <w:r>
        <w:rPr>
          <w:rFonts w:ascii="Times New Roman" w:cs="Times New Roman" w:eastAsia="Times New Roman" w:hAnsi="Times New Roman"/>
          <w:sz w:val="15"/>
          <w:szCs w:val="15"/>
          <w:color w:val="auto"/>
        </w:rPr>
        <w:t>This release covers a progress payment for all labor, services, equipment, or materials furnished to the property or to</w:t>
      </w:r>
      <w:r>
        <w:rPr>
          <w:sz w:val="20"/>
          <w:szCs w:val="20"/>
          <w:color w:val="auto"/>
        </w:rPr>
        <w:tab/>
      </w:r>
      <w:r>
        <w:rPr>
          <w:rFonts w:ascii="Times New Roman" w:cs="Times New Roman" w:eastAsia="Times New Roman" w:hAnsi="Times New Roman"/>
          <w:sz w:val="15"/>
          <w:szCs w:val="15"/>
          <w:color w:val="auto"/>
        </w:rPr>
        <w:t>(person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5153660</wp:posOffset>
            </wp:positionH>
            <wp:positionV relativeFrom="paragraph">
              <wp:posOffset>-4445</wp:posOffset>
            </wp:positionV>
            <wp:extent cx="1594485" cy="762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49">
                      <a:extLst>
                        <a:ext uri="{28A0092B-C50C-407E-A947-70E740481C1C}"/>
                      </a:extLst>
                    </a:blip>
                    <a:srcRect/>
                    <a:stretch>
                      <a:fillRect/>
                    </a:stretch>
                  </pic:blipFill>
                  <pic:spPr bwMode="auto">
                    <a:xfrm>
                      <a:off x="0" y="0"/>
                      <a:ext cx="1594485" cy="7620"/>
                    </a:xfrm>
                    <a:prstGeom prst="rect">
                      <a:avLst/>
                    </a:prstGeom>
                    <a:noFill/>
                  </pic:spPr>
                </pic:pic>
              </a:graphicData>
            </a:graphic>
          </wp:anchor>
        </w:drawing>
      </w:r>
    </w:p>
    <w:p>
      <w:pPr>
        <w:spacing w:after="0" w:line="6" w:lineRule="exact"/>
        <w:rPr>
          <w:sz w:val="20"/>
          <w:szCs w:val="20"/>
          <w:color w:val="auto"/>
        </w:rPr>
      </w:pPr>
    </w:p>
    <w:p>
      <w:pPr>
        <w:jc w:val="both"/>
        <w:ind w:left="140" w:right="220"/>
        <w:spacing w:after="0" w:line="272" w:lineRule="auto"/>
        <w:rPr>
          <w:sz w:val="20"/>
          <w:szCs w:val="20"/>
          <w:color w:val="auto"/>
        </w:rPr>
      </w:pPr>
      <w:r>
        <w:rPr>
          <w:rFonts w:ascii="Times New Roman" w:cs="Times New Roman" w:eastAsia="Times New Roman" w:hAnsi="Times New Roman"/>
          <w:sz w:val="15"/>
          <w:szCs w:val="15"/>
          <w:color w:val="auto"/>
        </w:rPr>
        <w:t>with whom signer contracted) as indicated in the attached statement(s) or progress payment request(s), except for unpaid retention, pending modifications and changes, or other items furnished.</w:t>
      </w:r>
    </w:p>
    <w:p>
      <w:pPr>
        <w:spacing w:after="0" w:line="135" w:lineRule="exact"/>
        <w:rPr>
          <w:sz w:val="20"/>
          <w:szCs w:val="20"/>
          <w:color w:val="auto"/>
        </w:rPr>
      </w:pPr>
    </w:p>
    <w:p>
      <w:pPr>
        <w:jc w:val="both"/>
        <w:ind w:left="140" w:right="200" w:firstLine="751"/>
        <w:spacing w:after="0" w:line="274" w:lineRule="auto"/>
        <w:rPr>
          <w:sz w:val="20"/>
          <w:szCs w:val="20"/>
          <w:color w:val="auto"/>
        </w:rPr>
      </w:pPr>
      <w:r>
        <w:rPr>
          <w:rFonts w:ascii="Times New Roman" w:cs="Times New Roman" w:eastAsia="Times New Roman" w:hAnsi="Times New Roman"/>
          <w:sz w:val="15"/>
          <w:szCs w:val="15"/>
          <w:color w:val="auto"/>
        </w:rPr>
        <w:t>The signer warrants that the signer has already paid or will use the funds received from this progress payment to promptly pay in full all of the signer's laborers, subcontractors, materialmen, and suppliers for all work, materials, equipment, or services provided for or to the above referenced project in regard to the attached statement(s) or progress payment request(s).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98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5"/>
                <w:szCs w:val="15"/>
                <w:color w:val="auto"/>
              </w:rPr>
              <w:t xml:space="preserve">Company </w:t>
            </w:r>
            <w:r>
              <w:rPr>
                <w:rFonts w:ascii="Times New Roman" w:cs="Times New Roman" w:eastAsia="Times New Roman" w:hAnsi="Times New Roman"/>
                <w:sz w:val="15"/>
                <w:szCs w:val="15"/>
                <w:i w:val="1"/>
                <w:iCs w:val="1"/>
                <w:color w:val="auto"/>
              </w:rPr>
              <w:t>[insert legal name of entity above]</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980" w:type="dxa"/>
            <w:vAlign w:val="bottom"/>
            <w:gridSpan w:val="4"/>
          </w:tcPr>
          <w:p>
            <w:pPr>
              <w:ind w:left="40"/>
              <w:spacing w:after="0"/>
              <w:rPr>
                <w:sz w:val="20"/>
                <w:szCs w:val="20"/>
                <w:color w:val="auto"/>
              </w:rPr>
            </w:pPr>
            <w:r>
              <w:rPr>
                <w:rFonts w:ascii="Times New Roman" w:cs="Times New Roman" w:eastAsia="Times New Roman" w:hAnsi="Times New Roman"/>
                <w:sz w:val="15"/>
                <w:szCs w:val="15"/>
                <w:color w:val="auto"/>
              </w:rPr>
              <w:t>By:</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Name:</w:t>
            </w:r>
          </w:p>
        </w:tc>
        <w:tc>
          <w:tcPr>
            <w:tcW w:w="1440" w:type="dxa"/>
            <w:vAlign w:val="bottom"/>
            <w:tcBorders>
              <w:top w:val="single" w:sz="8" w:color="auto"/>
              <w:bottom w:val="single" w:sz="8" w:color="auto"/>
            </w:tcBorders>
          </w:tcPr>
          <w:p>
            <w:pPr>
              <w:spacing w:after="0"/>
              <w:rPr>
                <w:sz w:val="16"/>
                <w:szCs w:val="16"/>
                <w:color w:val="auto"/>
              </w:rPr>
            </w:pPr>
          </w:p>
        </w:tc>
        <w:tc>
          <w:tcPr>
            <w:tcW w:w="272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240" w:type="dxa"/>
            <w:vAlign w:val="bottom"/>
            <w:gridSpan w:val="9"/>
            <w:vMerge w:val="restart"/>
          </w:tcPr>
          <w:p>
            <w:pPr>
              <w:spacing w:after="0"/>
              <w:rPr>
                <w:sz w:val="20"/>
                <w:szCs w:val="20"/>
                <w:color w:val="auto"/>
              </w:rPr>
            </w:pPr>
            <w:r>
              <w:rPr>
                <w:rFonts w:ascii="Times New Roman" w:cs="Times New Roman" w:eastAsia="Times New Roman" w:hAnsi="Times New Roman"/>
                <w:sz w:val="15"/>
                <w:szCs w:val="15"/>
                <w:color w:val="auto"/>
              </w:rPr>
              <w:t>STATE OF TEXAS</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Title:</w:t>
            </w:r>
          </w:p>
        </w:tc>
        <w:tc>
          <w:tcPr>
            <w:tcW w:w="14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58"/>
        </w:trPr>
        <w:tc>
          <w:tcPr>
            <w:tcW w:w="4240" w:type="dxa"/>
            <w:vAlign w:val="bottom"/>
            <w:gridSpan w:val="9"/>
            <w:vMerge w:val="continue"/>
          </w:tcPr>
          <w:p>
            <w:pPr>
              <w:spacing w:after="0"/>
              <w:rPr>
                <w:sz w:val="24"/>
                <w:szCs w:val="24"/>
                <w:color w:val="auto"/>
              </w:rPr>
            </w:pPr>
          </w:p>
        </w:tc>
        <w:tc>
          <w:tcPr>
            <w:tcW w:w="9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4240" w:type="dxa"/>
            <w:vAlign w:val="bottom"/>
            <w:gridSpan w:val="9"/>
          </w:tcPr>
          <w:p>
            <w:pPr>
              <w:spacing w:after="0"/>
              <w:rPr>
                <w:sz w:val="20"/>
                <w:szCs w:val="20"/>
                <w:color w:val="auto"/>
              </w:rPr>
            </w:pPr>
            <w:r>
              <w:rPr>
                <w:rFonts w:ascii="Times New Roman" w:cs="Times New Roman" w:eastAsia="Times New Roman" w:hAnsi="Times New Roman"/>
                <w:sz w:val="15"/>
                <w:szCs w:val="15"/>
                <w:color w:val="auto"/>
              </w:rPr>
              <w:t>COUNTY OF</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14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5"/>
                <w:szCs w:val="15"/>
                <w:color w:val="auto"/>
              </w:rPr>
              <w:t xml:space="preserve">, 20  </w:t>
            </w:r>
            <w:r>
              <w:rPr>
                <w:rFonts w:ascii="Times New Roman" w:cs="Times New Roman" w:eastAsia="Times New Roman" w:hAnsi="Times New Roman"/>
                <w:sz w:val="15"/>
                <w:szCs w:val="15"/>
                <w:i w:val="1"/>
                <w:iCs w:val="1"/>
                <w:color w:val="auto"/>
              </w:rPr>
              <w:t>[Insert Date]</w:t>
            </w:r>
          </w:p>
        </w:tc>
        <w:tc>
          <w:tcPr>
            <w:tcW w:w="92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960" w:type="dxa"/>
            <w:vAlign w:val="bottom"/>
            <w:gridSpan w:val="3"/>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20" w:type="dxa"/>
            <w:vAlign w:val="bottom"/>
            <w:gridSpan w:val="4"/>
            <w:vMerge w:val="restart"/>
          </w:tcPr>
          <w:p>
            <w:pPr>
              <w:ind w:left="40"/>
              <w:spacing w:after="0"/>
              <w:rPr>
                <w:sz w:val="20"/>
                <w:szCs w:val="20"/>
                <w:color w:val="auto"/>
              </w:rPr>
            </w:pPr>
            <w:r>
              <w:rPr>
                <w:rFonts w:ascii="Times New Roman" w:cs="Times New Roman" w:eastAsia="Times New Roman" w:hAnsi="Times New Roman"/>
                <w:sz w:val="15"/>
                <w:szCs w:val="15"/>
                <w:i w:val="1"/>
                <w:iCs w:val="1"/>
                <w:color w:val="auto"/>
              </w:rPr>
              <w:t>[insert name of person signing this instrument]</w:t>
            </w:r>
            <w:r>
              <w:rPr>
                <w:rFonts w:ascii="Times New Roman" w:cs="Times New Roman" w:eastAsia="Times New Roman" w:hAnsi="Times New Roman"/>
                <w:sz w:val="15"/>
                <w:szCs w:val="15"/>
                <w:color w:val="auto"/>
              </w:rPr>
              <w:t>,</w:t>
            </w:r>
          </w:p>
        </w:tc>
        <w:tc>
          <w:tcPr>
            <w:tcW w:w="27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3200" w:type="dxa"/>
            <w:vAlign w:val="bottom"/>
            <w:gridSpan w:val="8"/>
          </w:tcPr>
          <w:p>
            <w:pPr>
              <w:ind w:left="140"/>
              <w:spacing w:after="0"/>
              <w:rPr>
                <w:sz w:val="20"/>
                <w:szCs w:val="20"/>
                <w:color w:val="auto"/>
              </w:rPr>
            </w:pPr>
            <w:r>
              <w:rPr>
                <w:rFonts w:ascii="Times New Roman" w:cs="Times New Roman" w:eastAsia="Times New Roman" w:hAnsi="Times New Roman"/>
                <w:sz w:val="15"/>
                <w:szCs w:val="15"/>
                <w:color w:val="auto"/>
              </w:rPr>
              <w:t>This instrument was acknowledged before me by</w:t>
            </w:r>
          </w:p>
        </w:tc>
        <w:tc>
          <w:tcPr>
            <w:tcW w:w="10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20" w:type="dxa"/>
            <w:vAlign w:val="bottom"/>
            <w:gridSpan w:val="4"/>
            <w:vMerge w:val="continue"/>
          </w:tcPr>
          <w:p>
            <w:pPr>
              <w:spacing w:after="0"/>
              <w:rPr>
                <w:sz w:val="24"/>
                <w:szCs w:val="24"/>
                <w:color w:val="auto"/>
              </w:rPr>
            </w:pPr>
          </w:p>
        </w:tc>
        <w:tc>
          <w:tcPr>
            <w:tcW w:w="2720" w:type="dxa"/>
            <w:vAlign w:val="bottom"/>
            <w:tcBorders>
              <w:bottom w:val="single" w:sz="8" w:color="auto"/>
            </w:tcBorders>
            <w:vMerge w:val="continue"/>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3140" w:type="dxa"/>
            <w:vAlign w:val="bottom"/>
            <w:gridSpan w:val="7"/>
          </w:tcPr>
          <w:p>
            <w:pPr>
              <w:ind w:left="140"/>
              <w:spacing w:after="0" w:line="164" w:lineRule="exact"/>
              <w:rPr>
                <w:sz w:val="20"/>
                <w:szCs w:val="20"/>
                <w:color w:val="auto"/>
              </w:rPr>
            </w:pPr>
            <w:r>
              <w:rPr>
                <w:rFonts w:ascii="Times New Roman" w:cs="Times New Roman" w:eastAsia="Times New Roman" w:hAnsi="Times New Roman"/>
                <w:sz w:val="15"/>
                <w:szCs w:val="15"/>
                <w:i w:val="1"/>
                <w:iCs w:val="1"/>
                <w:color w:val="auto"/>
              </w:rPr>
              <w:t xml:space="preserve">[insert title of person signing this instrument] </w:t>
            </w:r>
            <w:r>
              <w:rPr>
                <w:rFonts w:ascii="Times New Roman" w:cs="Times New Roman" w:eastAsia="Times New Roman" w:hAnsi="Times New Roman"/>
                <w:sz w:val="15"/>
                <w:szCs w:val="15"/>
                <w:color w:val="auto"/>
              </w:rPr>
              <w:t>of</w:t>
            </w:r>
          </w:p>
        </w:tc>
        <w:tc>
          <w:tcPr>
            <w:tcW w:w="1100" w:type="dxa"/>
            <w:vAlign w:val="bottom"/>
            <w:tcBorders>
              <w:bottom w:val="single" w:sz="8" w:color="auto"/>
            </w:tcBorders>
            <w:gridSpan w:val="2"/>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900" w:type="dxa"/>
            <w:vAlign w:val="bottom"/>
            <w:gridSpan w:val="3"/>
          </w:tcPr>
          <w:p>
            <w:pPr>
              <w:spacing w:after="0" w:line="164" w:lineRule="exact"/>
              <w:rPr>
                <w:sz w:val="20"/>
                <w:szCs w:val="20"/>
                <w:color w:val="auto"/>
              </w:rPr>
            </w:pPr>
            <w:r>
              <w:rPr>
                <w:rFonts w:ascii="Times New Roman" w:cs="Times New Roman" w:eastAsia="Times New Roman" w:hAnsi="Times New Roman"/>
                <w:sz w:val="15"/>
                <w:szCs w:val="15"/>
                <w:i w:val="1"/>
                <w:iCs w:val="1"/>
                <w:color w:val="auto"/>
              </w:rPr>
              <w:t>[insert legal name of original contractor or subcontractor]</w:t>
            </w:r>
            <w:r>
              <w:rPr>
                <w:rFonts w:ascii="Times New Roman" w:cs="Times New Roman" w:eastAsia="Times New Roman" w:hAnsi="Times New Roman"/>
                <w:sz w:val="15"/>
                <w:szCs w:val="15"/>
                <w:color w:val="auto"/>
              </w:rPr>
              <w:t>, a</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5"/>
          <w:szCs w:val="15"/>
          <w:i w:val="1"/>
          <w:iCs w:val="1"/>
          <w:color w:val="auto"/>
        </w:rPr>
        <w:t>[insert type of entity: corporation, partnership, limited partnership, limited liability company and state of formation or incorporation - example: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-1905</wp:posOffset>
            </wp:positionV>
            <wp:extent cx="1170940" cy="762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50">
                      <a:extLst>
                        <a:ext uri="{28A0092B-C50C-407E-A947-70E740481C1C}"/>
                      </a:extLst>
                    </a:blip>
                    <a:srcRect/>
                    <a:stretch>
                      <a:fillRect/>
                    </a:stretch>
                  </pic:blipFill>
                  <pic:spPr bwMode="auto">
                    <a:xfrm>
                      <a:off x="0" y="0"/>
                      <a:ext cx="1170940" cy="7620"/>
                    </a:xfrm>
                    <a:prstGeom prst="rect">
                      <a:avLst/>
                    </a:prstGeom>
                    <a:noFill/>
                  </pic:spPr>
                </pic:pic>
              </a:graphicData>
            </a:graphic>
          </wp:anchor>
        </w:drawing>
      </w:r>
    </w:p>
    <w:p>
      <w:pPr>
        <w:spacing w:after="0" w:line="1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i w:val="1"/>
          <w:iCs w:val="1"/>
          <w:color w:val="auto"/>
        </w:rPr>
        <w:t>Texas limited liability company"]</w:t>
      </w:r>
      <w:r>
        <w:rPr>
          <w:rFonts w:ascii="Times New Roman" w:cs="Times New Roman" w:eastAsia="Times New Roman" w:hAnsi="Times New Roman"/>
          <w:sz w:val="15"/>
          <w:szCs w:val="15"/>
          <w:color w:val="auto"/>
        </w:rPr>
        <w:t>, on behalf of said</w:t>
      </w:r>
    </w:p>
    <w:p>
      <w:pPr>
        <w:spacing w:after="0" w:line="1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i w:val="1"/>
          <w:iCs w:val="1"/>
          <w:color w:val="auto"/>
        </w:rPr>
        <w:t>[insert type of entity: corporation, partnership, limited partnership, limited liability company]</w:t>
      </w: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2866390</wp:posOffset>
            </wp:positionH>
            <wp:positionV relativeFrom="paragraph">
              <wp:posOffset>262890</wp:posOffset>
            </wp:positionV>
            <wp:extent cx="4274185" cy="762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51">
                      <a:extLst>
                        <a:ext uri="{28A0092B-C50C-407E-A947-70E740481C1C}"/>
                      </a:extLst>
                    </a:blip>
                    <a:srcRect/>
                    <a:stretch>
                      <a:fillRect/>
                    </a:stretch>
                  </pic:blipFill>
                  <pic:spPr bwMode="auto">
                    <a:xfrm>
                      <a:off x="0" y="0"/>
                      <a:ext cx="4274185" cy="7620"/>
                    </a:xfrm>
                    <a:prstGeom prst="rect">
                      <a:avLst/>
                    </a:prstGeom>
                    <a:noFill/>
                  </pic:spPr>
                </pic:pic>
              </a:graphicData>
            </a:graphic>
          </wp:anchor>
        </w:drawing>
        <w:drawing>
          <wp:anchor simplePos="0" relativeHeight="251657728" behindDoc="1" locked="0" layoutInCell="0" allowOverlap="1">
            <wp:simplePos x="0" y="0"/>
            <wp:positionH relativeFrom="column">
              <wp:posOffset>87630</wp:posOffset>
            </wp:positionH>
            <wp:positionV relativeFrom="paragraph">
              <wp:posOffset>-13970</wp:posOffset>
            </wp:positionV>
            <wp:extent cx="827405" cy="762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52">
                      <a:extLst>
                        <a:ext uri="{28A0092B-C50C-407E-A947-70E740481C1C}"/>
                      </a:extLst>
                    </a:blip>
                    <a:srcRect/>
                    <a:stretch>
                      <a:fillRect/>
                    </a:stretch>
                  </pic:blipFill>
                  <pic:spPr bwMode="auto">
                    <a:xfrm>
                      <a:off x="0" y="0"/>
                      <a:ext cx="827405" cy="762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5"/>
          <w:szCs w:val="15"/>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3538220</wp:posOffset>
            </wp:positionH>
            <wp:positionV relativeFrom="paragraph">
              <wp:posOffset>31115</wp:posOffset>
            </wp:positionV>
            <wp:extent cx="3601720" cy="762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53">
                      <a:extLst>
                        <a:ext uri="{28A0092B-C50C-407E-A947-70E740481C1C}"/>
                      </a:extLst>
                    </a:blip>
                    <a:srcRect/>
                    <a:stretch>
                      <a:fillRect/>
                    </a:stretch>
                  </pic:blipFill>
                  <pic:spPr bwMode="auto">
                    <a:xfrm>
                      <a:off x="0" y="0"/>
                      <a:ext cx="3601720" cy="7620"/>
                    </a:xfrm>
                    <a:prstGeom prst="rect">
                      <a:avLst/>
                    </a:prstGeom>
                    <a:noFill/>
                  </pic:spPr>
                </pic:pic>
              </a:graphicData>
            </a:graphic>
          </wp:anchor>
        </w:drawing>
      </w:r>
    </w:p>
    <w:p>
      <w:pPr>
        <w:spacing w:after="0" w:line="3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5"/>
          <w:szCs w:val="15"/>
          <w:color w:val="auto"/>
        </w:rPr>
        <w:t>Notary Public, State of Texas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D-1, Texas Statutory Lien Waiver Forms</w:t>
      </w:r>
      <w:r>
        <w:rPr>
          <w:rFonts w:ascii="Times New Roman" w:cs="Times New Roman" w:eastAsia="Times New Roman" w:hAnsi="Times New Roman"/>
          <w:sz w:val="18"/>
          <w:szCs w:val="18"/>
          <w:color w:val="auto"/>
        </w:rPr>
        <w:t xml:space="preserve"> –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630555</wp:posOffset>
            </wp:positionV>
            <wp:extent cx="7178040" cy="4000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54">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340"/>
          </w:cols>
          <w:pgMar w:left="320" w:top="1317" w:right="239" w:bottom="1440" w:gutter="0" w:footer="0" w:header="0"/>
        </w:sectPr>
      </w:pPr>
    </w:p>
    <w:bookmarkStart w:id="210" w:name="page211"/>
    <w:bookmarkEnd w:id="210"/>
    <w:p>
      <w:pPr>
        <w:ind w:left="4520"/>
        <w:spacing w:after="0"/>
        <w:rPr>
          <w:sz w:val="20"/>
          <w:szCs w:val="20"/>
          <w:color w:val="auto"/>
        </w:rPr>
      </w:pPr>
      <w:r>
        <w:rPr>
          <w:rFonts w:ascii="Times New Roman" w:cs="Times New Roman" w:eastAsia="Times New Roman" w:hAnsi="Times New Roman"/>
          <w:sz w:val="15"/>
          <w:szCs w:val="15"/>
          <w:color w:val="auto"/>
        </w:rPr>
        <w:t>My commission expires: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5284470</wp:posOffset>
            </wp:positionH>
            <wp:positionV relativeFrom="paragraph">
              <wp:posOffset>31115</wp:posOffset>
            </wp:positionV>
            <wp:extent cx="1855470" cy="762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55">
                      <a:extLst>
                        <a:ext uri="{28A0092B-C50C-407E-A947-70E740481C1C}"/>
                      </a:extLst>
                    </a:blip>
                    <a:srcRect/>
                    <a:stretch>
                      <a:fillRect/>
                    </a:stretch>
                  </pic:blipFill>
                  <pic:spPr bwMode="auto">
                    <a:xfrm>
                      <a:off x="0" y="0"/>
                      <a:ext cx="1855470" cy="7620"/>
                    </a:xfrm>
                    <a:prstGeom prst="rect">
                      <a:avLst/>
                    </a:prstGeom>
                    <a:noFill/>
                  </pic:spPr>
                </pic:pic>
              </a:graphicData>
            </a:graphic>
          </wp:anchor>
        </w:drawing>
      </w:r>
    </w:p>
    <w:p>
      <w:pPr>
        <w:spacing w:after="0" w:line="21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5"/>
          <w:szCs w:val="15"/>
          <w:b w:val="1"/>
          <w:bCs w:val="1"/>
          <w:u w:val="single" w:color="auto"/>
          <w:color w:val="auto"/>
        </w:rPr>
        <w:t>CONDITIONAL LIEN WAIVER AND RELEASE ON FINAL PAYMENT</w:t>
      </w:r>
    </w:p>
    <w:p>
      <w:pPr>
        <w:spacing w:after="0" w:line="188" w:lineRule="exact"/>
        <w:rPr>
          <w:sz w:val="20"/>
          <w:szCs w:val="20"/>
          <w:color w:val="auto"/>
        </w:rPr>
      </w:pPr>
    </w:p>
    <w:p>
      <w:pPr>
        <w:ind w:left="880"/>
        <w:spacing w:after="0"/>
        <w:tabs>
          <w:tab w:leader="none" w:pos="5680" w:val="left"/>
          <w:tab w:leader="none" w:pos="8600" w:val="left"/>
          <w:tab w:leader="none" w:pos="10700" w:val="left"/>
        </w:tabs>
        <w:rPr>
          <w:sz w:val="20"/>
          <w:szCs w:val="20"/>
          <w:color w:val="auto"/>
        </w:rPr>
      </w:pPr>
      <w:r>
        <w:rPr>
          <w:rFonts w:ascii="Times New Roman" w:cs="Times New Roman" w:eastAsia="Times New Roman" w:hAnsi="Times New Roman"/>
          <w:sz w:val="15"/>
          <w:szCs w:val="15"/>
          <w:color w:val="auto"/>
        </w:rPr>
        <w:t>On receipt by the signer of this document of a check from</w:t>
      </w:r>
      <w:r>
        <w:rPr>
          <w:sz w:val="20"/>
          <w:szCs w:val="20"/>
          <w:color w:val="auto"/>
        </w:rPr>
        <w:tab/>
      </w:r>
      <w:r>
        <w:rPr>
          <w:rFonts w:ascii="Times New Roman" w:cs="Times New Roman" w:eastAsia="Times New Roman" w:hAnsi="Times New Roman"/>
          <w:sz w:val="15"/>
          <w:szCs w:val="15"/>
          <w:color w:val="auto"/>
        </w:rPr>
        <w:t>(maker of check) in the sum of $</w:t>
      </w:r>
      <w:r>
        <w:rPr>
          <w:sz w:val="20"/>
          <w:szCs w:val="20"/>
          <w:color w:val="auto"/>
        </w:rPr>
        <w:tab/>
      </w:r>
      <w:r>
        <w:rPr>
          <w:rFonts w:ascii="Times New Roman" w:cs="Times New Roman" w:eastAsia="Times New Roman" w:hAnsi="Times New Roman"/>
          <w:sz w:val="15"/>
          <w:szCs w:val="15"/>
          <w:color w:val="auto"/>
        </w:rPr>
        <w:t>payable to</w:t>
      </w:r>
      <w:r>
        <w:rPr>
          <w:sz w:val="20"/>
          <w:szCs w:val="20"/>
          <w:color w:val="auto"/>
        </w:rPr>
        <w:tab/>
      </w:r>
      <w:r>
        <w:rPr>
          <w:rFonts w:ascii="Times New Roman" w:cs="Times New Roman" w:eastAsia="Times New Roman" w:hAnsi="Times New Roman"/>
          <w:sz w:val="15"/>
          <w:szCs w:val="15"/>
          <w:color w:val="auto"/>
        </w:rPr>
        <w:t>(payee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2847975</wp:posOffset>
            </wp:positionH>
            <wp:positionV relativeFrom="paragraph">
              <wp:posOffset>-4445</wp:posOffset>
            </wp:positionV>
            <wp:extent cx="752475" cy="762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56">
                      <a:extLst>
                        <a:ext uri="{28A0092B-C50C-407E-A947-70E740481C1C}"/>
                      </a:extLst>
                    </a:blip>
                    <a:srcRect/>
                    <a:stretch>
                      <a:fillRect/>
                    </a:stretch>
                  </pic:blipFill>
                  <pic:spPr bwMode="auto">
                    <a:xfrm>
                      <a:off x="0" y="0"/>
                      <a:ext cx="752475" cy="7620"/>
                    </a:xfrm>
                    <a:prstGeom prst="rect">
                      <a:avLst/>
                    </a:prstGeom>
                    <a:noFill/>
                  </pic:spPr>
                </pic:pic>
              </a:graphicData>
            </a:graphic>
          </wp:anchor>
        </w:drawing>
        <w:drawing>
          <wp:anchor simplePos="0" relativeHeight="251657728" behindDoc="1" locked="0" layoutInCell="0" allowOverlap="1">
            <wp:simplePos x="0" y="0"/>
            <wp:positionH relativeFrom="column">
              <wp:posOffset>4898390</wp:posOffset>
            </wp:positionH>
            <wp:positionV relativeFrom="paragraph">
              <wp:posOffset>-4445</wp:posOffset>
            </wp:positionV>
            <wp:extent cx="1882775" cy="762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57">
                      <a:extLst>
                        <a:ext uri="{28A0092B-C50C-407E-A947-70E740481C1C}"/>
                      </a:extLst>
                    </a:blip>
                    <a:srcRect/>
                    <a:stretch>
                      <a:fillRect/>
                    </a:stretch>
                  </pic:blipFill>
                  <pic:spPr bwMode="auto">
                    <a:xfrm>
                      <a:off x="0" y="0"/>
                      <a:ext cx="1882775" cy="7620"/>
                    </a:xfrm>
                    <a:prstGeom prst="rect">
                      <a:avLst/>
                    </a:prstGeom>
                    <a:noFill/>
                  </pic:spPr>
                </pic:pic>
              </a:graphicData>
            </a:graphic>
          </wp:anchor>
        </w:drawing>
      </w:r>
    </w:p>
    <w:p>
      <w:pPr>
        <w:spacing w:after="0" w:line="6" w:lineRule="exact"/>
        <w:rPr>
          <w:sz w:val="20"/>
          <w:szCs w:val="20"/>
          <w:color w:val="auto"/>
        </w:rPr>
      </w:pPr>
    </w:p>
    <w:p>
      <w:pPr>
        <w:jc w:val="both"/>
        <w:ind w:left="140" w:right="200"/>
        <w:spacing w:after="0" w:line="256" w:lineRule="auto"/>
        <w:rPr>
          <w:sz w:val="20"/>
          <w:szCs w:val="20"/>
          <w:color w:val="auto"/>
        </w:rPr>
      </w:pPr>
      <w:r>
        <w:rPr>
          <w:rFonts w:ascii="Times New Roman" w:cs="Times New Roman" w:eastAsia="Times New Roman" w:hAnsi="Times New Roman"/>
          <w:sz w:val="15"/>
          <w:szCs w:val="15"/>
          <w:color w:val="auto"/>
        </w:rPr>
        <w:t>or payees of check) and when the check has been properly endorsed and has been paid by the bank on which it is drawn, this document becomes effective to release any mechanic's lien right, any right arising from a payment bond that complies with a state or federal statute, any common law payment bond right, any claim for payment, and any rights under any similar ordinance, rule, or statute related to claim or payment rights for persons in the signer's position that the signer has on the property of</w:t>
      </w:r>
    </w:p>
    <w:tbl>
      <w:tblPr>
        <w:tblLayout w:type="fixed"/>
        <w:tblInd w:w="140" w:type="dxa"/>
        <w:tblCellMar>
          <w:top w:w="0" w:type="dxa"/>
          <w:left w:w="0" w:type="dxa"/>
          <w:bottom w:w="0" w:type="dxa"/>
          <w:right w:w="0" w:type="dxa"/>
        </w:tblCellMar>
      </w:tblPr>
      <w:tr>
        <w:trPr>
          <w:trHeight w:val="150"/>
        </w:trPr>
        <w:tc>
          <w:tcPr>
            <w:tcW w:w="1680" w:type="dxa"/>
            <w:vAlign w:val="bottom"/>
            <w:tcBorders>
              <w:bottom w:val="single" w:sz="8" w:color="auto"/>
            </w:tcBorders>
          </w:tcPr>
          <w:p>
            <w:pPr>
              <w:spacing w:after="0"/>
              <w:rPr>
                <w:sz w:val="13"/>
                <w:szCs w:val="13"/>
                <w:color w:val="auto"/>
              </w:rPr>
            </w:pPr>
          </w:p>
        </w:tc>
        <w:tc>
          <w:tcPr>
            <w:tcW w:w="1200" w:type="dxa"/>
            <w:vAlign w:val="bottom"/>
          </w:tcPr>
          <w:p>
            <w:pPr>
              <w:ind w:left="40"/>
              <w:spacing w:after="0" w:line="150" w:lineRule="exact"/>
              <w:rPr>
                <w:sz w:val="20"/>
                <w:szCs w:val="20"/>
                <w:color w:val="auto"/>
              </w:rPr>
            </w:pPr>
            <w:r>
              <w:rPr>
                <w:rFonts w:ascii="Times New Roman" w:cs="Times New Roman" w:eastAsia="Times New Roman" w:hAnsi="Times New Roman"/>
                <w:sz w:val="15"/>
                <w:szCs w:val="15"/>
                <w:color w:val="auto"/>
              </w:rPr>
              <w:t>(owner) located at</w:t>
            </w:r>
          </w:p>
        </w:tc>
        <w:tc>
          <w:tcPr>
            <w:tcW w:w="1880" w:type="dxa"/>
            <w:vAlign w:val="bottom"/>
            <w:tcBorders>
              <w:bottom w:val="single" w:sz="8" w:color="auto"/>
            </w:tcBorders>
          </w:tcPr>
          <w:p>
            <w:pPr>
              <w:spacing w:after="0"/>
              <w:rPr>
                <w:sz w:val="13"/>
                <w:szCs w:val="13"/>
                <w:color w:val="auto"/>
              </w:rPr>
            </w:pPr>
          </w:p>
        </w:tc>
        <w:tc>
          <w:tcPr>
            <w:tcW w:w="3920" w:type="dxa"/>
            <w:vAlign w:val="bottom"/>
          </w:tcPr>
          <w:p>
            <w:pPr>
              <w:ind w:left="40"/>
              <w:spacing w:after="0" w:line="150" w:lineRule="exact"/>
              <w:rPr>
                <w:sz w:val="20"/>
                <w:szCs w:val="20"/>
                <w:color w:val="auto"/>
              </w:rPr>
            </w:pPr>
            <w:r>
              <w:rPr>
                <w:rFonts w:ascii="Times New Roman" w:cs="Times New Roman" w:eastAsia="Times New Roman" w:hAnsi="Times New Roman"/>
                <w:sz w:val="15"/>
                <w:szCs w:val="15"/>
                <w:color w:val="auto"/>
              </w:rPr>
              <w:t>(location) to the following extent:</w:t>
            </w:r>
          </w:p>
        </w:tc>
        <w:tc>
          <w:tcPr>
            <w:tcW w:w="148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64"/>
        </w:trPr>
        <w:tc>
          <w:tcPr>
            <w:tcW w:w="1680" w:type="dxa"/>
            <w:vAlign w:val="bottom"/>
            <w:tcBorders>
              <w:bottom w:val="single" w:sz="8" w:color="auto"/>
            </w:tcBorders>
          </w:tcPr>
          <w:p>
            <w:pPr>
              <w:spacing w:after="0"/>
              <w:rPr>
                <w:sz w:val="14"/>
                <w:szCs w:val="14"/>
                <w:color w:val="auto"/>
              </w:rPr>
            </w:pPr>
          </w:p>
        </w:tc>
        <w:tc>
          <w:tcPr>
            <w:tcW w:w="1200" w:type="dxa"/>
            <w:vAlign w:val="bottom"/>
          </w:tcPr>
          <w:p>
            <w:pPr>
              <w:ind w:left="40"/>
              <w:spacing w:after="0" w:line="164" w:lineRule="exact"/>
              <w:rPr>
                <w:sz w:val="20"/>
                <w:szCs w:val="20"/>
                <w:color w:val="auto"/>
              </w:rPr>
            </w:pPr>
            <w:r>
              <w:rPr>
                <w:rFonts w:ascii="Times New Roman" w:cs="Times New Roman" w:eastAsia="Times New Roman" w:hAnsi="Times New Roman"/>
                <w:sz w:val="15"/>
                <w:szCs w:val="15"/>
                <w:color w:val="auto"/>
              </w:rPr>
              <w:t>(job description).</w:t>
            </w:r>
          </w:p>
        </w:tc>
        <w:tc>
          <w:tcPr>
            <w:tcW w:w="188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48"/>
        </w:trPr>
        <w:tc>
          <w:tcPr>
            <w:tcW w:w="8680" w:type="dxa"/>
            <w:vAlign w:val="bottom"/>
            <w:gridSpan w:val="4"/>
          </w:tcPr>
          <w:p>
            <w:pPr>
              <w:ind w:left="740"/>
              <w:spacing w:after="0"/>
              <w:rPr>
                <w:sz w:val="20"/>
                <w:szCs w:val="20"/>
                <w:color w:val="auto"/>
              </w:rPr>
            </w:pPr>
            <w:r>
              <w:rPr>
                <w:rFonts w:ascii="Times New Roman" w:cs="Times New Roman" w:eastAsia="Times New Roman" w:hAnsi="Times New Roman"/>
                <w:sz w:val="15"/>
                <w:szCs w:val="15"/>
                <w:color w:val="auto"/>
              </w:rPr>
              <w:t>This release covers the final payment to the signer for all labor, services, equipment, or materials furnished to the property or to</w:t>
            </w:r>
          </w:p>
        </w:tc>
        <w:tc>
          <w:tcPr>
            <w:tcW w:w="1480" w:type="dxa"/>
            <w:vAlign w:val="bottom"/>
            <w:tcBorders>
              <w:bottom w:val="single" w:sz="8" w:color="auto"/>
            </w:tcBorders>
          </w:tcPr>
          <w:p>
            <w:pPr>
              <w:spacing w:after="0"/>
              <w:rPr>
                <w:sz w:val="24"/>
                <w:szCs w:val="24"/>
                <w:color w:val="auto"/>
              </w:rPr>
            </w:pPr>
          </w:p>
        </w:tc>
        <w:tc>
          <w:tcPr>
            <w:tcW w:w="820" w:type="dxa"/>
            <w:vAlign w:val="bottom"/>
          </w:tcPr>
          <w:p>
            <w:pPr>
              <w:ind w:left="60"/>
              <w:spacing w:after="0"/>
              <w:rPr>
                <w:sz w:val="20"/>
                <w:szCs w:val="20"/>
                <w:color w:val="auto"/>
              </w:rPr>
            </w:pPr>
            <w:r>
              <w:rPr>
                <w:rFonts w:ascii="Times New Roman" w:cs="Times New Roman" w:eastAsia="Times New Roman" w:hAnsi="Times New Roman"/>
                <w:sz w:val="15"/>
                <w:szCs w:val="15"/>
                <w:color w:val="auto"/>
                <w:w w:val="98"/>
              </w:rPr>
              <w:t>(person with</w:t>
            </w:r>
          </w:p>
        </w:tc>
      </w:tr>
    </w:tbl>
    <w:p>
      <w:pPr>
        <w:spacing w:after="0" w:line="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color w:val="auto"/>
        </w:rPr>
        <w:t>whom signer contracted).</w:t>
      </w:r>
    </w:p>
    <w:p>
      <w:pPr>
        <w:spacing w:after="0" w:line="19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5"/>
          <w:szCs w:val="15"/>
          <w:color w:val="auto"/>
        </w:rPr>
        <w:t>Before any recipient of this document relies on this document, the recipient should verify evidence of payment to the signer.</w:t>
      </w:r>
    </w:p>
    <w:p>
      <w:pPr>
        <w:spacing w:after="0" w:line="196" w:lineRule="exact"/>
        <w:rPr>
          <w:sz w:val="20"/>
          <w:szCs w:val="20"/>
          <w:color w:val="auto"/>
        </w:rPr>
      </w:pPr>
    </w:p>
    <w:p>
      <w:pPr>
        <w:jc w:val="both"/>
        <w:ind w:left="140" w:right="220" w:firstLine="751"/>
        <w:spacing w:after="0" w:line="292" w:lineRule="auto"/>
        <w:rPr>
          <w:sz w:val="20"/>
          <w:szCs w:val="20"/>
          <w:color w:val="auto"/>
        </w:rPr>
      </w:pPr>
      <w:r>
        <w:rPr>
          <w:rFonts w:ascii="Times New Roman" w:cs="Times New Roman" w:eastAsia="Times New Roman" w:hAnsi="Times New Roman"/>
          <w:sz w:val="15"/>
          <w:szCs w:val="15"/>
          <w:color w:val="auto"/>
        </w:rPr>
        <w:t>The signer warrants that the signer has already paid or will use the funds received from this final payment to promptly pay in full all of the signer's laborers, subcontractors, materialmen, and suppliers for all work, materials, equipment, or services provided for or to the above referenced project up to the date of this waiver and release.</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w:t>
      </w:r>
    </w:p>
    <w:p>
      <w:pPr>
        <w:spacing w:after="0" w:line="31"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5"/>
          <w:szCs w:val="15"/>
          <w:color w:val="auto"/>
        </w:rPr>
        <w:t xml:space="preserve">Company </w:t>
      </w:r>
      <w:r>
        <w:rPr>
          <w:rFonts w:ascii="Times New Roman" w:cs="Times New Roman" w:eastAsia="Times New Roman" w:hAnsi="Times New Roman"/>
          <w:sz w:val="15"/>
          <w:szCs w:val="15"/>
          <w:i w:val="1"/>
          <w:iCs w:val="1"/>
          <w:color w:val="auto"/>
        </w:rPr>
        <w:t>[insert legal name of entity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-104140</wp:posOffset>
            </wp:positionV>
            <wp:extent cx="6721475" cy="762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58">
                      <a:extLst>
                        <a:ext uri="{28A0092B-C50C-407E-A947-70E740481C1C}"/>
                      </a:extLst>
                    </a:blip>
                    <a:srcRect/>
                    <a:stretch>
                      <a:fillRect/>
                    </a:stretch>
                  </pic:blipFill>
                  <pic:spPr bwMode="auto">
                    <a:xfrm>
                      <a:off x="0" y="0"/>
                      <a:ext cx="6721475" cy="7620"/>
                    </a:xfrm>
                    <a:prstGeom prst="rect">
                      <a:avLst/>
                    </a:prstGeom>
                    <a:noFill/>
                  </pic:spPr>
                </pic:pic>
              </a:graphicData>
            </a:graphic>
          </wp:anchor>
        </w:drawing>
      </w:r>
    </w:p>
    <w:p>
      <w:pPr>
        <w:spacing w:after="0" w:line="191"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5"/>
          <w:szCs w:val="15"/>
          <w:color w:val="auto"/>
        </w:rPr>
        <w:t>By:</w:t>
      </w:r>
    </w:p>
    <w:p>
      <w:pPr>
        <w:spacing w:after="0" w:line="35"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4509770</wp:posOffset>
            </wp:positionH>
            <wp:positionV relativeFrom="paragraph">
              <wp:posOffset>-106680</wp:posOffset>
            </wp:positionV>
            <wp:extent cx="2637155" cy="762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59">
                      <a:extLst>
                        <a:ext uri="{28A0092B-C50C-407E-A947-70E740481C1C}"/>
                      </a:extLst>
                    </a:blip>
                    <a:srcRect/>
                    <a:stretch>
                      <a:fillRect/>
                    </a:stretch>
                  </pic:blipFill>
                  <pic:spPr bwMode="auto">
                    <a:xfrm>
                      <a:off x="0" y="0"/>
                      <a:ext cx="2637155" cy="7620"/>
                    </a:xfrm>
                    <a:prstGeom prst="rect">
                      <a:avLst/>
                    </a:prstGeom>
                    <a:noFill/>
                  </pic:spPr>
                </pic:pic>
              </a:graphicData>
            </a:graphic>
          </wp:anchor>
        </w:drawing>
      </w:r>
    </w:p>
    <w:p>
      <w:pPr>
        <w:spacing w:after="0" w:line="15"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4509770</wp:posOffset>
            </wp:positionH>
            <wp:positionV relativeFrom="paragraph">
              <wp:posOffset>-106680</wp:posOffset>
            </wp:positionV>
            <wp:extent cx="2637155" cy="762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60">
                      <a:extLst>
                        <a:ext uri="{28A0092B-C50C-407E-A947-70E740481C1C}"/>
                      </a:extLst>
                    </a:blip>
                    <a:srcRect/>
                    <a:stretch>
                      <a:fillRect/>
                    </a:stretch>
                  </pic:blipFill>
                  <pic:spPr bwMode="auto">
                    <a:xfrm>
                      <a:off x="0" y="0"/>
                      <a:ext cx="2637155" cy="7620"/>
                    </a:xfrm>
                    <a:prstGeom prst="rect">
                      <a:avLst/>
                    </a:prstGeom>
                    <a:noFill/>
                  </pic:spPr>
                </pic:pic>
              </a:graphicData>
            </a:graphic>
          </wp:anchor>
        </w:drawing>
        <w:drawing>
          <wp:anchor simplePos="0" relativeHeight="251657728" behindDoc="1" locked="0" layoutInCell="0" allowOverlap="1">
            <wp:simplePos x="0" y="0"/>
            <wp:positionH relativeFrom="column">
              <wp:posOffset>4509770</wp:posOffset>
            </wp:positionH>
            <wp:positionV relativeFrom="paragraph">
              <wp:posOffset>24130</wp:posOffset>
            </wp:positionV>
            <wp:extent cx="2637155" cy="762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61">
                      <a:extLst>
                        <a:ext uri="{28A0092B-C50C-407E-A947-70E740481C1C}"/>
                      </a:extLst>
                    </a:blip>
                    <a:srcRect/>
                    <a:stretch>
                      <a:fillRect/>
                    </a:stretch>
                  </pic:blipFill>
                  <pic:spPr bwMode="auto">
                    <a:xfrm>
                      <a:off x="0" y="0"/>
                      <a:ext cx="26371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200" w:type="dxa"/>
            <w:vAlign w:val="bottom"/>
            <w:gridSpan w:val="7"/>
          </w:tcPr>
          <w:p>
            <w:pPr>
              <w:spacing w:after="0"/>
              <w:rPr>
                <w:sz w:val="20"/>
                <w:szCs w:val="20"/>
                <w:color w:val="auto"/>
              </w:rPr>
            </w:pPr>
            <w:r>
              <w:rPr>
                <w:rFonts w:ascii="Times New Roman" w:cs="Times New Roman" w:eastAsia="Times New Roman" w:hAnsi="Times New Roman"/>
                <w:sz w:val="15"/>
                <w:szCs w:val="15"/>
                <w:color w:val="auto"/>
              </w:rPr>
              <w:t>STATE OF TEXAS</w:t>
            </w:r>
          </w:p>
        </w:tc>
        <w:tc>
          <w:tcPr>
            <w:tcW w:w="1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COUNTY OF</w:t>
            </w:r>
          </w:p>
        </w:tc>
        <w:tc>
          <w:tcPr>
            <w:tcW w:w="1180" w:type="dxa"/>
            <w:vAlign w:val="bottom"/>
            <w:tcBorders>
              <w:bottom w:val="single" w:sz="8" w:color="auto"/>
            </w:tcBorders>
            <w:gridSpan w:val="4"/>
          </w:tcPr>
          <w:p>
            <w:pPr>
              <w:spacing w:after="0"/>
              <w:rPr>
                <w:sz w:val="17"/>
                <w:szCs w:val="17"/>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6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 xml:space="preserve">, 20  </w:t>
            </w:r>
            <w:r>
              <w:rPr>
                <w:rFonts w:ascii="Times New Roman" w:cs="Times New Roman" w:eastAsia="Times New Roman" w:hAnsi="Times New Roman"/>
                <w:sz w:val="15"/>
                <w:szCs w:val="15"/>
                <w:i w:val="1"/>
                <w:iCs w:val="1"/>
                <w:color w:val="auto"/>
              </w:rPr>
              <w:t>[Insert Date]</w:t>
            </w:r>
          </w:p>
        </w:tc>
        <w:tc>
          <w:tcPr>
            <w:tcW w:w="1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980" w:type="dxa"/>
            <w:vAlign w:val="bottom"/>
            <w:vMerge w:val="restart"/>
          </w:tcPr>
          <w:p>
            <w:pPr>
              <w:spacing w:after="0"/>
              <w:rPr>
                <w:sz w:val="20"/>
                <w:szCs w:val="20"/>
                <w:color w:val="auto"/>
              </w:rPr>
            </w:pPr>
            <w:r>
              <w:rPr>
                <w:rFonts w:ascii="Times New Roman" w:cs="Times New Roman" w:eastAsia="Times New Roman" w:hAnsi="Times New Roman"/>
                <w:sz w:val="15"/>
                <w:szCs w:val="15"/>
                <w:i w:val="1"/>
                <w:iCs w:val="1"/>
                <w:color w:val="auto"/>
              </w:rPr>
              <w:t>[insert name of person signing this instrument]</w:t>
            </w:r>
            <w:r>
              <w:rPr>
                <w:rFonts w:ascii="Times New Roman" w:cs="Times New Roman" w:eastAsia="Times New Roman" w:hAnsi="Times New Roman"/>
                <w:sz w:val="15"/>
                <w:szCs w:val="15"/>
                <w:color w:val="auto"/>
              </w:rPr>
              <w:t>,</w:t>
            </w:r>
          </w:p>
        </w:tc>
        <w:tc>
          <w:tcPr>
            <w:tcW w:w="172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3200" w:type="dxa"/>
            <w:vAlign w:val="bottom"/>
            <w:gridSpan w:val="7"/>
          </w:tcPr>
          <w:p>
            <w:pPr>
              <w:ind w:left="140"/>
              <w:spacing w:after="0"/>
              <w:rPr>
                <w:sz w:val="20"/>
                <w:szCs w:val="20"/>
                <w:color w:val="auto"/>
              </w:rPr>
            </w:pPr>
            <w:r>
              <w:rPr>
                <w:rFonts w:ascii="Times New Roman" w:cs="Times New Roman" w:eastAsia="Times New Roman" w:hAnsi="Times New Roman"/>
                <w:sz w:val="15"/>
                <w:szCs w:val="15"/>
                <w:color w:val="auto"/>
              </w:rPr>
              <w:t>This instrument was acknowledged before me by</w:t>
            </w:r>
          </w:p>
        </w:tc>
        <w:tc>
          <w:tcPr>
            <w:tcW w:w="19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980" w:type="dxa"/>
            <w:vAlign w:val="bottom"/>
            <w:vMerge w:val="continue"/>
          </w:tcPr>
          <w:p>
            <w:pPr>
              <w:spacing w:after="0"/>
              <w:rPr>
                <w:sz w:val="24"/>
                <w:szCs w:val="24"/>
                <w:color w:val="auto"/>
              </w:rPr>
            </w:pPr>
          </w:p>
        </w:tc>
        <w:tc>
          <w:tcPr>
            <w:tcW w:w="1720" w:type="dxa"/>
            <w:vAlign w:val="bottom"/>
            <w:tcBorders>
              <w:bottom w:val="single" w:sz="8" w:color="auto"/>
            </w:tcBorders>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3140" w:type="dxa"/>
            <w:vAlign w:val="bottom"/>
            <w:gridSpan w:val="6"/>
          </w:tcPr>
          <w:p>
            <w:pPr>
              <w:ind w:left="140"/>
              <w:spacing w:after="0" w:line="164" w:lineRule="exact"/>
              <w:rPr>
                <w:sz w:val="20"/>
                <w:szCs w:val="20"/>
                <w:color w:val="auto"/>
              </w:rPr>
            </w:pPr>
            <w:r>
              <w:rPr>
                <w:rFonts w:ascii="Times New Roman" w:cs="Times New Roman" w:eastAsia="Times New Roman" w:hAnsi="Times New Roman"/>
                <w:sz w:val="15"/>
                <w:szCs w:val="15"/>
                <w:i w:val="1"/>
                <w:iCs w:val="1"/>
                <w:color w:val="auto"/>
              </w:rPr>
              <w:t xml:space="preserve">[insert title of person signing this instrument] </w:t>
            </w:r>
            <w:r>
              <w:rPr>
                <w:rFonts w:ascii="Times New Roman" w:cs="Times New Roman" w:eastAsia="Times New Roman" w:hAnsi="Times New Roman"/>
                <w:sz w:val="15"/>
                <w:szCs w:val="15"/>
                <w:color w:val="auto"/>
              </w:rPr>
              <w:t>of</w:t>
            </w:r>
          </w:p>
        </w:tc>
        <w:tc>
          <w:tcPr>
            <w:tcW w:w="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3860" w:type="dxa"/>
            <w:vAlign w:val="bottom"/>
            <w:gridSpan w:val="3"/>
          </w:tcPr>
          <w:p>
            <w:pPr>
              <w:ind w:left="40"/>
              <w:spacing w:after="0" w:line="164" w:lineRule="exact"/>
              <w:rPr>
                <w:sz w:val="20"/>
                <w:szCs w:val="20"/>
                <w:color w:val="auto"/>
              </w:rPr>
            </w:pPr>
            <w:r>
              <w:rPr>
                <w:rFonts w:ascii="Times New Roman" w:cs="Times New Roman" w:eastAsia="Times New Roman" w:hAnsi="Times New Roman"/>
                <w:sz w:val="15"/>
                <w:szCs w:val="15"/>
                <w:i w:val="1"/>
                <w:iCs w:val="1"/>
                <w:color w:val="auto"/>
              </w:rPr>
              <w:t>[insert legal name of original contractor or subcontractor]</w:t>
            </w:r>
            <w:r>
              <w:rPr>
                <w:rFonts w:ascii="Times New Roman" w:cs="Times New Roman" w:eastAsia="Times New Roman" w:hAnsi="Times New Roman"/>
                <w:sz w:val="15"/>
                <w:szCs w:val="15"/>
                <w:color w:val="auto"/>
              </w:rPr>
              <w:t>, a</w:t>
            </w:r>
          </w:p>
        </w:tc>
        <w:tc>
          <w:tcPr>
            <w:tcW w:w="1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i w:val="1"/>
          <w:iCs w:val="1"/>
          <w:color w:val="auto"/>
        </w:rPr>
        <w:t>[insert type of entity: corporation, partnership, limited partnership, limited liability company and state of formation or incorporation - example: "a Texas limited liability</w:t>
      </w:r>
    </w:p>
    <w:p>
      <w:pPr>
        <w:spacing w:after="0" w:line="30" w:lineRule="exact"/>
        <w:rPr>
          <w:sz w:val="20"/>
          <w:szCs w:val="20"/>
          <w:color w:val="auto"/>
        </w:rPr>
      </w:pPr>
    </w:p>
    <w:p>
      <w:pPr>
        <w:ind w:left="140"/>
        <w:spacing w:after="0"/>
        <w:tabs>
          <w:tab w:leader="none" w:pos="3440" w:val="left"/>
        </w:tabs>
        <w:rPr>
          <w:sz w:val="20"/>
          <w:szCs w:val="20"/>
          <w:color w:val="auto"/>
        </w:rPr>
      </w:pPr>
      <w:r>
        <w:rPr>
          <w:rFonts w:ascii="Times New Roman" w:cs="Times New Roman" w:eastAsia="Times New Roman" w:hAnsi="Times New Roman"/>
          <w:sz w:val="15"/>
          <w:szCs w:val="15"/>
          <w:i w:val="1"/>
          <w:iCs w:val="1"/>
          <w:color w:val="auto"/>
        </w:rPr>
        <w:t>company"]</w:t>
      </w:r>
      <w:r>
        <w:rPr>
          <w:rFonts w:ascii="Times New Roman" w:cs="Times New Roman" w:eastAsia="Times New Roman" w:hAnsi="Times New Roman"/>
          <w:sz w:val="15"/>
          <w:szCs w:val="15"/>
          <w:color w:val="auto"/>
        </w:rPr>
        <w:t>, on behalf of said</w:t>
      </w:r>
      <w:r>
        <w:rPr>
          <w:sz w:val="20"/>
          <w:szCs w:val="20"/>
          <w:color w:val="auto"/>
        </w:rPr>
        <w:tab/>
      </w:r>
      <w:r>
        <w:rPr>
          <w:rFonts w:ascii="Times New Roman" w:cs="Times New Roman" w:eastAsia="Times New Roman" w:hAnsi="Times New Roman"/>
          <w:sz w:val="15"/>
          <w:szCs w:val="15"/>
          <w:i w:val="1"/>
          <w:iCs w:val="1"/>
          <w:color w:val="auto"/>
        </w:rPr>
        <w:t>[insert type of entity: corporation, partnership, limited partnership, limited liability company]</w:t>
      </w: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2866390</wp:posOffset>
            </wp:positionH>
            <wp:positionV relativeFrom="paragraph">
              <wp:posOffset>255905</wp:posOffset>
            </wp:positionV>
            <wp:extent cx="4274185" cy="762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62">
                      <a:extLst>
                        <a:ext uri="{28A0092B-C50C-407E-A947-70E740481C1C}"/>
                      </a:extLst>
                    </a:blip>
                    <a:srcRect/>
                    <a:stretch>
                      <a:fillRect/>
                    </a:stretch>
                  </pic:blipFill>
                  <pic:spPr bwMode="auto">
                    <a:xfrm>
                      <a:off x="0" y="0"/>
                      <a:ext cx="4274185" cy="7620"/>
                    </a:xfrm>
                    <a:prstGeom prst="rect">
                      <a:avLst/>
                    </a:prstGeom>
                    <a:noFill/>
                  </pic:spPr>
                </pic:pic>
              </a:graphicData>
            </a:graphic>
          </wp:anchor>
        </w:drawing>
        <w:drawing>
          <wp:anchor simplePos="0" relativeHeight="251657728" behindDoc="1" locked="0" layoutInCell="0" allowOverlap="1">
            <wp:simplePos x="0" y="0"/>
            <wp:positionH relativeFrom="column">
              <wp:posOffset>1242060</wp:posOffset>
            </wp:positionH>
            <wp:positionV relativeFrom="paragraph">
              <wp:posOffset>-13970</wp:posOffset>
            </wp:positionV>
            <wp:extent cx="925195" cy="762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63">
                      <a:extLst>
                        <a:ext uri="{28A0092B-C50C-407E-A947-70E740481C1C}"/>
                      </a:extLst>
                    </a:blip>
                    <a:srcRect/>
                    <a:stretch>
                      <a:fillRect/>
                    </a:stretch>
                  </pic:blipFill>
                  <pic:spPr bwMode="auto">
                    <a:xfrm>
                      <a:off x="0" y="0"/>
                      <a:ext cx="925195" cy="762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5"/>
          <w:szCs w:val="15"/>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3538220</wp:posOffset>
            </wp:positionH>
            <wp:positionV relativeFrom="paragraph">
              <wp:posOffset>24130</wp:posOffset>
            </wp:positionV>
            <wp:extent cx="3601720" cy="762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64">
                      <a:extLst>
                        <a:ext uri="{28A0092B-C50C-407E-A947-70E740481C1C}"/>
                      </a:extLst>
                    </a:blip>
                    <a:srcRect/>
                    <a:stretch>
                      <a:fillRect/>
                    </a:stretch>
                  </pic:blipFill>
                  <pic:spPr bwMode="auto">
                    <a:xfrm>
                      <a:off x="0" y="0"/>
                      <a:ext cx="3601720" cy="7620"/>
                    </a:xfrm>
                    <a:prstGeom prst="rect">
                      <a:avLst/>
                    </a:prstGeom>
                    <a:noFill/>
                  </pic:spPr>
                </pic:pic>
              </a:graphicData>
            </a:graphic>
          </wp:anchor>
        </w:drawing>
      </w:r>
    </w:p>
    <w:p>
      <w:pPr>
        <w:spacing w:after="0" w:line="3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5"/>
          <w:szCs w:val="15"/>
          <w:color w:val="auto"/>
        </w:rPr>
        <w:t>Notary Public, State of Texas</w:t>
      </w:r>
    </w:p>
    <w:p>
      <w:pPr>
        <w:spacing w:after="0" w:line="3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5"/>
          <w:szCs w:val="15"/>
          <w:color w:val="auto"/>
        </w:rPr>
        <w:t>My commission expires: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24130</wp:posOffset>
            </wp:positionV>
            <wp:extent cx="2206625" cy="762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65">
                      <a:extLst>
                        <a:ext uri="{28A0092B-C50C-407E-A947-70E740481C1C}"/>
                      </a:extLst>
                    </a:blip>
                    <a:srcRect/>
                    <a:stretch>
                      <a:fillRect/>
                    </a:stretch>
                  </pic:blipFill>
                  <pic:spPr bwMode="auto">
                    <a:xfrm>
                      <a:off x="0" y="0"/>
                      <a:ext cx="2206625" cy="7620"/>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D-1, Texas Statutory Lien Waiver Forms</w:t>
      </w:r>
      <w:r>
        <w:rPr>
          <w:rFonts w:ascii="Times New Roman" w:cs="Times New Roman" w:eastAsia="Times New Roman" w:hAnsi="Times New Roman"/>
          <w:sz w:val="18"/>
          <w:szCs w:val="18"/>
          <w:color w:val="auto"/>
        </w:rPr>
        <w:t xml:space="preserve"> – 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630555</wp:posOffset>
            </wp:positionV>
            <wp:extent cx="7178040" cy="4000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66">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340"/>
          </w:cols>
          <w:pgMar w:left="320" w:top="1172" w:right="239" w:bottom="1440" w:gutter="0" w:footer="0" w:header="0"/>
        </w:sectPr>
      </w:pPr>
    </w:p>
    <w:bookmarkStart w:id="211" w:name="page212"/>
    <w:bookmarkEnd w:id="211"/>
    <w:p>
      <w:pPr>
        <w:ind w:left="140" w:right="220"/>
        <w:spacing w:after="0" w:line="298" w:lineRule="auto"/>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198120</wp:posOffset>
            </wp:positionH>
            <wp:positionV relativeFrom="page">
              <wp:posOffset>746760</wp:posOffset>
            </wp:positionV>
            <wp:extent cx="7152640" cy="762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67">
                      <a:extLst>
                        <a:ext uri="{28A0092B-C50C-407E-A947-70E740481C1C}"/>
                      </a:extLst>
                    </a:blip>
                    <a:srcRect/>
                    <a:stretch>
                      <a:fillRect/>
                    </a:stretch>
                  </pic:blipFill>
                  <pic:spPr bwMode="auto">
                    <a:xfrm>
                      <a:off x="0" y="0"/>
                      <a:ext cx="7152640" cy="7620"/>
                    </a:xfrm>
                    <a:prstGeom prst="rect">
                      <a:avLst/>
                    </a:prstGeom>
                    <a:noFill/>
                  </pic:spPr>
                </pic:pic>
              </a:graphicData>
            </a:graphic>
          </wp:anchor>
        </w:drawing>
        <w:t>Notice: This document waives rights unconditionally and states that you have been paid for giving up those rights. It is prohibited for a person to require you to sign this document if you have not been paid the payment amount set forth below. If you have not been paid, use a conditional release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97790</wp:posOffset>
            </wp:positionV>
            <wp:extent cx="7152640" cy="762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68">
                      <a:extLst>
                        <a:ext uri="{28A0092B-C50C-407E-A947-70E740481C1C}"/>
                      </a:extLst>
                    </a:blip>
                    <a:srcRect/>
                    <a:stretch>
                      <a:fillRect/>
                    </a:stretch>
                  </pic:blipFill>
                  <pic:spPr bwMode="auto">
                    <a:xfrm>
                      <a:off x="0" y="0"/>
                      <a:ext cx="715264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112395</wp:posOffset>
            </wp:positionV>
            <wp:extent cx="7152640" cy="762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69">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pacing w:after="0" w:line="288" w:lineRule="exact"/>
        <w:rPr>
          <w:sz w:val="20"/>
          <w:szCs w:val="20"/>
          <w:color w:val="auto"/>
        </w:rPr>
      </w:pPr>
    </w:p>
    <w:p>
      <w:pPr>
        <w:ind w:left="140" w:right="220"/>
        <w:spacing w:after="0" w:line="298" w:lineRule="auto"/>
        <w:rPr>
          <w:sz w:val="20"/>
          <w:szCs w:val="20"/>
          <w:color w:val="auto"/>
        </w:rPr>
      </w:pPr>
      <w:r>
        <w:rPr>
          <w:rFonts w:ascii="Times New Roman" w:cs="Times New Roman" w:eastAsia="Times New Roman" w:hAnsi="Times New Roman"/>
          <w:sz w:val="15"/>
          <w:szCs w:val="15"/>
          <w:b w:val="1"/>
          <w:bCs w:val="1"/>
          <w:color w:val="auto"/>
        </w:rPr>
        <w:t>Notice: This document waives rights unconditionally and states that you have been paid for giving up those rights. It is prohibited for a person to require you to sign this document if you have not been paid the payment amount set forth below. If you have not been paid, use a conditional release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60960</wp:posOffset>
            </wp:positionV>
            <wp:extent cx="7152640" cy="762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70">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pacing w:after="0" w:line="25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5"/>
          <w:szCs w:val="15"/>
          <w:b w:val="1"/>
          <w:bCs w:val="1"/>
          <w:u w:val="single" w:color="auto"/>
          <w:color w:val="auto"/>
        </w:rPr>
        <w:t>UNCONDITIONAL LIEN WAIVER - FINAL PAYMENT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24130</wp:posOffset>
            </wp:positionV>
            <wp:extent cx="1285875" cy="762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71">
                      <a:extLst>
                        <a:ext uri="{28A0092B-C50C-407E-A947-70E740481C1C}"/>
                      </a:extLst>
                    </a:blip>
                    <a:srcRect/>
                    <a:stretch>
                      <a:fillRect/>
                    </a:stretch>
                  </pic:blipFill>
                  <pic:spPr bwMode="auto">
                    <a:xfrm>
                      <a:off x="0" y="0"/>
                      <a:ext cx="1285875" cy="762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Job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24130</wp:posOffset>
            </wp:positionV>
            <wp:extent cx="1285875" cy="762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72">
                      <a:extLst>
                        <a:ext uri="{28A0092B-C50C-407E-A947-70E740481C1C}"/>
                      </a:extLst>
                    </a:blip>
                    <a:srcRect/>
                    <a:stretch>
                      <a:fillRect/>
                    </a:stretch>
                  </pic:blipFill>
                  <pic:spPr bwMode="auto">
                    <a:xfrm>
                      <a:off x="0" y="0"/>
                      <a:ext cx="1285875" cy="7620"/>
                    </a:xfrm>
                    <a:prstGeom prst="rect">
                      <a:avLst/>
                    </a:prstGeom>
                    <a:noFill/>
                  </pic:spPr>
                </pic:pic>
              </a:graphicData>
            </a:graphic>
          </wp:anchor>
        </w:drawing>
      </w:r>
    </w:p>
    <w:p>
      <w:pPr>
        <w:spacing w:after="0" w:line="19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5"/>
          <w:szCs w:val="15"/>
          <w:color w:val="auto"/>
        </w:rPr>
        <w:t>The signer of this document has been paid in full for all labor, services, equipment, or materials furnished to the property or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5503545</wp:posOffset>
            </wp:positionH>
            <wp:positionV relativeFrom="paragraph">
              <wp:posOffset>-4445</wp:posOffset>
            </wp:positionV>
            <wp:extent cx="1679575" cy="762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73">
                      <a:extLst>
                        <a:ext uri="{28A0092B-C50C-407E-A947-70E740481C1C}"/>
                      </a:extLst>
                    </a:blip>
                    <a:srcRect/>
                    <a:stretch>
                      <a:fillRect/>
                    </a:stretch>
                  </pic:blipFill>
                  <pic:spPr bwMode="auto">
                    <a:xfrm>
                      <a:off x="0" y="0"/>
                      <a:ext cx="1679575" cy="7620"/>
                    </a:xfrm>
                    <a:prstGeom prst="rect">
                      <a:avLst/>
                    </a:prstGeom>
                    <a:noFill/>
                  </pic:spPr>
                </pic:pic>
              </a:graphicData>
            </a:graphic>
          </wp:anchor>
        </w:drawing>
      </w:r>
    </w:p>
    <w:tbl>
      <w:tblPr>
        <w:tblLayout w:type="fixed"/>
        <w:tblInd w:w="140" w:type="dxa"/>
        <w:tblCellMar>
          <w:top w:w="0" w:type="dxa"/>
          <w:left w:w="0" w:type="dxa"/>
          <w:bottom w:w="0" w:type="dxa"/>
          <w:right w:w="0" w:type="dxa"/>
        </w:tblCellMar>
      </w:tblPr>
      <w:tr>
        <w:trPr>
          <w:trHeight w:val="172"/>
        </w:trPr>
        <w:tc>
          <w:tcPr>
            <w:tcW w:w="35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(person with whom signer contracted) on the property of</w:t>
            </w:r>
          </w:p>
        </w:tc>
        <w:tc>
          <w:tcPr>
            <w:tcW w:w="19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5"/>
                <w:szCs w:val="15"/>
                <w:color w:val="auto"/>
              </w:rPr>
              <w:t>(owner) located at</w:t>
            </w:r>
          </w:p>
        </w:tc>
      </w:tr>
      <w:tr>
        <w:trPr>
          <w:trHeight w:val="348"/>
        </w:trPr>
        <w:tc>
          <w:tcPr>
            <w:tcW w:w="620" w:type="dxa"/>
            <w:vAlign w:val="bottom"/>
            <w:tcBorders>
              <w:bottom w:val="single" w:sz="8" w:color="auto"/>
            </w:tcBorders>
          </w:tcPr>
          <w:p>
            <w:pPr>
              <w:spacing w:after="0"/>
              <w:rPr>
                <w:sz w:val="24"/>
                <w:szCs w:val="24"/>
                <w:color w:val="auto"/>
              </w:rPr>
            </w:pPr>
          </w:p>
        </w:tc>
        <w:tc>
          <w:tcPr>
            <w:tcW w:w="214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(location) to the following extent:</w:t>
            </w:r>
          </w:p>
        </w:tc>
        <w:tc>
          <w:tcPr>
            <w:tcW w:w="7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550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auto"/>
              </w:rPr>
              <w:t>(job description). The signer therefore waives and releases any mechanic's lien right, any</w:t>
            </w:r>
          </w:p>
        </w:tc>
      </w:tr>
    </w:tbl>
    <w:p>
      <w:pPr>
        <w:spacing w:after="0" w:line="8" w:lineRule="exact"/>
        <w:rPr>
          <w:sz w:val="20"/>
          <w:szCs w:val="20"/>
          <w:color w:val="auto"/>
        </w:rPr>
      </w:pPr>
    </w:p>
    <w:p>
      <w:pPr>
        <w:jc w:val="both"/>
        <w:ind w:left="140" w:right="220"/>
        <w:spacing w:after="0" w:line="292" w:lineRule="auto"/>
        <w:rPr>
          <w:sz w:val="20"/>
          <w:szCs w:val="20"/>
          <w:color w:val="auto"/>
        </w:rPr>
      </w:pPr>
      <w:r>
        <w:rPr>
          <w:rFonts w:ascii="Times New Roman" w:cs="Times New Roman" w:eastAsia="Times New Roman" w:hAnsi="Times New Roman"/>
          <w:sz w:val="15"/>
          <w:szCs w:val="15"/>
          <w:color w:val="auto"/>
        </w:rPr>
        <w:t>right arising from a payment bond that complies with a state or federal statute, any common law payment bond right, any claim for payment, and any rights under any similar ordinance, rule or statute related to claim or payment rights for persons in the signer's position.</w:t>
      </w:r>
    </w:p>
    <w:p>
      <w:pPr>
        <w:spacing w:after="0" w:line="133" w:lineRule="exact"/>
        <w:rPr>
          <w:sz w:val="20"/>
          <w:szCs w:val="20"/>
          <w:color w:val="auto"/>
        </w:rPr>
      </w:pPr>
    </w:p>
    <w:p>
      <w:pPr>
        <w:jc w:val="both"/>
        <w:ind w:left="140" w:right="220" w:firstLine="751"/>
        <w:spacing w:after="0" w:line="292" w:lineRule="auto"/>
        <w:rPr>
          <w:sz w:val="20"/>
          <w:szCs w:val="20"/>
          <w:color w:val="auto"/>
        </w:rPr>
      </w:pPr>
      <w:r>
        <w:rPr>
          <w:rFonts w:ascii="Times New Roman" w:cs="Times New Roman" w:eastAsia="Times New Roman" w:hAnsi="Times New Roman"/>
          <w:sz w:val="15"/>
          <w:szCs w:val="15"/>
          <w:color w:val="auto"/>
        </w:rPr>
        <w:t>The signer warrants that the signer has already paid or will use the funds received from this final payment to promptly pay in full all of the signer's laborers, subcontractors, materialmen, and suppliers for all work, materials, equipment, or services provided for or to the above referenced project up to the date of this waiver and release.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160" w:type="dxa"/>
            <w:vAlign w:val="bottom"/>
            <w:gridSpan w:val="9"/>
          </w:tcPr>
          <w:p>
            <w:pPr>
              <w:spacing w:after="0"/>
              <w:rPr>
                <w:sz w:val="20"/>
                <w:szCs w:val="20"/>
                <w:color w:val="auto"/>
              </w:rPr>
            </w:pPr>
            <w:r>
              <w:rPr>
                <w:rFonts w:ascii="Times New Roman" w:cs="Times New Roman" w:eastAsia="Times New Roman" w:hAnsi="Times New Roman"/>
                <w:sz w:val="15"/>
                <w:szCs w:val="15"/>
                <w:color w:val="auto"/>
              </w:rPr>
              <w:t>Date:</w:t>
            </w:r>
          </w:p>
        </w:tc>
        <w:tc>
          <w:tcPr>
            <w:tcW w:w="46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rPr>
              <w:t>, 20</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6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5"/>
                <w:szCs w:val="15"/>
                <w:color w:val="auto"/>
              </w:rPr>
              <w:t xml:space="preserve">Company </w:t>
            </w:r>
            <w:r>
              <w:rPr>
                <w:rFonts w:ascii="Times New Roman" w:cs="Times New Roman" w:eastAsia="Times New Roman" w:hAnsi="Times New Roman"/>
                <w:sz w:val="15"/>
                <w:szCs w:val="15"/>
                <w:i w:val="1"/>
                <w:iCs w:val="1"/>
                <w:color w:val="auto"/>
              </w:rPr>
              <w:t>[insert legal name of entity above]</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7"/>
        </w:trPr>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60" w:type="dxa"/>
            <w:vAlign w:val="bottom"/>
            <w:gridSpan w:val="6"/>
          </w:tcPr>
          <w:p>
            <w:pPr>
              <w:ind w:left="120"/>
              <w:spacing w:after="0"/>
              <w:rPr>
                <w:sz w:val="20"/>
                <w:szCs w:val="20"/>
                <w:color w:val="auto"/>
              </w:rPr>
            </w:pPr>
            <w:r>
              <w:rPr>
                <w:rFonts w:ascii="Times New Roman" w:cs="Times New Roman" w:eastAsia="Times New Roman" w:hAnsi="Times New Roman"/>
                <w:sz w:val="15"/>
                <w:szCs w:val="15"/>
                <w:color w:val="auto"/>
              </w:rPr>
              <w:t>By:</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Name:</w:t>
            </w:r>
          </w:p>
        </w:tc>
        <w:tc>
          <w:tcPr>
            <w:tcW w:w="2160" w:type="dxa"/>
            <w:vAlign w:val="bottom"/>
            <w:tcBorders>
              <w:top w:val="single" w:sz="8" w:color="auto"/>
              <w:bottom w:val="single" w:sz="8" w:color="auto"/>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160" w:type="dxa"/>
            <w:vAlign w:val="bottom"/>
            <w:gridSpan w:val="9"/>
            <w:vMerge w:val="restart"/>
          </w:tcPr>
          <w:p>
            <w:pPr>
              <w:spacing w:after="0"/>
              <w:rPr>
                <w:sz w:val="20"/>
                <w:szCs w:val="20"/>
                <w:color w:val="auto"/>
              </w:rPr>
            </w:pPr>
            <w:r>
              <w:rPr>
                <w:rFonts w:ascii="Times New Roman" w:cs="Times New Roman" w:eastAsia="Times New Roman" w:hAnsi="Times New Roman"/>
                <w:sz w:val="15"/>
                <w:szCs w:val="15"/>
                <w:color w:val="auto"/>
              </w:rPr>
              <w:t>STATE OF TEXAS</w:t>
            </w:r>
          </w:p>
        </w:tc>
        <w:tc>
          <w:tcPr>
            <w:tcW w:w="10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Title:</w:t>
            </w:r>
          </w:p>
        </w:tc>
        <w:tc>
          <w:tcPr>
            <w:tcW w:w="21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58"/>
        </w:trPr>
        <w:tc>
          <w:tcPr>
            <w:tcW w:w="4160" w:type="dxa"/>
            <w:vAlign w:val="bottom"/>
            <w:gridSpan w:val="9"/>
            <w:vMerge w:val="continue"/>
          </w:tcPr>
          <w:p>
            <w:pPr>
              <w:spacing w:after="0"/>
              <w:rPr>
                <w:sz w:val="24"/>
                <w:szCs w:val="24"/>
                <w:color w:val="auto"/>
              </w:rPr>
            </w:pPr>
          </w:p>
        </w:tc>
        <w:tc>
          <w:tcPr>
            <w:tcW w:w="100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2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COUNTY OF</w:t>
            </w:r>
          </w:p>
        </w:tc>
        <w:tc>
          <w:tcPr>
            <w:tcW w:w="2140" w:type="dxa"/>
            <w:vAlign w:val="bottom"/>
            <w:tcBorders>
              <w:bottom w:val="single" w:sz="8" w:color="auto"/>
            </w:tcBorders>
            <w:gridSpan w:val="5"/>
          </w:tcPr>
          <w:p>
            <w:pPr>
              <w:spacing w:after="0"/>
              <w:rPr>
                <w:sz w:val="17"/>
                <w:szCs w:val="17"/>
                <w:color w:val="auto"/>
              </w:rPr>
            </w:pPr>
          </w:p>
        </w:tc>
        <w:tc>
          <w:tcPr>
            <w:tcW w:w="10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20" w:type="dxa"/>
            <w:vAlign w:val="bottom"/>
            <w:gridSpan w:val="6"/>
          </w:tcPr>
          <w:p>
            <w:pPr>
              <w:spacing w:after="0"/>
              <w:rPr>
                <w:sz w:val="20"/>
                <w:szCs w:val="20"/>
                <w:color w:val="auto"/>
              </w:rPr>
            </w:pPr>
            <w:r>
              <w:rPr>
                <w:rFonts w:ascii="Times New Roman" w:cs="Times New Roman" w:eastAsia="Times New Roman" w:hAnsi="Times New Roman"/>
                <w:sz w:val="15"/>
                <w:szCs w:val="15"/>
                <w:color w:val="auto"/>
              </w:rPr>
              <w:t xml:space="preserve">, 20  </w:t>
            </w:r>
            <w:r>
              <w:rPr>
                <w:rFonts w:ascii="Times New Roman" w:cs="Times New Roman" w:eastAsia="Times New Roman" w:hAnsi="Times New Roman"/>
                <w:sz w:val="15"/>
                <w:szCs w:val="15"/>
                <w:i w:val="1"/>
                <w:iCs w:val="1"/>
                <w:color w:val="auto"/>
              </w:rPr>
              <w:t>[Insert Date]</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800" w:type="dxa"/>
            <w:vAlign w:val="bottom"/>
            <w:gridSpan w:val="2"/>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20" w:type="dxa"/>
            <w:vAlign w:val="bottom"/>
            <w:gridSpan w:val="3"/>
            <w:vMerge w:val="restart"/>
          </w:tcPr>
          <w:p>
            <w:pPr>
              <w:ind w:left="40"/>
              <w:spacing w:after="0"/>
              <w:rPr>
                <w:sz w:val="20"/>
                <w:szCs w:val="20"/>
                <w:color w:val="auto"/>
              </w:rPr>
            </w:pPr>
            <w:r>
              <w:rPr>
                <w:rFonts w:ascii="Times New Roman" w:cs="Times New Roman" w:eastAsia="Times New Roman" w:hAnsi="Times New Roman"/>
                <w:sz w:val="15"/>
                <w:szCs w:val="15"/>
                <w:i w:val="1"/>
                <w:iCs w:val="1"/>
                <w:color w:val="auto"/>
              </w:rPr>
              <w:t>[insert name of person signing this instrument]</w:t>
            </w:r>
            <w:r>
              <w:rPr>
                <w:rFonts w:ascii="Times New Roman" w:cs="Times New Roman" w:eastAsia="Times New Roman" w:hAnsi="Times New Roman"/>
                <w:sz w:val="15"/>
                <w:szCs w:val="15"/>
                <w:color w:val="auto"/>
              </w:rPr>
              <w:t>,</w:t>
            </w:r>
          </w:p>
        </w:tc>
        <w:tc>
          <w:tcPr>
            <w:tcW w:w="1560" w:type="dxa"/>
            <w:vAlign w:val="bottom"/>
            <w:gridSpan w:val="2"/>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3200" w:type="dxa"/>
            <w:vAlign w:val="bottom"/>
            <w:gridSpan w:val="8"/>
          </w:tcPr>
          <w:p>
            <w:pPr>
              <w:ind w:left="140"/>
              <w:spacing w:after="0"/>
              <w:rPr>
                <w:sz w:val="20"/>
                <w:szCs w:val="20"/>
                <w:color w:val="auto"/>
              </w:rPr>
            </w:pPr>
            <w:r>
              <w:rPr>
                <w:rFonts w:ascii="Times New Roman" w:cs="Times New Roman" w:eastAsia="Times New Roman" w:hAnsi="Times New Roman"/>
                <w:sz w:val="15"/>
                <w:szCs w:val="15"/>
                <w:color w:val="auto"/>
              </w:rPr>
              <w:t>This instrument was acknowledged before me by</w:t>
            </w:r>
          </w:p>
        </w:tc>
        <w:tc>
          <w:tcPr>
            <w:tcW w:w="9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020" w:type="dxa"/>
            <w:vAlign w:val="bottom"/>
            <w:gridSpan w:val="3"/>
            <w:vMerge w:val="continue"/>
          </w:tcPr>
          <w:p>
            <w:pPr>
              <w:spacing w:after="0"/>
              <w:rPr>
                <w:sz w:val="24"/>
                <w:szCs w:val="24"/>
                <w:color w:val="auto"/>
              </w:rPr>
            </w:pPr>
          </w:p>
        </w:tc>
        <w:tc>
          <w:tcPr>
            <w:tcW w:w="1560" w:type="dxa"/>
            <w:vAlign w:val="bottom"/>
            <w:tcBorders>
              <w:bottom w:val="single" w:sz="8" w:color="auto"/>
            </w:tcBorders>
            <w:gridSpan w:val="2"/>
            <w:vMerge w:val="continue"/>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3140" w:type="dxa"/>
            <w:vAlign w:val="bottom"/>
            <w:gridSpan w:val="7"/>
          </w:tcPr>
          <w:p>
            <w:pPr>
              <w:ind w:left="140"/>
              <w:spacing w:after="0" w:line="164" w:lineRule="exact"/>
              <w:rPr>
                <w:sz w:val="20"/>
                <w:szCs w:val="20"/>
                <w:color w:val="auto"/>
              </w:rPr>
            </w:pPr>
            <w:r>
              <w:rPr>
                <w:rFonts w:ascii="Times New Roman" w:cs="Times New Roman" w:eastAsia="Times New Roman" w:hAnsi="Times New Roman"/>
                <w:sz w:val="15"/>
                <w:szCs w:val="15"/>
                <w:i w:val="1"/>
                <w:iCs w:val="1"/>
                <w:color w:val="auto"/>
              </w:rPr>
              <w:t xml:space="preserve">[insert title of person signing this instrument] </w:t>
            </w:r>
            <w:r>
              <w:rPr>
                <w:rFonts w:ascii="Times New Roman" w:cs="Times New Roman" w:eastAsia="Times New Roman" w:hAnsi="Times New Roman"/>
                <w:sz w:val="15"/>
                <w:szCs w:val="15"/>
                <w:color w:val="auto"/>
              </w:rPr>
              <w:t>of</w:t>
            </w:r>
          </w:p>
        </w:tc>
        <w:tc>
          <w:tcPr>
            <w:tcW w:w="1020" w:type="dxa"/>
            <w:vAlign w:val="bottom"/>
            <w:tcBorders>
              <w:bottom w:val="single" w:sz="8" w:color="auto"/>
            </w:tcBorders>
            <w:gridSpan w:val="2"/>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860" w:type="dxa"/>
            <w:vAlign w:val="bottom"/>
            <w:gridSpan w:val="4"/>
          </w:tcPr>
          <w:p>
            <w:pPr>
              <w:ind w:left="40"/>
              <w:spacing w:after="0" w:line="164" w:lineRule="exact"/>
              <w:rPr>
                <w:sz w:val="20"/>
                <w:szCs w:val="20"/>
                <w:color w:val="auto"/>
              </w:rPr>
            </w:pPr>
            <w:r>
              <w:rPr>
                <w:rFonts w:ascii="Times New Roman" w:cs="Times New Roman" w:eastAsia="Times New Roman" w:hAnsi="Times New Roman"/>
                <w:sz w:val="15"/>
                <w:szCs w:val="15"/>
                <w:i w:val="1"/>
                <w:iCs w:val="1"/>
                <w:color w:val="auto"/>
              </w:rPr>
              <w:t>[insert legal name of original contractor or subcontractor]</w:t>
            </w:r>
            <w:r>
              <w:rPr>
                <w:rFonts w:ascii="Times New Roman" w:cs="Times New Roman" w:eastAsia="Times New Roman" w:hAnsi="Times New Roman"/>
                <w:sz w:val="15"/>
                <w:szCs w:val="15"/>
                <w:color w:val="auto"/>
              </w:rPr>
              <w:t>, a</w:t>
            </w:r>
          </w:p>
        </w:tc>
        <w:tc>
          <w:tcPr>
            <w:tcW w:w="1720" w:type="dxa"/>
            <w:vAlign w:val="bottom"/>
            <w:tcBorders>
              <w:bottom w:val="single" w:sz="8" w:color="auto"/>
            </w:tcBorders>
            <w:gridSpan w:val="2"/>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i w:val="1"/>
          <w:iCs w:val="1"/>
          <w:color w:val="auto"/>
        </w:rPr>
        <w:t>[insert type of entity: corporation, partnership, limited partnership, limited liability company and state of formation or incorporation - example: "a Texas limited liability</w:t>
      </w:r>
    </w:p>
    <w:p>
      <w:pPr>
        <w:spacing w:after="0" w:line="30" w:lineRule="exact"/>
        <w:rPr>
          <w:sz w:val="20"/>
          <w:szCs w:val="20"/>
          <w:color w:val="auto"/>
        </w:rPr>
      </w:pPr>
    </w:p>
    <w:p>
      <w:pPr>
        <w:ind w:left="140"/>
        <w:spacing w:after="0"/>
        <w:tabs>
          <w:tab w:leader="none" w:pos="3240" w:val="left"/>
        </w:tabs>
        <w:rPr>
          <w:sz w:val="20"/>
          <w:szCs w:val="20"/>
          <w:color w:val="auto"/>
        </w:rPr>
      </w:pPr>
      <w:r>
        <w:rPr>
          <w:rFonts w:ascii="Times New Roman" w:cs="Times New Roman" w:eastAsia="Times New Roman" w:hAnsi="Times New Roman"/>
          <w:sz w:val="15"/>
          <w:szCs w:val="15"/>
          <w:i w:val="1"/>
          <w:iCs w:val="1"/>
          <w:color w:val="auto"/>
        </w:rPr>
        <w:t>company"]</w:t>
      </w:r>
      <w:r>
        <w:rPr>
          <w:rFonts w:ascii="Times New Roman" w:cs="Times New Roman" w:eastAsia="Times New Roman" w:hAnsi="Times New Roman"/>
          <w:sz w:val="15"/>
          <w:szCs w:val="15"/>
          <w:color w:val="auto"/>
        </w:rPr>
        <w:t>, on behalf of said</w:t>
      </w:r>
      <w:r>
        <w:rPr>
          <w:sz w:val="20"/>
          <w:szCs w:val="20"/>
          <w:color w:val="auto"/>
        </w:rPr>
        <w:tab/>
      </w:r>
      <w:r>
        <w:rPr>
          <w:rFonts w:ascii="Times New Roman" w:cs="Times New Roman" w:eastAsia="Times New Roman" w:hAnsi="Times New Roman"/>
          <w:sz w:val="15"/>
          <w:szCs w:val="15"/>
          <w:i w:val="1"/>
          <w:iCs w:val="1"/>
          <w:color w:val="auto"/>
        </w:rPr>
        <w:t>[insert type of entity: corporation, partnership, limited partnership, limited liability company]</w:t>
      </w: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1242060</wp:posOffset>
            </wp:positionH>
            <wp:positionV relativeFrom="paragraph">
              <wp:posOffset>-13970</wp:posOffset>
            </wp:positionV>
            <wp:extent cx="803275" cy="762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74">
                      <a:extLst>
                        <a:ext uri="{28A0092B-C50C-407E-A947-70E740481C1C}"/>
                      </a:extLst>
                    </a:blip>
                    <a:srcRect/>
                    <a:stretch>
                      <a:fillRect/>
                    </a:stretch>
                  </pic:blipFill>
                  <pic:spPr bwMode="auto">
                    <a:xfrm>
                      <a:off x="0" y="0"/>
                      <a:ext cx="803275" cy="7620"/>
                    </a:xfrm>
                    <a:prstGeom prst="rect">
                      <a:avLst/>
                    </a:prstGeom>
                    <a:noFill/>
                  </pic:spPr>
                </pic:pic>
              </a:graphicData>
            </a:graphic>
          </wp:anchor>
        </w:drawing>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D-1, Texas Statutory Lien Waiver Forms</w:t>
      </w:r>
      <w:r>
        <w:rPr>
          <w:rFonts w:ascii="Times New Roman" w:cs="Times New Roman" w:eastAsia="Times New Roman" w:hAnsi="Times New Roman"/>
          <w:sz w:val="18"/>
          <w:szCs w:val="18"/>
          <w:color w:val="auto"/>
        </w:rPr>
        <w:t xml:space="preserve"> – 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622935</wp:posOffset>
            </wp:positionV>
            <wp:extent cx="7178040" cy="4000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75">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340"/>
          </w:cols>
          <w:pgMar w:left="320" w:top="1375" w:right="239" w:bottom="1440" w:gutter="0" w:footer="0" w:header="0"/>
        </w:sectPr>
      </w:pPr>
    </w:p>
    <w:bookmarkStart w:id="212" w:name="page213"/>
    <w:bookmarkEnd w:id="212"/>
    <w:p>
      <w:pPr>
        <w:ind w:left="4520"/>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3069590</wp:posOffset>
            </wp:positionH>
            <wp:positionV relativeFrom="page">
              <wp:posOffset>885190</wp:posOffset>
            </wp:positionV>
            <wp:extent cx="4274185" cy="762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76">
                      <a:extLst>
                        <a:ext uri="{28A0092B-C50C-407E-A947-70E740481C1C}"/>
                      </a:extLst>
                    </a:blip>
                    <a:srcRect/>
                    <a:stretch>
                      <a:fillRect/>
                    </a:stretch>
                  </pic:blipFill>
                  <pic:spPr bwMode="auto">
                    <a:xfrm>
                      <a:off x="0" y="0"/>
                      <a:ext cx="4274185" cy="7620"/>
                    </a:xfrm>
                    <a:prstGeom prst="rect">
                      <a:avLst/>
                    </a:prstGeom>
                    <a:noFill/>
                  </pic:spPr>
                </pic:pic>
              </a:graphicData>
            </a:graphic>
          </wp:anchor>
        </w:drawing>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3538220</wp:posOffset>
            </wp:positionH>
            <wp:positionV relativeFrom="paragraph">
              <wp:posOffset>31115</wp:posOffset>
            </wp:positionV>
            <wp:extent cx="3601720" cy="762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77">
                      <a:extLst>
                        <a:ext uri="{28A0092B-C50C-407E-A947-70E740481C1C}"/>
                      </a:extLst>
                    </a:blip>
                    <a:srcRect/>
                    <a:stretch>
                      <a:fillRect/>
                    </a:stretch>
                  </pic:blipFill>
                  <pic:spPr bwMode="auto">
                    <a:xfrm>
                      <a:off x="0" y="0"/>
                      <a:ext cx="3601720" cy="7620"/>
                    </a:xfrm>
                    <a:prstGeom prst="rect">
                      <a:avLst/>
                    </a:prstGeom>
                    <a:noFill/>
                  </pic:spPr>
                </pic:pic>
              </a:graphicData>
            </a:graphic>
          </wp:anchor>
        </w:drawing>
      </w:r>
    </w:p>
    <w:p>
      <w:pPr>
        <w:spacing w:after="0" w:line="3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5"/>
          <w:szCs w:val="15"/>
          <w:color w:val="auto"/>
        </w:rPr>
        <w:t>Notary Public, State of Texas</w:t>
      </w:r>
    </w:p>
    <w:p>
      <w:pPr>
        <w:spacing w:after="0" w:line="3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5"/>
          <w:szCs w:val="15"/>
          <w:color w:val="auto"/>
        </w:rPr>
        <w:t>My commission expires: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31115</wp:posOffset>
            </wp:positionV>
            <wp:extent cx="2206625" cy="762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78">
                      <a:extLst>
                        <a:ext uri="{28A0092B-C50C-407E-A947-70E740481C1C}"/>
                      </a:extLst>
                    </a:blip>
                    <a:srcRect/>
                    <a:stretch>
                      <a:fillRect/>
                    </a:stretch>
                  </pic:blipFill>
                  <pic:spPr bwMode="auto">
                    <a:xfrm>
                      <a:off x="0" y="0"/>
                      <a:ext cx="2206625" cy="7620"/>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D-1, Texas Statutory Lien Waiver Forms</w:t>
      </w:r>
      <w:r>
        <w:rPr>
          <w:rFonts w:ascii="Times New Roman" w:cs="Times New Roman" w:eastAsia="Times New Roman" w:hAnsi="Times New Roman"/>
          <w:sz w:val="18"/>
          <w:szCs w:val="18"/>
          <w:color w:val="auto"/>
        </w:rPr>
        <w:t xml:space="preserve"> – 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630555</wp:posOffset>
            </wp:positionV>
            <wp:extent cx="7178040" cy="4000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79">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0139"/>
          </w:cols>
          <w:pgMar w:left="320" w:top="1402" w:right="1440" w:bottom="1440" w:gutter="0" w:footer="0" w:header="0"/>
        </w:sectPr>
      </w:pPr>
    </w:p>
    <w:bookmarkStart w:id="213" w:name="page214"/>
    <w:bookmarkEnd w:id="213"/>
    <w:p>
      <w:pPr>
        <w:jc w:val="center"/>
        <w:ind w:right="-7"/>
        <w:spacing w:after="0"/>
        <w:rPr>
          <w:sz w:val="20"/>
          <w:szCs w:val="20"/>
          <w:color w:val="auto"/>
        </w:rPr>
      </w:pPr>
      <w:r>
        <w:rPr>
          <w:rFonts w:ascii="Times New Roman" w:cs="Times New Roman" w:eastAsia="Times New Roman" w:hAnsi="Times New Roman"/>
          <w:sz w:val="18"/>
          <w:szCs w:val="18"/>
          <w:b w:val="1"/>
          <w:bCs w:val="1"/>
          <w:u w:val="single" w:color="auto"/>
          <w:color w:val="auto"/>
        </w:rPr>
        <w:t>EXHIBIT E</w:t>
      </w:r>
    </w:p>
    <w:p>
      <w:pPr>
        <w:spacing w:after="0" w:line="18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b w:val="1"/>
          <w:bCs w:val="1"/>
          <w:u w:val="single" w:color="auto"/>
          <w:color w:val="auto"/>
        </w:rPr>
        <w:t>PARKING AGREEMENT</w:t>
      </w:r>
    </w:p>
    <w:p>
      <w:pPr>
        <w:spacing w:after="0" w:line="188" w:lineRule="exact"/>
        <w:rPr>
          <w:sz w:val="20"/>
          <w:szCs w:val="20"/>
          <w:color w:val="auto"/>
        </w:rPr>
      </w:pPr>
    </w:p>
    <w:p>
      <w:pPr>
        <w:ind w:left="8" w:firstLine="751"/>
        <w:spacing w:after="0" w:line="278" w:lineRule="auto"/>
        <w:rPr>
          <w:sz w:val="20"/>
          <w:szCs w:val="20"/>
          <w:color w:val="auto"/>
        </w:rPr>
      </w:pPr>
      <w:r>
        <w:rPr>
          <w:rFonts w:ascii="Times New Roman" w:cs="Times New Roman" w:eastAsia="Times New Roman" w:hAnsi="Times New Roman"/>
          <w:sz w:val="18"/>
          <w:szCs w:val="18"/>
          <w:color w:val="auto"/>
        </w:rPr>
        <w:t xml:space="preserve">This Parking Agreement (herein so called) describes and specifies the rights and obligations of Landlord and Tenant under the Lease to which this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is attached, with the respect to parking by Tenant in the Parking Garage.</w:t>
      </w:r>
    </w:p>
    <w:p>
      <w:pPr>
        <w:spacing w:after="0" w:line="119" w:lineRule="exact"/>
        <w:rPr>
          <w:sz w:val="20"/>
          <w:szCs w:val="20"/>
          <w:color w:val="auto"/>
        </w:rPr>
      </w:pPr>
    </w:p>
    <w:p>
      <w:pPr>
        <w:ind w:left="988" w:hanging="237"/>
        <w:spacing w:after="0"/>
        <w:tabs>
          <w:tab w:leader="none" w:pos="988"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xml:space="preserve"> Any capitalized terms not defined in this Parking Agreement will have the meaning set forth in the Lease.</w:t>
      </w:r>
    </w:p>
    <w:p>
      <w:pPr>
        <w:spacing w:after="0" w:line="184" w:lineRule="exact"/>
        <w:rPr>
          <w:rFonts w:ascii="Times New Roman" w:cs="Times New Roman" w:eastAsia="Times New Roman" w:hAnsi="Times New Roman"/>
          <w:sz w:val="18"/>
          <w:szCs w:val="18"/>
          <w:color w:val="auto"/>
        </w:rPr>
      </w:pPr>
    </w:p>
    <w:p>
      <w:pPr>
        <w:jc w:val="both"/>
        <w:ind w:left="8" w:firstLine="743"/>
        <w:spacing w:after="0" w:line="251" w:lineRule="auto"/>
        <w:tabs>
          <w:tab w:leader="none" w:pos="1001"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and Rental Fee</w:t>
      </w:r>
      <w:r>
        <w:rPr>
          <w:rFonts w:ascii="Times New Roman" w:cs="Times New Roman" w:eastAsia="Times New Roman" w:hAnsi="Times New Roman"/>
          <w:sz w:val="18"/>
          <w:szCs w:val="18"/>
          <w:color w:val="auto"/>
        </w:rPr>
        <w:t>. Provided no Event of Default has occurred and is continuing under the Lease, Tenant will have (i) a nonexclusive right to use one hundred twenty-four (124) unreserved parking spaces located within the Office Portion of the Parking Garage, during the Lease Term,</w:t>
      </w:r>
    </w:p>
    <w:p>
      <w:pPr>
        <w:spacing w:after="0" w:line="1" w:lineRule="exact"/>
        <w:rPr>
          <w:rFonts w:ascii="Times New Roman" w:cs="Times New Roman" w:eastAsia="Times New Roman" w:hAnsi="Times New Roman"/>
          <w:sz w:val="18"/>
          <w:szCs w:val="18"/>
          <w:color w:val="auto"/>
        </w:rPr>
      </w:pPr>
    </w:p>
    <w:p>
      <w:pPr>
        <w:jc w:val="both"/>
        <w:ind w:left="8" w:hanging="8"/>
        <w:spacing w:after="0" w:line="242" w:lineRule="auto"/>
        <w:tabs>
          <w:tab w:leader="none" w:pos="279"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exclusive right to convert up to twelve (12) of its one hundred twenty-four (124) allocated unreserved parking spaces into reserved parking spaces located within the Office Portion of the Garage during the Lease Term, and (iii) a non-exclusive right to use up to thirty-one (31) additional unreserved parking spaces located within the Office Portion of the Parking Garage on a month to month basis, subject to availability, as determined by Landlord in its sole discretion (such spaces, the "</w:t>
      </w:r>
      <w:r>
        <w:rPr>
          <w:rFonts w:ascii="Times New Roman" w:cs="Times New Roman" w:eastAsia="Times New Roman" w:hAnsi="Times New Roman"/>
          <w:sz w:val="18"/>
          <w:szCs w:val="18"/>
          <w:u w:val="single" w:color="auto"/>
          <w:color w:val="auto"/>
        </w:rPr>
        <w:t>MTM Spaces</w:t>
      </w:r>
      <w:r>
        <w:rPr>
          <w:rFonts w:ascii="Times New Roman" w:cs="Times New Roman" w:eastAsia="Times New Roman" w:hAnsi="Times New Roman"/>
          <w:sz w:val="18"/>
          <w:szCs w:val="18"/>
          <w:color w:val="auto"/>
        </w:rPr>
        <w:t>") (all of such unreserved and reserved parking spaces being collectively referred to herein as the "</w:t>
      </w:r>
      <w:r>
        <w:rPr>
          <w:rFonts w:ascii="Times New Roman" w:cs="Times New Roman" w:eastAsia="Times New Roman" w:hAnsi="Times New Roman"/>
          <w:sz w:val="18"/>
          <w:szCs w:val="18"/>
          <w:u w:val="single" w:color="auto"/>
          <w:color w:val="auto"/>
        </w:rPr>
        <w:t>Spaces</w:t>
      </w:r>
      <w:r>
        <w:rPr>
          <w:rFonts w:ascii="Times New Roman" w:cs="Times New Roman" w:eastAsia="Times New Roman" w:hAnsi="Times New Roman"/>
          <w:sz w:val="18"/>
          <w:szCs w:val="18"/>
          <w:color w:val="auto"/>
        </w:rPr>
        <w:t xml:space="preserve">") subject to such terms, conditions, and regulations as are, from time to time, promulgated by Landlord, including the rules and regulations set forth in this Parking Agreement (including, specifically, </w:t>
      </w:r>
      <w:r>
        <w:rPr>
          <w:rFonts w:ascii="Times New Roman" w:cs="Times New Roman" w:eastAsia="Times New Roman" w:hAnsi="Times New Roman"/>
          <w:sz w:val="18"/>
          <w:szCs w:val="18"/>
          <w:u w:val="single" w:color="auto"/>
          <w:color w:val="auto"/>
        </w:rPr>
        <w:t>Sections 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8</w:t>
      </w:r>
      <w:r>
        <w:rPr>
          <w:rFonts w:ascii="Times New Roman" w:cs="Times New Roman" w:eastAsia="Times New Roman" w:hAnsi="Times New Roman"/>
          <w:sz w:val="18"/>
          <w:szCs w:val="18"/>
          <w:color w:val="auto"/>
        </w:rPr>
        <w:t xml:space="preserve"> below). There will be no additional parking charge for the unreserved Spaces, excluding any MTM Spaces. Tenant will pay to Landlord an amount equal to $80.00 per month, plus applicable taxes, for the reserved Spaces, and an amount equal to the prevailing market rate for parking for each of the MTM Spaces, which amounts will be due and payable in advance on or before the first day of each calendar month, commencing on the Commencement Date.</w:t>
      </w:r>
    </w:p>
    <w:p>
      <w:pPr>
        <w:spacing w:after="0" w:line="149" w:lineRule="exact"/>
        <w:rPr>
          <w:rFonts w:ascii="Times New Roman" w:cs="Times New Roman" w:eastAsia="Times New Roman" w:hAnsi="Times New Roman"/>
          <w:sz w:val="18"/>
          <w:szCs w:val="18"/>
          <w:color w:val="auto"/>
        </w:rPr>
      </w:pPr>
    </w:p>
    <w:p>
      <w:pPr>
        <w:jc w:val="both"/>
        <w:ind w:left="8" w:firstLine="743"/>
        <w:spacing w:after="0" w:line="252" w:lineRule="auto"/>
        <w:tabs>
          <w:tab w:leader="none" w:pos="1001"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Unavailability of Spaces</w:t>
      </w:r>
      <w:r>
        <w:rPr>
          <w:rFonts w:ascii="Times New Roman" w:cs="Times New Roman" w:eastAsia="Times New Roman" w:hAnsi="Times New Roman"/>
          <w:sz w:val="18"/>
          <w:szCs w:val="18"/>
          <w:color w:val="auto"/>
        </w:rPr>
        <w:t>. In the event that all or a portion of the Spaces become unavailable to Tenant due to casualty damage, flooding, condemnation or repairs, Landlord will use reasonable efforts to provide Tenant with reasonably satisfactory alternative parking arrangements until the use of such Spaces is restored. Notwithstanding anything contained herein to the contrary, Tenant will have no right to terminate this Lease by reason of such loss of available parking.</w:t>
      </w:r>
    </w:p>
    <w:p>
      <w:pPr>
        <w:spacing w:after="0" w:line="143" w:lineRule="exact"/>
        <w:rPr>
          <w:rFonts w:ascii="Times New Roman" w:cs="Times New Roman" w:eastAsia="Times New Roman" w:hAnsi="Times New Roman"/>
          <w:sz w:val="18"/>
          <w:szCs w:val="18"/>
          <w:color w:val="auto"/>
        </w:rPr>
      </w:pPr>
    </w:p>
    <w:p>
      <w:pPr>
        <w:jc w:val="both"/>
        <w:ind w:left="8" w:firstLine="743"/>
        <w:spacing w:after="0" w:line="247" w:lineRule="auto"/>
        <w:tabs>
          <w:tab w:leader="none" w:pos="1024"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of Liability</w:t>
      </w:r>
      <w:r>
        <w:rPr>
          <w:rFonts w:ascii="Times New Roman" w:cs="Times New Roman" w:eastAsia="Times New Roman" w:hAnsi="Times New Roman"/>
          <w:sz w:val="18"/>
          <w:szCs w:val="18"/>
          <w:color w:val="auto"/>
        </w:rPr>
        <w:t xml:space="preserve">. All motor vehicles will be parked in the Spaces at the sole risk of Tenant, its employees, agents, invitees and licensees, it being expressly agreed and understood that Landlord has no duty to insure any of said motor vehicles (including the contents thereof), and that Landlord is not responsible for the protection and security of such vehicles (or the contents thereof). </w:t>
      </w:r>
      <w:r>
        <w:rPr>
          <w:rFonts w:ascii="Times New Roman" w:cs="Times New Roman" w:eastAsia="Times New Roman" w:hAnsi="Times New Roman"/>
          <w:sz w:val="18"/>
          <w:szCs w:val="18"/>
          <w:b w:val="1"/>
          <w:bCs w:val="1"/>
          <w:color w:val="auto"/>
        </w:rPr>
        <w:t>LANDLORD WILL HAVE NO LIABILITY</w:t>
      </w:r>
    </w:p>
    <w:p>
      <w:pPr>
        <w:spacing w:after="0" w:line="2" w:lineRule="exact"/>
        <w:rPr>
          <w:rFonts w:ascii="Times New Roman" w:cs="Times New Roman" w:eastAsia="Times New Roman" w:hAnsi="Times New Roman"/>
          <w:sz w:val="18"/>
          <w:szCs w:val="18"/>
          <w:color w:val="auto"/>
        </w:rPr>
      </w:pPr>
    </w:p>
    <w:p>
      <w:pPr>
        <w:jc w:val="both"/>
        <w:ind w:left="8"/>
        <w:spacing w:after="0" w:line="24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WHATSOEVER FOR ANY PROPERTY DAMAGE AND/OR PERSONAL INJURY WHICH MIGHT OCCUR IN THE PARKING AREAS OR AS A RESULT OF OR IN CONNECTION WITH THE PARKING OF MOTOR VEHICLES IN ANY OF THE SPACES. TENANT HEREBY AGREES TO DEFEND, INDEMNIFY AND HOLD LANDLORD HARMLESS FROM AND AGAINST ANY AND ALL COSTS, CLAIMS, EXPENSES, DAMAGES AND/OR CAUSES OF ACTION WHICH LANDLORD MAY INCUR IN CONNECTION WITH OR ARISING OUT OF THE USE OF THE SPACES BY TENANT OR ITS EMPLOYEES, AGENTS, SUBTENANTS, LICENSEES</w:t>
      </w:r>
    </w:p>
    <w:p>
      <w:pPr>
        <w:spacing w:after="0" w:line="15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u w:val="single" w:color="auto"/>
          <w:color w:val="auto"/>
        </w:rPr>
        <w:t>Exhibit E, ParkingAgreement</w:t>
      </w:r>
      <w:r>
        <w:rPr>
          <w:rFonts w:ascii="Times New Roman" w:cs="Times New Roman" w:eastAsia="Times New Roman" w:hAnsi="Times New Roman"/>
          <w:sz w:val="18"/>
          <w:szCs w:val="18"/>
          <w:color w:val="auto"/>
        </w:rPr>
        <w:t xml:space="preserve"> –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630555</wp:posOffset>
            </wp:positionV>
            <wp:extent cx="7178040" cy="4000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80">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8"/>
          </w:cols>
          <w:pgMar w:left="312" w:top="1148" w:right="319" w:bottom="1440" w:gutter="0" w:footer="0" w:header="0"/>
        </w:sectPr>
      </w:pPr>
    </w:p>
    <w:bookmarkStart w:id="214" w:name="page215"/>
    <w:bookmarkEnd w:id="214"/>
    <w:p>
      <w:pPr>
        <w:spacing w:after="0" w:line="283" w:lineRule="auto"/>
        <w:rPr>
          <w:sz w:val="20"/>
          <w:szCs w:val="20"/>
          <w:color w:val="auto"/>
        </w:rPr>
      </w:pPr>
      <w:r>
        <w:rPr>
          <w:rFonts w:ascii="Times New Roman" w:cs="Times New Roman" w:eastAsia="Times New Roman" w:hAnsi="Times New Roman"/>
          <w:sz w:val="18"/>
          <w:szCs w:val="18"/>
          <w:b w:val="1"/>
          <w:bCs w:val="1"/>
          <w:color w:val="auto"/>
        </w:rPr>
        <w:t>AND VISITORS, UNLESS CAUSED BY THE GROSS NEGLIGENCE OR WILLFUL MISCONDUCT OF LANDLORD OR ANY LANDLORD RELATED PARTY.</w:t>
      </w:r>
    </w:p>
    <w:p>
      <w:pPr>
        <w:spacing w:after="0" w:line="114" w:lineRule="exact"/>
        <w:rPr>
          <w:sz w:val="20"/>
          <w:szCs w:val="20"/>
          <w:color w:val="auto"/>
        </w:rPr>
      </w:pPr>
    </w:p>
    <w:p>
      <w:pPr>
        <w:ind w:right="20" w:firstLine="743"/>
        <w:spacing w:after="0" w:line="278" w:lineRule="auto"/>
        <w:tabs>
          <w:tab w:leader="none" w:pos="981"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Rules and Regulations</w:t>
      </w:r>
      <w:r>
        <w:rPr>
          <w:rFonts w:ascii="Times New Roman" w:cs="Times New Roman" w:eastAsia="Times New Roman" w:hAnsi="Times New Roman"/>
          <w:sz w:val="18"/>
          <w:szCs w:val="18"/>
          <w:color w:val="auto"/>
        </w:rPr>
        <w:t xml:space="preserve">. Tenant and its employees, agents, subtenants, licensees and visitors will follow the following rules and regulations for the Parking Areas, as the same may be amended or supplemented from time to time in accordance with the terms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118" w:lineRule="exact"/>
        <w:rPr>
          <w:rFonts w:ascii="Times New Roman" w:cs="Times New Roman" w:eastAsia="Times New Roman" w:hAnsi="Times New Roman"/>
          <w:sz w:val="18"/>
          <w:szCs w:val="18"/>
          <w:color w:val="auto"/>
        </w:rPr>
      </w:pPr>
    </w:p>
    <w:p>
      <w:pPr>
        <w:ind w:left="1800" w:hanging="306"/>
        <w:spacing w:after="0"/>
        <w:tabs>
          <w:tab w:leader="none" w:pos="180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Cars must be parked entirely within the stall lines painted on the ground or on the floor;</w:t>
      </w:r>
    </w:p>
    <w:p>
      <w:pPr>
        <w:spacing w:after="0" w:line="184" w:lineRule="exact"/>
        <w:rPr>
          <w:rFonts w:ascii="Times New Roman" w:cs="Times New Roman" w:eastAsia="Times New Roman" w:hAnsi="Times New Roman"/>
          <w:sz w:val="18"/>
          <w:szCs w:val="18"/>
          <w:color w:val="auto"/>
        </w:rPr>
      </w:pPr>
    </w:p>
    <w:p>
      <w:pPr>
        <w:ind w:left="1800" w:hanging="306"/>
        <w:spacing w:after="0"/>
        <w:tabs>
          <w:tab w:leader="none" w:pos="180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directional signs and arrows must be observed;</w:t>
      </w:r>
    </w:p>
    <w:p>
      <w:pPr>
        <w:spacing w:after="0" w:line="184" w:lineRule="exact"/>
        <w:rPr>
          <w:rFonts w:ascii="Times New Roman" w:cs="Times New Roman" w:eastAsia="Times New Roman" w:hAnsi="Times New Roman"/>
          <w:sz w:val="18"/>
          <w:szCs w:val="18"/>
          <w:color w:val="auto"/>
        </w:rPr>
      </w:pPr>
    </w:p>
    <w:p>
      <w:pPr>
        <w:ind w:left="1800" w:hanging="306"/>
        <w:spacing w:after="0"/>
        <w:tabs>
          <w:tab w:leader="none" w:pos="180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speed limit will be five (5) miles per hour or as otherwise posted in the Parking Garage;</w:t>
      </w:r>
    </w:p>
    <w:p>
      <w:pPr>
        <w:spacing w:after="0" w:line="184" w:lineRule="exact"/>
        <w:rPr>
          <w:rFonts w:ascii="Times New Roman" w:cs="Times New Roman" w:eastAsia="Times New Roman" w:hAnsi="Times New Roman"/>
          <w:sz w:val="18"/>
          <w:szCs w:val="18"/>
          <w:color w:val="auto"/>
        </w:rPr>
      </w:pPr>
    </w:p>
    <w:p>
      <w:pPr>
        <w:jc w:val="both"/>
        <w:ind w:firstLine="1494"/>
        <w:spacing w:after="0" w:line="259" w:lineRule="auto"/>
        <w:tabs>
          <w:tab w:leader="none" w:pos="1828"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Parking is prohibited in areas not striped for parking, aisles, areas where "no parking" signs are posted, in cross hatched areas and in such other areas as may be designated by Landlord or Landlord's agent(s), including, but not limited to, areas designated as "Visitor Parking" or reserved spaces not rented under this Parking Agreement;</w:t>
      </w:r>
    </w:p>
    <w:p>
      <w:pPr>
        <w:spacing w:after="0" w:line="135" w:lineRule="exact"/>
        <w:rPr>
          <w:rFonts w:ascii="Times New Roman" w:cs="Times New Roman" w:eastAsia="Times New Roman" w:hAnsi="Times New Roman"/>
          <w:sz w:val="18"/>
          <w:szCs w:val="18"/>
          <w:color w:val="auto"/>
        </w:rPr>
      </w:pPr>
    </w:p>
    <w:p>
      <w:pPr>
        <w:ind w:left="1800" w:hanging="306"/>
        <w:spacing w:after="0"/>
        <w:tabs>
          <w:tab w:leader="none" w:pos="180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vehicle owner is required to park and lock his own car;</w:t>
      </w:r>
    </w:p>
    <w:p>
      <w:pPr>
        <w:spacing w:after="0" w:line="184" w:lineRule="exact"/>
        <w:rPr>
          <w:rFonts w:ascii="Times New Roman" w:cs="Times New Roman" w:eastAsia="Times New Roman" w:hAnsi="Times New Roman"/>
          <w:sz w:val="18"/>
          <w:szCs w:val="18"/>
          <w:color w:val="auto"/>
        </w:rPr>
      </w:pPr>
    </w:p>
    <w:p>
      <w:pPr>
        <w:ind w:firstLine="1494"/>
        <w:spacing w:after="0" w:line="278" w:lineRule="auto"/>
        <w:tabs>
          <w:tab w:leader="none" w:pos="1795"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Spaces which are designated for small, intermediate or full sized cars will be so used; no intermediate or full size cars shall be parked in parking spaces limited to compact cars;</w:t>
      </w:r>
    </w:p>
    <w:p>
      <w:pPr>
        <w:spacing w:after="0" w:line="118" w:lineRule="exact"/>
        <w:rPr>
          <w:rFonts w:ascii="Times New Roman" w:cs="Times New Roman" w:eastAsia="Times New Roman" w:hAnsi="Times New Roman"/>
          <w:sz w:val="18"/>
          <w:szCs w:val="18"/>
          <w:color w:val="auto"/>
        </w:rPr>
      </w:pPr>
    </w:p>
    <w:p>
      <w:pPr>
        <w:ind w:firstLine="1494"/>
        <w:spacing w:after="0" w:line="278" w:lineRule="auto"/>
        <w:tabs>
          <w:tab w:leader="none" w:pos="184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vehicle may be stored in the Parking Areas (any vehicle remaining in the Parking Areas without interruption for five [5] business days is deemed to have been stored in the Parking Areas); and</w:t>
      </w:r>
    </w:p>
    <w:p>
      <w:pPr>
        <w:spacing w:after="0" w:line="118" w:lineRule="exact"/>
        <w:rPr>
          <w:rFonts w:ascii="Times New Roman" w:cs="Times New Roman" w:eastAsia="Times New Roman" w:hAnsi="Times New Roman"/>
          <w:sz w:val="18"/>
          <w:szCs w:val="18"/>
          <w:color w:val="auto"/>
        </w:rPr>
      </w:pPr>
    </w:p>
    <w:p>
      <w:pPr>
        <w:ind w:right="20" w:firstLine="1494"/>
        <w:spacing w:after="0" w:line="278" w:lineRule="auto"/>
        <w:tabs>
          <w:tab w:leader="none" w:pos="1849"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parking by Tenant and its employees, agents, subtenants, licensees, and visitors shall be permitted in any portion of the Parking Garage which is not a part of the Office Portion of the Parking Garage.</w:t>
      </w:r>
    </w:p>
    <w:p>
      <w:pPr>
        <w:spacing w:after="0" w:line="118" w:lineRule="exact"/>
        <w:rPr>
          <w:rFonts w:ascii="Times New Roman" w:cs="Times New Roman" w:eastAsia="Times New Roman" w:hAnsi="Times New Roman"/>
          <w:sz w:val="18"/>
          <w:szCs w:val="18"/>
          <w:color w:val="auto"/>
        </w:rPr>
      </w:pPr>
    </w:p>
    <w:p>
      <w:pPr>
        <w:ind w:firstLine="743"/>
        <w:spacing w:after="0" w:line="278" w:lineRule="auto"/>
        <w:tabs>
          <w:tab w:leader="none" w:pos="1004"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Upon the occurrence of an Event of Default by Tenant under the Lease, Landlord will be entitled to terminate Tenant's right to utilize the Spaces.</w:t>
      </w:r>
    </w:p>
    <w:p>
      <w:pPr>
        <w:spacing w:after="0" w:line="118" w:lineRule="exact"/>
        <w:rPr>
          <w:rFonts w:ascii="Times New Roman" w:cs="Times New Roman" w:eastAsia="Times New Roman" w:hAnsi="Times New Roman"/>
          <w:sz w:val="18"/>
          <w:szCs w:val="18"/>
          <w:color w:val="auto"/>
        </w:rPr>
      </w:pPr>
    </w:p>
    <w:p>
      <w:pPr>
        <w:ind w:firstLine="743"/>
        <w:spacing w:after="0" w:line="278" w:lineRule="auto"/>
        <w:tabs>
          <w:tab w:leader="none" w:pos="993"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Access</w:t>
      </w:r>
      <w:r>
        <w:rPr>
          <w:rFonts w:ascii="Times New Roman" w:cs="Times New Roman" w:eastAsia="Times New Roman" w:hAnsi="Times New Roman"/>
          <w:sz w:val="18"/>
          <w:szCs w:val="18"/>
          <w:color w:val="auto"/>
        </w:rPr>
        <w:t>. Landlord will be entitled to utilize whatever access device Landlord deems necessary (including, but not limited to, the issuance of parking stickers or access cards), to assure that only authorized persons will use the Parking Areas.</w:t>
      </w:r>
    </w:p>
    <w:p>
      <w:pPr>
        <w:spacing w:after="0" w:line="118" w:lineRule="exact"/>
        <w:rPr>
          <w:rFonts w:ascii="Times New Roman" w:cs="Times New Roman" w:eastAsia="Times New Roman" w:hAnsi="Times New Roman"/>
          <w:sz w:val="18"/>
          <w:szCs w:val="18"/>
          <w:color w:val="auto"/>
        </w:rPr>
      </w:pPr>
    </w:p>
    <w:p>
      <w:pPr>
        <w:jc w:val="both"/>
        <w:ind w:firstLine="743"/>
        <w:spacing w:after="0" w:line="249" w:lineRule="auto"/>
        <w:tabs>
          <w:tab w:leader="none" w:pos="1039"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Parking</w:t>
      </w:r>
      <w:r>
        <w:rPr>
          <w:rFonts w:ascii="Times New Roman" w:cs="Times New Roman" w:eastAsia="Times New Roman" w:hAnsi="Times New Roman"/>
          <w:sz w:val="18"/>
          <w:szCs w:val="18"/>
          <w:color w:val="auto"/>
        </w:rPr>
        <w:t>. The Parking Areas are provided for the non-exclusive and common use of Landlord, all tenants of the Building, and their respective employees, agents, subtenants, licensees, visitors, guests and invitees. In addition, certain portions of the Parking Garage are dedicated to the use of the retail and residential portions of the Addison Circle development. Utilization of the unreserved portions of the Parking Areas is therefore subject to availability (and Landlord will have no obligation to provide a specific number of surface parking spaces to Tenant). Tenant and Tenant's employees, customers and invitees will have no right to park in those portions of the Parking Garage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E, ParkingAgreement</w:t>
      </w:r>
      <w:r>
        <w:rPr>
          <w:rFonts w:ascii="Times New Roman" w:cs="Times New Roman" w:eastAsia="Times New Roman" w:hAnsi="Times New Roman"/>
          <w:sz w:val="18"/>
          <w:szCs w:val="18"/>
          <w:color w:val="auto"/>
        </w:rPr>
        <w:t xml:space="preserve"> –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630555</wp:posOffset>
            </wp:positionV>
            <wp:extent cx="7178040" cy="4000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81">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332" w:right="319" w:bottom="1440" w:gutter="0" w:footer="0" w:header="0"/>
        </w:sectPr>
      </w:pPr>
    </w:p>
    <w:bookmarkStart w:id="215" w:name="page216"/>
    <w:bookmarkEnd w:id="215"/>
    <w:p>
      <w:pPr>
        <w:jc w:val="both"/>
        <w:spacing w:after="0" w:line="249" w:lineRule="auto"/>
        <w:rPr>
          <w:sz w:val="20"/>
          <w:szCs w:val="20"/>
          <w:color w:val="auto"/>
        </w:rPr>
      </w:pPr>
      <w:r>
        <w:rPr>
          <w:rFonts w:ascii="Times New Roman" w:cs="Times New Roman" w:eastAsia="Times New Roman" w:hAnsi="Times New Roman"/>
          <w:sz w:val="18"/>
          <w:szCs w:val="18"/>
          <w:color w:val="auto"/>
        </w:rPr>
        <w:t xml:space="preserve">which are not a part of the Office Portion of the Parking Garage and reserved parking is not available after Normal Business Hours during periods the Town of Addison is holding events that require public parking. In the event any person will wrongfully park in any of the Parking Areas or any portion of the Parking Garage which is not a part of the Office Portion of the Parking Garage, or in the event any personnel will violate the rules and regulations set forth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of this Parking Agreement, Landlord will be entitled and is hereby authorized to place a warning sticker on the windshield, wheel lock or other device restricting mobility upon such vehicle, or have any such vehicle towed away, at the sole risk and expense of the vehicle owner.</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E, ParkingAgreement</w:t>
      </w:r>
      <w:r>
        <w:rPr>
          <w:rFonts w:ascii="Times New Roman" w:cs="Times New Roman" w:eastAsia="Times New Roman" w:hAnsi="Times New Roman"/>
          <w:sz w:val="18"/>
          <w:szCs w:val="18"/>
          <w:color w:val="auto"/>
        </w:rPr>
        <w:t xml:space="preserve"> –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630555</wp:posOffset>
            </wp:positionV>
            <wp:extent cx="7178040" cy="4000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82">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336" w:right="319" w:bottom="1440" w:gutter="0" w:footer="0" w:header="0"/>
        </w:sectPr>
      </w:pPr>
    </w:p>
    <w:bookmarkStart w:id="216" w:name="page217"/>
    <w:bookmarkEnd w:id="216"/>
    <w:tbl>
      <w:tblPr>
        <w:tblLayout w:type="fixed"/>
        <w:tblInd w:w="0" w:type="dxa"/>
        <w:tblCellMar>
          <w:top w:w="0" w:type="dxa"/>
          <w:left w:w="0" w:type="dxa"/>
          <w:bottom w:w="0" w:type="dxa"/>
          <w:right w:w="0" w:type="dxa"/>
        </w:tblCellMar>
      </w:tblPr>
      <w:tr>
        <w:trPr>
          <w:trHeight w:val="207"/>
        </w:trPr>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700" w:type="dxa"/>
            <w:vAlign w:val="bottom"/>
            <w:gridSpan w:val="7"/>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EXHIBIT F</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71"/>
        </w:trPr>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920" w:type="dxa"/>
            <w:vAlign w:val="bottom"/>
            <w:tcBorders>
              <w:bottom w:val="single" w:sz="8" w:color="auto"/>
            </w:tcBorders>
            <w:gridSpan w:val="12"/>
          </w:tcPr>
          <w:p>
            <w:pPr>
              <w:jc w:val="center"/>
              <w:spacing w:after="0"/>
              <w:rPr>
                <w:sz w:val="20"/>
                <w:szCs w:val="20"/>
                <w:color w:val="auto"/>
              </w:rPr>
            </w:pPr>
            <w:r>
              <w:rPr>
                <w:rFonts w:ascii="Times New Roman" w:cs="Times New Roman" w:eastAsia="Times New Roman" w:hAnsi="Times New Roman"/>
                <w:sz w:val="18"/>
                <w:szCs w:val="18"/>
                <w:b w:val="1"/>
                <w:bCs w:val="1"/>
                <w:color w:val="auto"/>
              </w:rPr>
              <w:t>FORM OF CONFIDENTIALITY AGREEMENT</w:t>
            </w:r>
          </w:p>
        </w:tc>
        <w:tc>
          <w:tcPr>
            <w:tcW w:w="1160" w:type="dxa"/>
            <w:vAlign w:val="bottom"/>
            <w:gridSpan w:val="2"/>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71"/>
        </w:trPr>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160" w:type="dxa"/>
            <w:vAlign w:val="bottom"/>
            <w:gridSpan w:val="10"/>
          </w:tcPr>
          <w:p>
            <w:pPr>
              <w:ind w:left="40"/>
              <w:spacing w:after="0"/>
              <w:rPr>
                <w:sz w:val="20"/>
                <w:szCs w:val="20"/>
                <w:color w:val="auto"/>
              </w:rPr>
            </w:pPr>
            <w:r>
              <w:rPr>
                <w:rFonts w:ascii="Times New Roman" w:cs="Times New Roman" w:eastAsia="Times New Roman" w:hAnsi="Times New Roman"/>
                <w:sz w:val="18"/>
                <w:szCs w:val="18"/>
                <w:color w:val="auto"/>
              </w:rPr>
              <w:t>THIS CONFIDENTIALITY AGREEMENT (this "Agreement"), dated as of</w:t>
            </w:r>
          </w:p>
        </w:tc>
        <w:tc>
          <w:tcPr>
            <w:tcW w:w="190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 is entered into by</w:t>
            </w:r>
          </w:p>
        </w:tc>
        <w:tc>
          <w:tcPr>
            <w:tcW w:w="36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 a</w:t>
            </w:r>
          </w:p>
        </w:tc>
        <w:tc>
          <w:tcPr>
            <w:tcW w:w="320" w:type="dxa"/>
            <w:vAlign w:val="bottom"/>
          </w:tcPr>
          <w:p>
            <w:pPr>
              <w:spacing w:after="0"/>
              <w:rPr>
                <w:sz w:val="24"/>
                <w:szCs w:val="24"/>
                <w:color w:val="auto"/>
              </w:rPr>
            </w:pPr>
          </w:p>
        </w:tc>
        <w:tc>
          <w:tcPr>
            <w:tcW w:w="16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("Tenant"), and</w:t>
            </w:r>
          </w:p>
        </w:tc>
      </w:tr>
      <w:tr>
        <w:trPr>
          <w:trHeight w:val="20"/>
        </w:trPr>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r>
      <w:tr>
        <w:trPr>
          <w:trHeight w:val="187"/>
        </w:trPr>
        <w:tc>
          <w:tcPr>
            <w:tcW w:w="8760" w:type="dxa"/>
            <w:vAlign w:val="bottom"/>
            <w:gridSpan w:val="17"/>
          </w:tcPr>
          <w:p>
            <w:pPr>
              <w:spacing w:after="0" w:line="187" w:lineRule="exact"/>
              <w:rPr>
                <w:sz w:val="20"/>
                <w:szCs w:val="20"/>
                <w:color w:val="auto"/>
              </w:rPr>
            </w:pPr>
            <w:r>
              <w:rPr>
                <w:rFonts w:ascii="Times New Roman" w:cs="Times New Roman" w:eastAsia="Times New Roman" w:hAnsi="Times New Roman"/>
                <w:sz w:val="18"/>
                <w:szCs w:val="18"/>
                <w:color w:val="auto"/>
              </w:rPr>
              <w:t>("Auditor"), for the benefit of FSP Addison Circle Limited Partnership, a Texas limited partnership ("Landlord").</w:t>
            </w: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416"/>
        </w:trPr>
        <w:tc>
          <w:tcPr>
            <w:tcW w:w="12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980" w:type="dxa"/>
            <w:vAlign w:val="bottom"/>
          </w:tcPr>
          <w:p>
            <w:pPr>
              <w:spacing w:after="0"/>
              <w:rPr>
                <w:sz w:val="24"/>
                <w:szCs w:val="24"/>
                <w:color w:val="auto"/>
              </w:rPr>
            </w:pPr>
          </w:p>
        </w:tc>
        <w:tc>
          <w:tcPr>
            <w:tcW w:w="3180" w:type="dxa"/>
            <w:vAlign w:val="bottom"/>
            <w:gridSpan w:val="9"/>
          </w:tcPr>
          <w:p>
            <w:pPr>
              <w:jc w:val="center"/>
              <w:ind w:left="608"/>
              <w:spacing w:after="0"/>
              <w:rPr>
                <w:sz w:val="20"/>
                <w:szCs w:val="20"/>
                <w:color w:val="auto"/>
              </w:rPr>
            </w:pPr>
            <w:r>
              <w:rPr>
                <w:rFonts w:ascii="Times New Roman" w:cs="Times New Roman" w:eastAsia="Times New Roman" w:hAnsi="Times New Roman"/>
                <w:sz w:val="18"/>
                <w:szCs w:val="18"/>
                <w:b w:val="1"/>
                <w:bCs w:val="1"/>
                <w:color w:val="auto"/>
              </w:rPr>
              <w:t>W I T N E S S E T H T H A T:</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47"/>
        </w:trPr>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160" w:type="dxa"/>
            <w:vAlign w:val="bottom"/>
            <w:gridSpan w:val="10"/>
          </w:tcPr>
          <w:p>
            <w:pPr>
              <w:ind w:left="40"/>
              <w:spacing w:after="0"/>
              <w:rPr>
                <w:sz w:val="20"/>
                <w:szCs w:val="20"/>
                <w:color w:val="auto"/>
              </w:rPr>
            </w:pPr>
            <w:r>
              <w:rPr>
                <w:rFonts w:ascii="Times New Roman" w:cs="Times New Roman" w:eastAsia="Times New Roman" w:hAnsi="Times New Roman"/>
                <w:sz w:val="18"/>
                <w:szCs w:val="18"/>
                <w:color w:val="auto"/>
              </w:rPr>
              <w:t>WHEREAS, in connection with that certain Lease (the "Lease") dated</w:t>
            </w:r>
          </w:p>
        </w:tc>
        <w:tc>
          <w:tcPr>
            <w:tcW w:w="44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 between Landlord and Tenant, Tenant has the right to hire</w:t>
            </w:r>
          </w:p>
        </w:tc>
      </w:tr>
      <w:tr>
        <w:trPr>
          <w:trHeight w:val="20"/>
        </w:trPr>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an independent accounting firm to audit Landlord's books and records pertaining to Basic Operating Costs (as defined in the Lease); and</w:t>
      </w:r>
    </w:p>
    <w:p>
      <w:pPr>
        <w:spacing w:after="0" w:line="184" w:lineRule="exact"/>
        <w:rPr>
          <w:sz w:val="20"/>
          <w:szCs w:val="20"/>
          <w:color w:val="auto"/>
        </w:rPr>
      </w:pPr>
    </w:p>
    <w:p>
      <w:pPr>
        <w:jc w:val="both"/>
        <w:ind w:right="80" w:firstLine="751"/>
        <w:spacing w:after="0" w:line="278" w:lineRule="auto"/>
        <w:rPr>
          <w:sz w:val="20"/>
          <w:szCs w:val="20"/>
          <w:color w:val="auto"/>
        </w:rPr>
      </w:pPr>
      <w:r>
        <w:rPr>
          <w:rFonts w:ascii="Times New Roman" w:cs="Times New Roman" w:eastAsia="Times New Roman" w:hAnsi="Times New Roman"/>
          <w:sz w:val="18"/>
          <w:szCs w:val="18"/>
          <w:color w:val="auto"/>
        </w:rPr>
        <w:t>WHEREAS, it is expected that in connection with such audit, Tenant and Auditor will receive or have access to Confidential Information (defined below); and</w:t>
      </w:r>
    </w:p>
    <w:p>
      <w:pPr>
        <w:spacing w:after="0" w:line="11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WHEREAS, as a condition of Tenant's audit right, Landlord requires that Tenant and Auditor keep confidential the Confidential Information.</w:t>
      </w:r>
    </w:p>
    <w:p>
      <w:pPr>
        <w:spacing w:after="0" w:line="184" w:lineRule="exact"/>
        <w:rPr>
          <w:sz w:val="20"/>
          <w:szCs w:val="20"/>
          <w:color w:val="auto"/>
        </w:rPr>
      </w:pPr>
    </w:p>
    <w:p>
      <w:pPr>
        <w:jc w:val="both"/>
        <w:ind w:right="80" w:firstLine="751"/>
        <w:spacing w:after="0" w:line="259" w:lineRule="auto"/>
        <w:rPr>
          <w:sz w:val="20"/>
          <w:szCs w:val="20"/>
          <w:color w:val="auto"/>
        </w:rPr>
      </w:pPr>
      <w:r>
        <w:rPr>
          <w:rFonts w:ascii="Times New Roman" w:cs="Times New Roman" w:eastAsia="Times New Roman" w:hAnsi="Times New Roman"/>
          <w:sz w:val="18"/>
          <w:szCs w:val="18"/>
          <w:color w:val="auto"/>
        </w:rPr>
        <w:t>NOW, THEREFORE, in consideration of and as a condition of Tenant's audit right and in consideration of payment by Tenant for Auditor's services for performing the audit, and for other good and valuable consideration, the receipt, sufficiency and adequacy of which are hereby acknowledged, Auditor and Tenant agree as follows, for the benefit of Landlord:</w:t>
      </w:r>
    </w:p>
    <w:p>
      <w:pPr>
        <w:spacing w:after="0" w:line="135" w:lineRule="exact"/>
        <w:rPr>
          <w:sz w:val="20"/>
          <w:szCs w:val="20"/>
          <w:color w:val="auto"/>
        </w:rPr>
      </w:pPr>
    </w:p>
    <w:p>
      <w:pPr>
        <w:jc w:val="both"/>
        <w:ind w:right="80" w:firstLine="743"/>
        <w:spacing w:after="0" w:line="247" w:lineRule="auto"/>
        <w:tabs>
          <w:tab w:leader="none" w:pos="1001"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Auditor and Tenant acknowledge that the information which Auditor and Tenant may receive in connection with such audit is nonpublic, confidential and/or proprietary information relating to Landlord, its business operations and the Complex, and that Landlord would be irreparably damaged if such information were disclosed to or utilized on behalf of any other person (including Auditor and Tenant), firm, corporation or any other tenant of the Complex for any reason other than Tenant's audit of Landlord. Auditor and Tenant agree that any information given to Auditor or Tenant by Landlord during the course of such audit is, and shall remain, property owned by Landlord, and neither Auditor nor Tenant shall have any right in or to such information, other than to use the information for the purposes set forth in the Lease.</w:t>
      </w:r>
    </w:p>
    <w:p>
      <w:pPr>
        <w:spacing w:after="0" w:line="148" w:lineRule="exact"/>
        <w:rPr>
          <w:rFonts w:ascii="Times New Roman" w:cs="Times New Roman" w:eastAsia="Times New Roman" w:hAnsi="Times New Roman"/>
          <w:sz w:val="18"/>
          <w:szCs w:val="18"/>
          <w:color w:val="auto"/>
        </w:rPr>
      </w:pPr>
    </w:p>
    <w:p>
      <w:pPr>
        <w:jc w:val="both"/>
        <w:ind w:right="80" w:firstLine="743"/>
        <w:spacing w:after="0" w:line="249" w:lineRule="auto"/>
        <w:tabs>
          <w:tab w:leader="none" w:pos="981"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Auditor and Tenant agree to keep confidential, and agree to cause their employees, associates, agents and advisors to keep confidential, any information belonging to Landlord and any information not generally known to the public about the business and affairs of Landlord, including, without limitation, (a) all books, manuals, records, memoranda, projections, business plans, tenant lists, cost information, contractual relationships, and (b) other information, whether computerized, written or oral, relating specifically or generally to Basic Operating Costs, the Complex and the business operations of Landlord (the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w:t>
      </w:r>
    </w:p>
    <w:p>
      <w:pPr>
        <w:spacing w:after="0" w:line="145" w:lineRule="exact"/>
        <w:rPr>
          <w:rFonts w:ascii="Times New Roman" w:cs="Times New Roman" w:eastAsia="Times New Roman" w:hAnsi="Times New Roman"/>
          <w:sz w:val="18"/>
          <w:szCs w:val="18"/>
          <w:color w:val="auto"/>
        </w:rPr>
      </w:pPr>
    </w:p>
    <w:p>
      <w:pPr>
        <w:jc w:val="both"/>
        <w:ind w:right="100" w:firstLine="743"/>
        <w:spacing w:after="0" w:line="259" w:lineRule="auto"/>
        <w:tabs>
          <w:tab w:leader="none" w:pos="991"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Auditor and Tenant each hereby represent and warrant that its internal policies, procedures and practices are adequate to safeguard against any breach of this Agreement by it or its employees, associates, agents and advisors, and Auditor and Tenant each agree to maintain such internal policies, procedures and practices as are necessary to adequately safeguard against a breach of this Agreement.</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F, Form of Confidentiality Agreement</w:t>
      </w:r>
      <w:r>
        <w:rPr>
          <w:rFonts w:ascii="Times New Roman" w:cs="Times New Roman" w:eastAsia="Times New Roman" w:hAnsi="Times New Roman"/>
          <w:sz w:val="18"/>
          <w:szCs w:val="18"/>
          <w:color w:val="auto"/>
        </w:rPr>
        <w:t xml:space="preserve"> –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622935</wp:posOffset>
            </wp:positionV>
            <wp:extent cx="7178040" cy="4000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83">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340"/>
          </w:cols>
          <w:pgMar w:left="320" w:top="1210" w:right="239" w:bottom="1440" w:gutter="0" w:footer="0" w:header="0"/>
        </w:sectPr>
      </w:pPr>
    </w:p>
    <w:bookmarkStart w:id="217" w:name="page218"/>
    <w:bookmarkEnd w:id="217"/>
    <w:p>
      <w:pPr>
        <w:jc w:val="both"/>
        <w:ind w:firstLine="743"/>
        <w:spacing w:after="0" w:line="252" w:lineRule="auto"/>
        <w:tabs>
          <w:tab w:leader="none" w:pos="1009"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phrase "to keep confidential," as used herein, means that the information or document, including the content, substance or effect of such information or document, (a) shall not be disclosed or distributed by Auditor or Tenant to any other person, firm, organization or entity, including to any associate, agent, advisor or affiliate of Auditor or Tenant not directly involved in the audit, or to any other tenant of the Complex, (b) shall not be utilized by either Auditor or Tenant for any purpose other than as described in the Lease.</w:t>
      </w:r>
    </w:p>
    <w:p>
      <w:pPr>
        <w:spacing w:after="0" w:line="143" w:lineRule="exact"/>
        <w:rPr>
          <w:rFonts w:ascii="Times New Roman" w:cs="Times New Roman" w:eastAsia="Times New Roman" w:hAnsi="Times New Roman"/>
          <w:sz w:val="18"/>
          <w:szCs w:val="18"/>
          <w:color w:val="auto"/>
        </w:rPr>
      </w:pPr>
    </w:p>
    <w:p>
      <w:pPr>
        <w:jc w:val="both"/>
        <w:ind w:firstLine="743"/>
        <w:spacing w:after="0" w:line="252" w:lineRule="auto"/>
        <w:tabs>
          <w:tab w:leader="none" w:pos="1022"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set forth herein, in the event that Auditor or Tenant is required to do so in legal, arbitration, governmental or regulatory proceedings, Auditor or Tenant may disclose only that portion of the Confidential Information which its counsel advises in writing that it is legally compelled to disclose and will exercise its best efforts to obtain assurances that confidential treatment will be accorded such Confidential Information even after such disclosure.</w:t>
      </w:r>
    </w:p>
    <w:p>
      <w:pPr>
        <w:spacing w:after="0" w:line="143" w:lineRule="exact"/>
        <w:rPr>
          <w:rFonts w:ascii="Times New Roman" w:cs="Times New Roman" w:eastAsia="Times New Roman" w:hAnsi="Times New Roman"/>
          <w:sz w:val="18"/>
          <w:szCs w:val="18"/>
          <w:color w:val="auto"/>
        </w:rPr>
      </w:pPr>
    </w:p>
    <w:p>
      <w:pPr>
        <w:jc w:val="both"/>
        <w:ind w:firstLine="743"/>
        <w:spacing w:after="0" w:line="252" w:lineRule="auto"/>
        <w:tabs>
          <w:tab w:leader="none" w:pos="1041"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Auditor and Tenant acknowledge that the subject matter of this Agreement is unique and that no adequate remedy at law would be available for breach of the obligations specified herein. Accordingly, in the event of a breach or threatened breach by Auditor or Tenant of the provisions of this Agreement, Landlord shall, in addition to any other rights and remedies available to it, at law or in equity, be entitled to injunctive relief by a court or agency of competent jurisdiction enjoining and restraining the violating party from committing or continuing any violation of this Agreement.</w:t>
      </w:r>
    </w:p>
    <w:p>
      <w:pPr>
        <w:spacing w:after="0" w:line="143" w:lineRule="exact"/>
        <w:rPr>
          <w:rFonts w:ascii="Times New Roman" w:cs="Times New Roman" w:eastAsia="Times New Roman" w:hAnsi="Times New Roman"/>
          <w:sz w:val="18"/>
          <w:szCs w:val="18"/>
          <w:color w:val="auto"/>
        </w:rPr>
      </w:pPr>
    </w:p>
    <w:p>
      <w:pPr>
        <w:ind w:right="20" w:firstLine="743"/>
        <w:spacing w:after="0" w:line="278" w:lineRule="auto"/>
        <w:tabs>
          <w:tab w:leader="none" w:pos="1002"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waiver by Landlord of a breach of any provision of this Agreement shall not operate or be construed as a waiver of any subsequent breach of the same or of any other provision hereof.</w:t>
      </w:r>
    </w:p>
    <w:p>
      <w:pPr>
        <w:spacing w:after="0" w:line="118" w:lineRule="exact"/>
        <w:rPr>
          <w:rFonts w:ascii="Times New Roman" w:cs="Times New Roman" w:eastAsia="Times New Roman" w:hAnsi="Times New Roman"/>
          <w:sz w:val="18"/>
          <w:szCs w:val="18"/>
          <w:color w:val="auto"/>
        </w:rPr>
      </w:pPr>
    </w:p>
    <w:p>
      <w:pPr>
        <w:jc w:val="both"/>
        <w:ind w:firstLine="743"/>
        <w:spacing w:after="0" w:line="249" w:lineRule="auto"/>
        <w:tabs>
          <w:tab w:leader="none" w:pos="999"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any one or more of the provisions or parts of a provision contained in this Agreement shall, for any reason, be held to be invalid, illegal or unenforceable in any respect, such invalidity, illegality or unenforceability shall not affect any other provision or part of a provision of this Agreement; and this Agreement shall, to the fullest extent possible, be reformed and construed as if such invalid or illegal or unenforceable provision, or part of a provision, had never been contained herein, and such provision or part shall be reformed so that it would be valid, legal and enforceable to the maximum extent possible.</w:t>
      </w:r>
    </w:p>
    <w:p>
      <w:pPr>
        <w:spacing w:after="0" w:line="145" w:lineRule="exact"/>
        <w:rPr>
          <w:rFonts w:ascii="Times New Roman" w:cs="Times New Roman" w:eastAsia="Times New Roman" w:hAnsi="Times New Roman"/>
          <w:sz w:val="18"/>
          <w:szCs w:val="18"/>
          <w:color w:val="auto"/>
        </w:rPr>
      </w:pPr>
    </w:p>
    <w:p>
      <w:pPr>
        <w:ind w:firstLine="743"/>
        <w:spacing w:after="0" w:line="278" w:lineRule="auto"/>
        <w:tabs>
          <w:tab w:leader="none" w:pos="1021"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binding upon Tenant, Auditor and their successors and assigns for the benefit of Landlord, and shall be fully enforceable by Landlord against Tenant, Auditor and their successors and assigns.</w:t>
      </w:r>
    </w:p>
    <w:p>
      <w:pPr>
        <w:spacing w:after="0" w:line="118" w:lineRule="exact"/>
        <w:rPr>
          <w:rFonts w:ascii="Times New Roman" w:cs="Times New Roman" w:eastAsia="Times New Roman" w:hAnsi="Times New Roman"/>
          <w:sz w:val="18"/>
          <w:szCs w:val="18"/>
          <w:color w:val="auto"/>
        </w:rPr>
      </w:pPr>
    </w:p>
    <w:p>
      <w:pPr>
        <w:ind w:left="1120" w:hanging="377"/>
        <w:spacing w:after="0"/>
        <w:tabs>
          <w:tab w:leader="none" w:pos="11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amended or modified in whole or in part, only by an instrument in writing signed by Landlord, Tenant and</w:t>
      </w:r>
    </w:p>
    <w:p>
      <w:pPr>
        <w:spacing w:after="0" w:line="2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Auditor.</w:t>
      </w:r>
    </w:p>
    <w:p>
      <w:pPr>
        <w:spacing w:after="0" w:line="164" w:lineRule="exact"/>
        <w:rPr>
          <w:rFonts w:ascii="Times New Roman" w:cs="Times New Roman" w:eastAsia="Times New Roman" w:hAnsi="Times New Roman"/>
          <w:sz w:val="18"/>
          <w:szCs w:val="18"/>
          <w:color w:val="auto"/>
        </w:rPr>
      </w:pPr>
    </w:p>
    <w:p>
      <w:pPr>
        <w:jc w:val="both"/>
        <w:ind w:right="20" w:firstLine="743"/>
        <w:spacing w:after="0" w:line="259" w:lineRule="auto"/>
        <w:tabs>
          <w:tab w:leader="none" w:pos="1078"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construed in accordance with and governed for all purposes by the laws of the State of Texas, without regard to conflicts of law principles. Venue for any action arising herefrom shall be in Dallas County, Texas, and the parties hereto submit themselves to the jurisdiction of the state and federal courts of Dallas County, Texas.</w:t>
      </w:r>
    </w:p>
    <w:p>
      <w:pPr>
        <w:spacing w:after="0" w:line="13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IN WITNESS WHEREOF, Tenant and Auditor have duly executed this Agreement as of the date first above written.</w:t>
      </w:r>
    </w:p>
    <w:p>
      <w:pPr>
        <w:spacing w:after="0" w:line="18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u w:val="single" w:color="auto"/>
          <w:color w:val="auto"/>
        </w:rPr>
        <w:t>TENANT:</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F, Form of Confidentiality Agreement</w:t>
      </w:r>
      <w:r>
        <w:rPr>
          <w:rFonts w:ascii="Times New Roman" w:cs="Times New Roman" w:eastAsia="Times New Roman" w:hAnsi="Times New Roman"/>
          <w:sz w:val="18"/>
          <w:szCs w:val="18"/>
          <w:color w:val="auto"/>
        </w:rPr>
        <w:t xml:space="preserve"> –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630555</wp:posOffset>
            </wp:positionV>
            <wp:extent cx="7178040" cy="4000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84">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337" w:right="319" w:bottom="1440" w:gutter="0" w:footer="0" w:header="0"/>
        </w:sectPr>
      </w:pPr>
    </w:p>
    <w:bookmarkStart w:id="218" w:name="page219"/>
    <w:bookmarkEnd w:id="218"/>
    <w:p>
      <w:pPr>
        <w:spacing w:after="0" w:line="200" w:lineRule="exact"/>
        <w:rPr>
          <w:sz w:val="20"/>
          <w:szCs w:val="20"/>
          <w:color w:val="auto"/>
        </w:rPr>
      </w:pPr>
    </w:p>
    <w:p>
      <w:pPr>
        <w:spacing w:after="0" w:line="237" w:lineRule="exact"/>
        <w:rPr>
          <w:sz w:val="20"/>
          <w:szCs w:val="20"/>
          <w:color w:val="auto"/>
        </w:rPr>
      </w:pPr>
    </w:p>
    <w:p>
      <w:pPr>
        <w:jc w:val="right"/>
        <w:ind w:right="4059"/>
        <w:spacing w:after="0"/>
        <w:rPr>
          <w:sz w:val="20"/>
          <w:szCs w:val="20"/>
          <w:color w:val="auto"/>
        </w:rPr>
      </w:pPr>
      <w:r>
        <w:rPr>
          <w:rFonts w:ascii="Times New Roman" w:cs="Times New Roman" w:eastAsia="Times New Roman" w:hAnsi="Times New Roman"/>
          <w:sz w:val="18"/>
          <w:szCs w:val="18"/>
          <w:u w:val="single" w:color="auto"/>
          <w:color w:val="auto"/>
        </w:rPr>
        <w:t>AUDITOR:</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F, Form of Confidentiality Agreement</w:t>
      </w:r>
      <w:r>
        <w:rPr>
          <w:rFonts w:ascii="Times New Roman" w:cs="Times New Roman" w:eastAsia="Times New Roman" w:hAnsi="Times New Roman"/>
          <w:sz w:val="18"/>
          <w:szCs w:val="18"/>
          <w:color w:val="auto"/>
        </w:rPr>
        <w:t xml:space="preserve"> –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630555</wp:posOffset>
            </wp:positionV>
            <wp:extent cx="7178040" cy="4000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85">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19" w:name="page220"/>
    <w:bookmarkEnd w:id="219"/>
    <w:p>
      <w:pPr>
        <w:jc w:val="center"/>
        <w:ind w:right="40"/>
        <w:spacing w:after="0"/>
        <w:rPr>
          <w:sz w:val="20"/>
          <w:szCs w:val="20"/>
          <w:color w:val="auto"/>
        </w:rPr>
      </w:pPr>
      <w:r>
        <w:rPr>
          <w:rFonts w:ascii="Times New Roman" w:cs="Times New Roman" w:eastAsia="Times New Roman" w:hAnsi="Times New Roman"/>
          <w:sz w:val="18"/>
          <w:szCs w:val="18"/>
          <w:b w:val="1"/>
          <w:bCs w:val="1"/>
          <w:u w:val="single" w:color="auto"/>
          <w:color w:val="auto"/>
        </w:rPr>
        <w:t>EXHIBIT G</w:t>
      </w:r>
    </w:p>
    <w:p>
      <w:pPr>
        <w:spacing w:after="0" w:line="1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u w:val="single" w:color="auto"/>
          <w:color w:val="auto"/>
        </w:rPr>
        <w:t>FORM OF GUARANTY</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GUARANTY OF LEASE</w:t>
      </w:r>
    </w:p>
    <w:p>
      <w:pPr>
        <w:spacing w:after="0" w:line="188" w:lineRule="exact"/>
        <w:rPr>
          <w:sz w:val="20"/>
          <w:szCs w:val="20"/>
          <w:color w:val="auto"/>
        </w:rPr>
      </w:pPr>
    </w:p>
    <w:p>
      <w:pPr>
        <w:ind w:firstLine="751"/>
        <w:spacing w:after="0" w:line="278" w:lineRule="auto"/>
        <w:rPr>
          <w:sz w:val="20"/>
          <w:szCs w:val="20"/>
          <w:color w:val="auto"/>
        </w:rPr>
      </w:pPr>
      <w:r>
        <w:rPr>
          <w:rFonts w:ascii="Times New Roman" w:cs="Times New Roman" w:eastAsia="Times New Roman" w:hAnsi="Times New Roman"/>
          <w:sz w:val="18"/>
          <w:szCs w:val="18"/>
          <w:color w:val="auto"/>
        </w:rPr>
        <w:t>THIS GUARANTY OF LEASE ("</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is dated as of the same date as the Lease, and is made and entered into by CARGURUS, INC., a Delaware corporation ("</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to be effective as of the Effective Date set forth in the Lease.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RECITALS</w:t>
      </w:r>
    </w:p>
    <w:p>
      <w:pPr>
        <w:spacing w:after="0" w:line="184" w:lineRule="exact"/>
        <w:rPr>
          <w:sz w:val="20"/>
          <w:szCs w:val="20"/>
          <w:color w:val="auto"/>
        </w:rPr>
      </w:pPr>
    </w:p>
    <w:p>
      <w:pPr>
        <w:jc w:val="both"/>
        <w:ind w:firstLine="743"/>
        <w:spacing w:after="0" w:line="259" w:lineRule="auto"/>
        <w:tabs>
          <w:tab w:leader="none" w:pos="1042"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Guaranty is being executed and delivered by Guarantor as an essential inducement to Landlord to execute that certain Office Lease Agreement dated as of April 28, 2022 (the "</w:t>
      </w:r>
      <w:r>
        <w:rPr>
          <w:rFonts w:ascii="Times New Roman" w:cs="Times New Roman" w:eastAsia="Times New Roman" w:hAnsi="Times New Roman"/>
          <w:sz w:val="18"/>
          <w:szCs w:val="18"/>
          <w:u w:val="single" w:color="auto"/>
          <w:color w:val="auto"/>
        </w:rPr>
        <w:t>Lease</w:t>
      </w:r>
      <w:r>
        <w:rPr>
          <w:rFonts w:ascii="Times New Roman" w:cs="Times New Roman" w:eastAsia="Times New Roman" w:hAnsi="Times New Roman"/>
          <w:sz w:val="18"/>
          <w:szCs w:val="18"/>
          <w:color w:val="auto"/>
        </w:rPr>
        <w:t>"), between FSP Addison Circle Limited Partnership, a Texas limited partnership ("</w:t>
      </w:r>
      <w:r>
        <w:rPr>
          <w:rFonts w:ascii="Times New Roman" w:cs="Times New Roman" w:eastAsia="Times New Roman" w:hAnsi="Times New Roman"/>
          <w:sz w:val="18"/>
          <w:szCs w:val="18"/>
          <w:u w:val="single" w:color="auto"/>
          <w:color w:val="auto"/>
        </w:rPr>
        <w:t>Landlord</w:t>
      </w:r>
      <w:r>
        <w:rPr>
          <w:rFonts w:ascii="Times New Roman" w:cs="Times New Roman" w:eastAsia="Times New Roman" w:hAnsi="Times New Roman"/>
          <w:sz w:val="18"/>
          <w:szCs w:val="18"/>
          <w:color w:val="auto"/>
        </w:rPr>
        <w:t>"), and CarOffer, LLC, a Delaware limited liability company ("</w:t>
      </w:r>
      <w:r>
        <w:rPr>
          <w:rFonts w:ascii="Times New Roman" w:cs="Times New Roman" w:eastAsia="Times New Roman" w:hAnsi="Times New Roman"/>
          <w:sz w:val="18"/>
          <w:szCs w:val="18"/>
          <w:u w:val="single" w:color="auto"/>
          <w:color w:val="auto"/>
        </w:rPr>
        <w:t>Tenant</w:t>
      </w:r>
      <w:r>
        <w:rPr>
          <w:rFonts w:ascii="Times New Roman" w:cs="Times New Roman" w:eastAsia="Times New Roman" w:hAnsi="Times New Roman"/>
          <w:sz w:val="18"/>
          <w:szCs w:val="18"/>
          <w:color w:val="auto"/>
        </w:rPr>
        <w:t>"), covering the Premises as described in the Lease.</w:t>
      </w:r>
    </w:p>
    <w:p>
      <w:pPr>
        <w:spacing w:after="0" w:line="135" w:lineRule="exact"/>
        <w:rPr>
          <w:rFonts w:ascii="Times New Roman" w:cs="Times New Roman" w:eastAsia="Times New Roman" w:hAnsi="Times New Roman"/>
          <w:sz w:val="18"/>
          <w:szCs w:val="18"/>
          <w:color w:val="auto"/>
        </w:rPr>
      </w:pPr>
    </w:p>
    <w:p>
      <w:pPr>
        <w:ind w:left="1040" w:hanging="297"/>
        <w:spacing w:after="0"/>
        <w:tabs>
          <w:tab w:leader="none" w:pos="10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defined in this Guaranty, all capitalized terms used in this Guaranty have the same definitions as are set forth in the</w:t>
      </w:r>
    </w:p>
    <w:p>
      <w:pPr>
        <w:spacing w:after="0" w:line="2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AGREEMENT</w:t>
      </w:r>
    </w:p>
    <w:p>
      <w:pPr>
        <w:spacing w:after="0" w:line="184" w:lineRule="exact"/>
        <w:rPr>
          <w:sz w:val="20"/>
          <w:szCs w:val="20"/>
          <w:color w:val="auto"/>
        </w:rPr>
      </w:pPr>
    </w:p>
    <w:p>
      <w:pPr>
        <w:ind w:right="20" w:firstLine="751"/>
        <w:spacing w:after="0" w:line="278" w:lineRule="auto"/>
        <w:rPr>
          <w:sz w:val="20"/>
          <w:szCs w:val="20"/>
          <w:color w:val="auto"/>
        </w:rPr>
      </w:pPr>
      <w:r>
        <w:rPr>
          <w:rFonts w:ascii="Times New Roman" w:cs="Times New Roman" w:eastAsia="Times New Roman" w:hAnsi="Times New Roman"/>
          <w:sz w:val="18"/>
          <w:szCs w:val="18"/>
          <w:color w:val="auto"/>
        </w:rPr>
        <w:t>For good and valuable consideration, the receipt and sufficiency of which are hereby acknowledged, Guarantor agrees, covenants, represents and warrants as set forth below.</w:t>
      </w:r>
    </w:p>
    <w:p>
      <w:pPr>
        <w:spacing w:after="0" w:line="119" w:lineRule="exact"/>
        <w:rPr>
          <w:sz w:val="20"/>
          <w:szCs w:val="20"/>
          <w:color w:val="auto"/>
        </w:rPr>
      </w:pPr>
    </w:p>
    <w:p>
      <w:pPr>
        <w:jc w:val="both"/>
        <w:ind w:firstLine="743"/>
        <w:spacing w:after="0" w:line="246" w:lineRule="auto"/>
        <w:tabs>
          <w:tab w:leader="none" w:pos="1004"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Guarantor hereby unconditionally guarantees to Landlord and its successors and assigns, the timely payment (after taking into consideration applicable notice and grace periods expressly provided for in the Lease and subject to any rights or defenses applicable to the obligations of Tenant under the Lease but only to the extent such rights or defenses are not waived in this Guaranty) of all Rent and obligations of Tenant under the Lease and all other documents evidencing or securing the obligations under the Lease, including, without limitation, Tenant's obligations to pay all Base Rental and other Rent and to perform all indemnity obligations under the Lease (collectively, the "</w:t>
      </w:r>
      <w:r>
        <w:rPr>
          <w:rFonts w:ascii="Times New Roman" w:cs="Times New Roman" w:eastAsia="Times New Roman" w:hAnsi="Times New Roman"/>
          <w:sz w:val="18"/>
          <w:szCs w:val="18"/>
          <w:u w:val="single" w:color="auto"/>
          <w:color w:val="auto"/>
        </w:rPr>
        <w:t>Guarantied Obligations</w:t>
      </w:r>
      <w:r>
        <w:rPr>
          <w:rFonts w:ascii="Times New Roman" w:cs="Times New Roman" w:eastAsia="Times New Roman" w:hAnsi="Times New Roman"/>
          <w:sz w:val="18"/>
          <w:szCs w:val="18"/>
          <w:color w:val="auto"/>
        </w:rPr>
        <w:t>"). This Guaranty is an absolute guaranty of payment and not of collection. This Guaranty will survive the termination of the Lease and will continue in full force and effect with respect to the Guarantied Obligations which are not fully paid upon the termination of the Lease and which survive the termination of the Lease.</w:t>
      </w:r>
    </w:p>
    <w:p>
      <w:pPr>
        <w:spacing w:after="0" w:line="148" w:lineRule="exact"/>
        <w:rPr>
          <w:rFonts w:ascii="Times New Roman" w:cs="Times New Roman" w:eastAsia="Times New Roman" w:hAnsi="Times New Roman"/>
          <w:sz w:val="18"/>
          <w:szCs w:val="18"/>
          <w:color w:val="auto"/>
        </w:rPr>
      </w:pPr>
    </w:p>
    <w:p>
      <w:pPr>
        <w:jc w:val="both"/>
        <w:ind w:firstLine="743"/>
        <w:spacing w:after="0" w:line="246" w:lineRule="auto"/>
        <w:tabs>
          <w:tab w:leader="none" w:pos="993"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of Landlord</w:t>
      </w:r>
      <w:r>
        <w:rPr>
          <w:rFonts w:ascii="Times New Roman" w:cs="Times New Roman" w:eastAsia="Times New Roman" w:hAnsi="Times New Roman"/>
          <w:sz w:val="18"/>
          <w:szCs w:val="18"/>
          <w:color w:val="auto"/>
        </w:rPr>
        <w:t>. Guarantor authorizes Landlord to, subject to the terms of the Lease and applicable law then in effect and at any time and from time to time, in Landlord's discretion, (a) take and hold, and apply, any security for the Guarantied Obligations; (b) accept additional or substituted security; (c) subordinate, compromise or release any security; (d) release Tenant or any other person from its liability for all or any part of the Guarantied Obligations; (e) participate in any settlement offered by Tenant or any guarantor, whether in liquidation, reorganization, receivership, bankruptcy or otherwise; (f) release, substitute or add any one or more guarantors or endorsers; (g) assign this Guaranty and/or the Guarantied Obligations in whole or in part; or (h) modify, extend and/or amend the Guarantied Obligations. Landlord may take any, of the foregoing actions upon any</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G, Form of Guaranty</w:t>
      </w:r>
      <w:r>
        <w:rPr>
          <w:rFonts w:ascii="Times New Roman" w:cs="Times New Roman" w:eastAsia="Times New Roman" w:hAnsi="Times New Roman"/>
          <w:sz w:val="18"/>
          <w:szCs w:val="18"/>
          <w:color w:val="auto"/>
        </w:rPr>
        <w:t xml:space="preserve"> –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630555</wp:posOffset>
            </wp:positionV>
            <wp:extent cx="7178040" cy="4000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86">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48" w:right="319" w:bottom="1440" w:gutter="0" w:footer="0" w:header="0"/>
        </w:sectPr>
      </w:pPr>
    </w:p>
    <w:bookmarkStart w:id="220" w:name="page221"/>
    <w:bookmarkEnd w:id="220"/>
    <w:p>
      <w:pPr>
        <w:spacing w:after="0" w:line="278" w:lineRule="auto"/>
        <w:rPr>
          <w:sz w:val="20"/>
          <w:szCs w:val="20"/>
          <w:color w:val="auto"/>
        </w:rPr>
      </w:pPr>
      <w:r>
        <w:rPr>
          <w:rFonts w:ascii="Times New Roman" w:cs="Times New Roman" w:eastAsia="Times New Roman" w:hAnsi="Times New Roman"/>
          <w:sz w:val="18"/>
          <w:szCs w:val="18"/>
          <w:color w:val="auto"/>
        </w:rPr>
        <w:t>terms and conditions as Landlord may elect, without giving notice to Guarantor or obtaining the consent of Guarantor and without affecting the liability of Guarantor to Landlord.</w:t>
      </w:r>
    </w:p>
    <w:p>
      <w:pPr>
        <w:spacing w:after="0" w:line="119" w:lineRule="exact"/>
        <w:rPr>
          <w:sz w:val="20"/>
          <w:szCs w:val="20"/>
          <w:color w:val="auto"/>
        </w:rPr>
      </w:pPr>
    </w:p>
    <w:p>
      <w:pPr>
        <w:jc w:val="both"/>
        <w:ind w:firstLine="743"/>
        <w:spacing w:after="0" w:line="252" w:lineRule="auto"/>
        <w:tabs>
          <w:tab w:leader="none" w:pos="1039"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Obligations</w:t>
      </w:r>
      <w:r>
        <w:rPr>
          <w:rFonts w:ascii="Times New Roman" w:cs="Times New Roman" w:eastAsia="Times New Roman" w:hAnsi="Times New Roman"/>
          <w:sz w:val="18"/>
          <w:szCs w:val="18"/>
          <w:color w:val="auto"/>
        </w:rPr>
        <w:t>. Guarantor's obligations under this Guaranty are independent of those of Tenant or of any other guarantor. Landlord may bring a separate action against Guarantor without proceeding (either before, after or concurrently) against Tenant or any other guarantor or person or any security held by Landlord and without pursuing any other remedy. Landlord's rights under this Guaranty shall not be exhausted by any action of Landlord until all of the Guarantied Obligations have been fully paid.</w:t>
      </w:r>
    </w:p>
    <w:p>
      <w:pPr>
        <w:spacing w:after="0" w:line="143" w:lineRule="exact"/>
        <w:rPr>
          <w:rFonts w:ascii="Times New Roman" w:cs="Times New Roman" w:eastAsia="Times New Roman" w:hAnsi="Times New Roman"/>
          <w:sz w:val="18"/>
          <w:szCs w:val="18"/>
          <w:color w:val="auto"/>
        </w:rPr>
      </w:pPr>
    </w:p>
    <w:p>
      <w:pPr>
        <w:ind w:firstLine="743"/>
        <w:spacing w:after="0" w:line="278" w:lineRule="auto"/>
        <w:tabs>
          <w:tab w:leader="none" w:pos="993"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Defenses</w:t>
      </w:r>
      <w:r>
        <w:rPr>
          <w:rFonts w:ascii="Times New Roman" w:cs="Times New Roman" w:eastAsia="Times New Roman" w:hAnsi="Times New Roman"/>
          <w:sz w:val="18"/>
          <w:szCs w:val="18"/>
          <w:color w:val="auto"/>
        </w:rPr>
        <w:t>. Guarantor waives, as between Guarantor and Landlord, all of the following, whether created or imposed by or under statute, common law, or otherwise:</w:t>
      </w:r>
    </w:p>
    <w:p>
      <w:pPr>
        <w:spacing w:after="0" w:line="119" w:lineRule="exact"/>
        <w:rPr>
          <w:sz w:val="20"/>
          <w:szCs w:val="20"/>
          <w:color w:val="auto"/>
        </w:rPr>
      </w:pPr>
    </w:p>
    <w:p>
      <w:pPr>
        <w:jc w:val="both"/>
        <w:ind w:firstLine="1051"/>
        <w:spacing w:after="0" w:line="278" w:lineRule="auto"/>
        <w:rPr>
          <w:sz w:val="20"/>
          <w:szCs w:val="20"/>
          <w:color w:val="auto"/>
        </w:rPr>
      </w:pPr>
      <w:r>
        <w:rPr>
          <w:rFonts w:ascii="Times New Roman" w:cs="Times New Roman" w:eastAsia="Times New Roman" w:hAnsi="Times New Roman"/>
          <w:sz w:val="18"/>
          <w:szCs w:val="18"/>
          <w:color w:val="auto"/>
        </w:rPr>
        <w:t>4.1. Any right to require Landlord to proceed against Tenant or any other person or any security now or hereafter held by Landlord or to pursue any other remedy whatsoever.</w:t>
      </w:r>
    </w:p>
    <w:p>
      <w:pPr>
        <w:spacing w:after="0" w:line="119" w:lineRule="exact"/>
        <w:rPr>
          <w:sz w:val="20"/>
          <w:szCs w:val="20"/>
          <w:color w:val="auto"/>
        </w:rPr>
      </w:pPr>
    </w:p>
    <w:p>
      <w:pPr>
        <w:jc w:val="both"/>
        <w:ind w:right="20" w:firstLine="1051"/>
        <w:spacing w:after="0" w:line="252" w:lineRule="auto"/>
        <w:rPr>
          <w:sz w:val="20"/>
          <w:szCs w:val="20"/>
          <w:color w:val="auto"/>
        </w:rPr>
      </w:pPr>
      <w:r>
        <w:rPr>
          <w:rFonts w:ascii="Times New Roman" w:cs="Times New Roman" w:eastAsia="Times New Roman" w:hAnsi="Times New Roman"/>
          <w:sz w:val="18"/>
          <w:szCs w:val="18"/>
          <w:color w:val="auto"/>
        </w:rPr>
        <w:t>4.2. Any defense based upon any legal disability of Tenant or any guarantor, or any discharge or limitation of the liability of Tenant or any guarantor to Landlord, or any restraint or stay applicable to actions against Tenant or any guarantor, whether such disability, discharge, limitation, restraint or stay is consensual, or by order of a court or other governmental authority, or arising by operation of law or any liquidation, reorganization, receivership, bankruptcy, insolvency or debtor relief proceeding, or from any other cause.</w:t>
      </w:r>
    </w:p>
    <w:p>
      <w:pPr>
        <w:spacing w:after="0" w:line="143" w:lineRule="exact"/>
        <w:rPr>
          <w:sz w:val="20"/>
          <w:szCs w:val="20"/>
          <w:color w:val="auto"/>
        </w:rPr>
      </w:pPr>
    </w:p>
    <w:p>
      <w:pPr>
        <w:jc w:val="both"/>
        <w:ind w:right="20" w:firstLine="1051"/>
        <w:spacing w:after="0" w:line="278" w:lineRule="auto"/>
        <w:rPr>
          <w:sz w:val="20"/>
          <w:szCs w:val="20"/>
          <w:color w:val="auto"/>
        </w:rPr>
      </w:pPr>
      <w:r>
        <w:rPr>
          <w:rFonts w:ascii="Times New Roman" w:cs="Times New Roman" w:eastAsia="Times New Roman" w:hAnsi="Times New Roman"/>
          <w:sz w:val="18"/>
          <w:szCs w:val="18"/>
          <w:color w:val="auto"/>
        </w:rPr>
        <w:t>4.3. All setoffs, counterclaims, presentment, demand, protest or notice of any kind, except for any notice which may be expressly required by the provisions of this Guaranty.</w:t>
      </w:r>
    </w:p>
    <w:p>
      <w:pPr>
        <w:spacing w:after="0" w:line="119" w:lineRule="exact"/>
        <w:rPr>
          <w:sz w:val="20"/>
          <w:szCs w:val="20"/>
          <w:color w:val="auto"/>
        </w:rPr>
      </w:pPr>
    </w:p>
    <w:p>
      <w:pPr>
        <w:jc w:val="both"/>
        <w:ind w:right="20" w:firstLine="1051"/>
        <w:spacing w:after="0" w:line="278" w:lineRule="auto"/>
        <w:rPr>
          <w:sz w:val="20"/>
          <w:szCs w:val="20"/>
          <w:color w:val="auto"/>
        </w:rPr>
      </w:pPr>
      <w:r>
        <w:rPr>
          <w:rFonts w:ascii="Times New Roman" w:cs="Times New Roman" w:eastAsia="Times New Roman" w:hAnsi="Times New Roman"/>
          <w:sz w:val="18"/>
          <w:szCs w:val="18"/>
          <w:color w:val="auto"/>
        </w:rPr>
        <w:t>4.4. Any defense based upon the modification, renewal, extension or other alteration of the Guarantied Obligations, or of the documents executed in connection therewith.</w:t>
      </w:r>
    </w:p>
    <w:p>
      <w:pPr>
        <w:spacing w:after="0" w:line="119" w:lineRule="exact"/>
        <w:rPr>
          <w:sz w:val="20"/>
          <w:szCs w:val="20"/>
          <w:color w:val="auto"/>
        </w:rPr>
      </w:pPr>
    </w:p>
    <w:p>
      <w:pPr>
        <w:jc w:val="both"/>
        <w:ind w:firstLine="1051"/>
        <w:spacing w:after="0" w:line="278" w:lineRule="auto"/>
        <w:rPr>
          <w:sz w:val="20"/>
          <w:szCs w:val="20"/>
          <w:color w:val="auto"/>
        </w:rPr>
      </w:pPr>
      <w:r>
        <w:rPr>
          <w:rFonts w:ascii="Times New Roman" w:cs="Times New Roman" w:eastAsia="Times New Roman" w:hAnsi="Times New Roman"/>
          <w:sz w:val="18"/>
          <w:szCs w:val="18"/>
          <w:color w:val="auto"/>
        </w:rPr>
        <w:t>4.5. Any defense based upon the negligence of Landlord, including, without limitation, the failure to file a claim in any bankruptcy of the Tenant or any guarantor.</w:t>
      </w:r>
    </w:p>
    <w:p>
      <w:pPr>
        <w:spacing w:after="0" w:line="11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4.6. Any defense based upon Landlord's delay in enforcing this Guaranty.</w:t>
      </w:r>
    </w:p>
    <w:p>
      <w:pPr>
        <w:spacing w:after="0" w:line="184" w:lineRule="exact"/>
        <w:rPr>
          <w:sz w:val="20"/>
          <w:szCs w:val="20"/>
          <w:color w:val="auto"/>
        </w:rPr>
      </w:pPr>
    </w:p>
    <w:p>
      <w:pPr>
        <w:jc w:val="both"/>
        <w:ind w:firstLine="1051"/>
        <w:spacing w:after="0" w:line="278" w:lineRule="auto"/>
        <w:rPr>
          <w:sz w:val="20"/>
          <w:szCs w:val="20"/>
          <w:color w:val="auto"/>
        </w:rPr>
      </w:pPr>
      <w:r>
        <w:rPr>
          <w:rFonts w:ascii="Times New Roman" w:cs="Times New Roman" w:eastAsia="Times New Roman" w:hAnsi="Times New Roman"/>
          <w:sz w:val="18"/>
          <w:szCs w:val="18"/>
          <w:color w:val="auto"/>
        </w:rPr>
        <w:t>4.7. All rights of subrogation, reimbursement, indemnity, all rights to enforce any remedy that Landlord may have against Tenant, and all rights to participate in any security held by Landlord for the Guarantied Obligations until the Guarantied Obligations have been paid in full.</w:t>
      </w:r>
    </w:p>
    <w:p>
      <w:pPr>
        <w:spacing w:after="0" w:line="119" w:lineRule="exact"/>
        <w:rPr>
          <w:sz w:val="20"/>
          <w:szCs w:val="20"/>
          <w:color w:val="auto"/>
        </w:rPr>
      </w:pPr>
    </w:p>
    <w:p>
      <w:pPr>
        <w:jc w:val="both"/>
        <w:ind w:firstLine="1051"/>
        <w:spacing w:after="0" w:line="278" w:lineRule="auto"/>
        <w:rPr>
          <w:sz w:val="20"/>
          <w:szCs w:val="20"/>
          <w:color w:val="auto"/>
        </w:rPr>
      </w:pPr>
      <w:r>
        <w:rPr>
          <w:rFonts w:ascii="Times New Roman" w:cs="Times New Roman" w:eastAsia="Times New Roman" w:hAnsi="Times New Roman"/>
          <w:sz w:val="18"/>
          <w:szCs w:val="18"/>
          <w:color w:val="auto"/>
        </w:rPr>
        <w:t>4.8. Any defense based upon or arising out of any defense that the Tenant or any other person may have to the performance of any part of the Guarantied Obligations (other than Landlord's prior material breach).</w:t>
      </w:r>
    </w:p>
    <w:p>
      <w:pPr>
        <w:spacing w:after="0" w:line="119" w:lineRule="exact"/>
        <w:rPr>
          <w:sz w:val="20"/>
          <w:szCs w:val="20"/>
          <w:color w:val="auto"/>
        </w:rPr>
      </w:pPr>
    </w:p>
    <w:p>
      <w:pPr>
        <w:jc w:val="both"/>
        <w:ind w:firstLine="1051"/>
        <w:spacing w:after="0" w:line="278" w:lineRule="auto"/>
        <w:rPr>
          <w:sz w:val="20"/>
          <w:szCs w:val="20"/>
          <w:color w:val="auto"/>
        </w:rPr>
      </w:pPr>
      <w:r>
        <w:rPr>
          <w:rFonts w:ascii="Times New Roman" w:cs="Times New Roman" w:eastAsia="Times New Roman" w:hAnsi="Times New Roman"/>
          <w:sz w:val="18"/>
          <w:szCs w:val="18"/>
          <w:color w:val="auto"/>
        </w:rPr>
        <w:t>4.9. Any defense based upon the death, incapacity, lack of authority or termination of existence or revocation hereof by any person or entity or persons or entities, or the substitution of any party hereto.</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G, Form of Guaranty</w:t>
      </w:r>
      <w:r>
        <w:rPr>
          <w:rFonts w:ascii="Times New Roman" w:cs="Times New Roman" w:eastAsia="Times New Roman" w:hAnsi="Times New Roman"/>
          <w:sz w:val="18"/>
          <w:szCs w:val="18"/>
          <w:color w:val="auto"/>
        </w:rPr>
        <w:t xml:space="preserve"> –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630555</wp:posOffset>
            </wp:positionV>
            <wp:extent cx="7178040" cy="4000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87">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336" w:right="319" w:bottom="1440" w:gutter="0" w:footer="0" w:header="0"/>
        </w:sectPr>
      </w:pPr>
    </w:p>
    <w:bookmarkStart w:id="221" w:name="page222"/>
    <w:bookmarkEnd w:id="221"/>
    <w:p>
      <w:pPr>
        <w:ind w:left="1040"/>
        <w:spacing w:after="0"/>
        <w:rPr>
          <w:sz w:val="20"/>
          <w:szCs w:val="20"/>
          <w:color w:val="auto"/>
        </w:rPr>
      </w:pPr>
      <w:r>
        <w:rPr>
          <w:rFonts w:ascii="Times New Roman" w:cs="Times New Roman" w:eastAsia="Times New Roman" w:hAnsi="Times New Roman"/>
          <w:sz w:val="18"/>
          <w:szCs w:val="18"/>
          <w:color w:val="auto"/>
        </w:rPr>
        <w:t>4.10. Any defense based upon or related to Guarantor's lack of knowledge as to Tenant's financial condition.</w:t>
      </w:r>
    </w:p>
    <w:p>
      <w:pPr>
        <w:spacing w:after="0" w:line="18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4.11. Any and all rights to revoke this Guaranty in whole or in part.</w:t>
      </w:r>
    </w:p>
    <w:p>
      <w:pPr>
        <w:spacing w:after="0" w:line="184" w:lineRule="exact"/>
        <w:rPr>
          <w:sz w:val="20"/>
          <w:szCs w:val="20"/>
          <w:color w:val="auto"/>
        </w:rPr>
      </w:pPr>
    </w:p>
    <w:p>
      <w:pPr>
        <w:jc w:val="both"/>
        <w:ind w:firstLine="1051"/>
        <w:spacing w:after="0" w:line="252" w:lineRule="auto"/>
        <w:rPr>
          <w:sz w:val="20"/>
          <w:szCs w:val="20"/>
          <w:color w:val="auto"/>
        </w:rPr>
      </w:pPr>
      <w:r>
        <w:rPr>
          <w:rFonts w:ascii="Times New Roman" w:cs="Times New Roman" w:eastAsia="Times New Roman" w:hAnsi="Times New Roman"/>
          <w:sz w:val="18"/>
          <w:szCs w:val="18"/>
          <w:color w:val="auto"/>
        </w:rPr>
        <w:t>4.12. Any defense based upon any action taken or omitted by Landlord in any bankruptcy or other insolvency proceeding involving Tenant, including any election to have Landlord's claim allowed as secured, partially secured or unsecured, any action taken by the Landlord in connection with a motion to assume, assign or reject the Lease, any extension of credit by the Landlord to the Tenant in any such proceeding, and the taking and holding by the Landlord of any security for any such extension of credit.</w:t>
      </w:r>
    </w:p>
    <w:p>
      <w:pPr>
        <w:spacing w:after="0" w:line="143" w:lineRule="exact"/>
        <w:rPr>
          <w:sz w:val="20"/>
          <w:szCs w:val="20"/>
          <w:color w:val="auto"/>
        </w:rPr>
      </w:pPr>
    </w:p>
    <w:p>
      <w:pPr>
        <w:jc w:val="both"/>
        <w:ind w:right="20" w:firstLine="1051"/>
        <w:spacing w:after="0" w:line="278" w:lineRule="auto"/>
        <w:rPr>
          <w:sz w:val="20"/>
          <w:szCs w:val="20"/>
          <w:color w:val="auto"/>
        </w:rPr>
      </w:pPr>
      <w:r>
        <w:rPr>
          <w:rFonts w:ascii="Times New Roman" w:cs="Times New Roman" w:eastAsia="Times New Roman" w:hAnsi="Times New Roman"/>
          <w:sz w:val="18"/>
          <w:szCs w:val="18"/>
          <w:color w:val="auto"/>
        </w:rPr>
        <w:t>4.13. All rights and defenses arising out of an election of remedies by Landlord, even though that election of remedies impairs or destroys Guarantor's right of subrogation and/or reimbursement against Tenant.</w:t>
      </w:r>
    </w:p>
    <w:p>
      <w:pPr>
        <w:spacing w:after="0" w:line="119" w:lineRule="exact"/>
        <w:rPr>
          <w:sz w:val="20"/>
          <w:szCs w:val="20"/>
          <w:color w:val="auto"/>
        </w:rPr>
      </w:pPr>
    </w:p>
    <w:p>
      <w:pPr>
        <w:ind w:left="980" w:hanging="237"/>
        <w:spacing w:after="0"/>
        <w:tabs>
          <w:tab w:leader="none" w:pos="9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Bankruptcy</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ind w:firstLine="1051"/>
        <w:spacing w:after="0" w:line="244" w:lineRule="auto"/>
        <w:rPr>
          <w:sz w:val="20"/>
          <w:szCs w:val="20"/>
          <w:color w:val="auto"/>
        </w:rPr>
      </w:pPr>
      <w:r>
        <w:rPr>
          <w:rFonts w:ascii="Times New Roman" w:cs="Times New Roman" w:eastAsia="Times New Roman" w:hAnsi="Times New Roman"/>
          <w:sz w:val="18"/>
          <w:szCs w:val="18"/>
          <w:color w:val="auto"/>
        </w:rPr>
        <w:t>5.1. Until all of the Guarantied Obligations have been paid in full, Guarantor shall not, without the prior written consent of Landlord, commence, or join with any other person in commencing, any bankruptcy, reorganization, or insolvency proceeding against Tenant. The obligations of Guarantor under this Guaranty shall not be altered, limited, or affected by any proceeding, voluntary or involuntary, involving the bankruptcy, insolvency, receivership, reorganization, liquidation, or arrangement of Tenant, or by any defense Tenant may have by reason of any order, decree, or decision of any court or administrative body resulting from any such proceeding. No limitation upon or stay of the enforcement of any obligation of Tenant by virtue of any such proceeding shall limit or stay Landlord's enforcement of Guarantor's payment of such obligation under this Guaranty. In furtherance of the foregoing, Guarantor agrees that if acceleration of the time for payment of any amount payable by Tenant under the Lease or in respect of the other Guarantied Obligations is stayed for any reason, all such amounts which would be subject to acceleration shall nonetheless be deemed to be accelerated for purposes of this Guaranty and the full amount thereof shall be payable by Guarantor hereunder forthwith upon demand.</w:t>
      </w:r>
    </w:p>
    <w:p>
      <w:pPr>
        <w:spacing w:after="0" w:line="154" w:lineRule="exact"/>
        <w:rPr>
          <w:sz w:val="20"/>
          <w:szCs w:val="20"/>
          <w:color w:val="auto"/>
        </w:rPr>
      </w:pPr>
    </w:p>
    <w:p>
      <w:pPr>
        <w:jc w:val="both"/>
        <w:ind w:firstLine="1051"/>
        <w:spacing w:after="0" w:line="246" w:lineRule="auto"/>
        <w:rPr>
          <w:sz w:val="20"/>
          <w:szCs w:val="20"/>
          <w:color w:val="auto"/>
        </w:rPr>
      </w:pPr>
      <w:r>
        <w:rPr>
          <w:rFonts w:ascii="Times New Roman" w:cs="Times New Roman" w:eastAsia="Times New Roman" w:hAnsi="Times New Roman"/>
          <w:sz w:val="18"/>
          <w:szCs w:val="18"/>
          <w:color w:val="auto"/>
        </w:rPr>
        <w:t>5.2. Unless Guarantor shall have paid all of the Guarantied Obligations prior to the deadline for filing claims for amounts owed by Tenant to Guarantor required or permitted by law in connection with a bankruptcy or other proceeding brought by or against Tenant, all claims filed in any such bankruptcy or other proceeding by Guarantor against Tenant relating to any indebtedness of Tenant to Guarantor, will be subject to the following. Guarantor hereby assigns to Landlord all of the Guarantor's rights to any such payments or distributions to which Guarantor would otherwise be entitled; provided, however, that (i) Guarantor's obligations hereunder shall not be satisfied except to the extent that Landlord receives cash by reason of any such payment or distribution, and (ii) such assignment shall be null and void upon payment in full of all of the Guarantied Obligations. If Landlord receives anything hereunder other than cash, the same shall be held as collateral for amounts due under this Guaranty.</w:t>
      </w:r>
    </w:p>
    <w:p>
      <w:pPr>
        <w:spacing w:after="0" w:line="149" w:lineRule="exact"/>
        <w:rPr>
          <w:sz w:val="20"/>
          <w:szCs w:val="20"/>
          <w:color w:val="auto"/>
        </w:rPr>
      </w:pPr>
    </w:p>
    <w:p>
      <w:pPr>
        <w:ind w:firstLine="743"/>
        <w:spacing w:after="0" w:line="278" w:lineRule="auto"/>
        <w:tabs>
          <w:tab w:leader="none" w:pos="981"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Costs and Expenses</w:t>
      </w:r>
      <w:r>
        <w:rPr>
          <w:rFonts w:ascii="Times New Roman" w:cs="Times New Roman" w:eastAsia="Times New Roman" w:hAnsi="Times New Roman"/>
          <w:sz w:val="18"/>
          <w:szCs w:val="18"/>
          <w:color w:val="auto"/>
        </w:rPr>
        <w:t>. Guarantor agrees to pay, upon Landlord's demand, Landlord's reasonable out-of-pocket costs and expenses, including but not limited to attorneys' fees, costs and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G, Form of Guaranty</w:t>
      </w:r>
      <w:r>
        <w:rPr>
          <w:rFonts w:ascii="Times New Roman" w:cs="Times New Roman" w:eastAsia="Times New Roman" w:hAnsi="Times New Roman"/>
          <w:sz w:val="18"/>
          <w:szCs w:val="18"/>
          <w:color w:val="auto"/>
        </w:rPr>
        <w:t xml:space="preserve"> –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630555</wp:posOffset>
            </wp:positionV>
            <wp:extent cx="7178040" cy="4000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88">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336" w:right="319" w:bottom="1440" w:gutter="0" w:footer="0" w:header="0"/>
        </w:sectPr>
      </w:pPr>
    </w:p>
    <w:bookmarkStart w:id="222" w:name="page223"/>
    <w:bookmarkEnd w:id="222"/>
    <w:p>
      <w:pPr>
        <w:jc w:val="both"/>
        <w:ind w:right="20"/>
        <w:spacing w:after="0" w:line="252" w:lineRule="auto"/>
        <w:rPr>
          <w:sz w:val="20"/>
          <w:szCs w:val="20"/>
          <w:color w:val="auto"/>
        </w:rPr>
      </w:pPr>
      <w:r>
        <w:rPr>
          <w:rFonts w:ascii="Times New Roman" w:cs="Times New Roman" w:eastAsia="Times New Roman" w:hAnsi="Times New Roman"/>
          <w:sz w:val="18"/>
          <w:szCs w:val="18"/>
          <w:color w:val="auto"/>
        </w:rPr>
        <w:t>disbursements, incurred in any effort to collect or enforce any of the Guarantied Obligations or this Guaranty, regardless whether any lawsuit is filed, and in the representation of Landlord in any insolvency, bankruptcy, reorganization or similar proceeding relating to Tenant or Guarantor. Until paid to Landlord, all such sums will bear interest from the date such costs and expenses are incurred at the Default Rate set forth in the Lease. The obligations of the Guarantor under this Section shall include payment of all such costs and expenses incurred by Landlord in enforcing any judgments.</w:t>
      </w:r>
    </w:p>
    <w:p>
      <w:pPr>
        <w:spacing w:after="0" w:line="143" w:lineRule="exact"/>
        <w:rPr>
          <w:sz w:val="20"/>
          <w:szCs w:val="20"/>
          <w:color w:val="auto"/>
        </w:rPr>
      </w:pPr>
    </w:p>
    <w:p>
      <w:pPr>
        <w:jc w:val="both"/>
        <w:ind w:firstLine="743"/>
        <w:spacing w:after="0" w:line="244" w:lineRule="auto"/>
        <w:tabs>
          <w:tab w:leader="none" w:pos="993"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Reinstatement</w:t>
      </w:r>
      <w:r>
        <w:rPr>
          <w:rFonts w:ascii="Times New Roman" w:cs="Times New Roman" w:eastAsia="Times New Roman" w:hAnsi="Times New Roman"/>
          <w:sz w:val="18"/>
          <w:szCs w:val="18"/>
          <w:color w:val="auto"/>
        </w:rPr>
        <w:t>. The liability of Guarantor hereunder shall be reinstated and revived, and the rights of Landlord will continue, with respect to any amount at any time paid on account of the Guarantied Obligations which Landlord is thereafter required to restore or return or which is avoided in connection with the bankruptcy, insolvency or reorganization of Tenant or otherwise, all as though such amount had not been paid. The determination as to whether any such payment must be restored or returned will be made by Landlord in its sole discretion; provided, however, that if Landlord chooses to contest any such matter, Guarantor agrees to indemnify, defend and hold harmless Landlord from all costs and expenses (including, without limitation, reasonable legal fees and disbursements) of such contest. Further, upon demand from Landlord, Guarantor will restore or return such payment directly on Landlord's behalf in furtherance of Guarantor's obligations hereunder. Landlord will be under no obligation to return or deliver this Guaranty to Guarantor, notwithstanding the payment of the Guarantied Obligations. If this Guaranty is nevertheless returned to Guarantor or is otherwise released, then the provisions of this Guaranty shall survive such return or release, and the liability of Guarantor under this Guaranty shall be reinstated and continued under the circumstances provided herein notwithstanding such return or release.</w:t>
      </w:r>
    </w:p>
    <w:p>
      <w:pPr>
        <w:spacing w:after="0" w:line="150" w:lineRule="exact"/>
        <w:rPr>
          <w:rFonts w:ascii="Times New Roman" w:cs="Times New Roman" w:eastAsia="Times New Roman" w:hAnsi="Times New Roman"/>
          <w:sz w:val="18"/>
          <w:szCs w:val="18"/>
          <w:color w:val="auto"/>
        </w:rPr>
      </w:pPr>
    </w:p>
    <w:p>
      <w:pPr>
        <w:jc w:val="both"/>
        <w:ind w:firstLine="743"/>
        <w:spacing w:after="0" w:line="245" w:lineRule="auto"/>
        <w:tabs>
          <w:tab w:leader="none" w:pos="1016"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Subordination</w:t>
      </w:r>
      <w:r>
        <w:rPr>
          <w:rFonts w:ascii="Times New Roman" w:cs="Times New Roman" w:eastAsia="Times New Roman" w:hAnsi="Times New Roman"/>
          <w:sz w:val="18"/>
          <w:szCs w:val="18"/>
          <w:color w:val="auto"/>
        </w:rPr>
        <w:t>. Any indebtedness of Tenant to Guarantor now or hereafter existing shall be, and such indebtedness hereby is, deferred, postponed and subordinated to payment of the Guarantied Obligations. Any payment made to Guarantor by Tenant or any third party with respect to the indebtedness subordinated hereunder at any time when an Event of Default exists under the Lease or while any Guarantied Obligations are otherwise then payable shall be held in trust by Guarantor for the benefit of Landlord and shall be turned over to Landlord immediately upon receipt thereof for application by Landlord against the Guarantied Obligations. Any lien, charge or claim which Guarantor now has or hereafter may have on or to any real or personal property of Tenant (including without limitation any real property subject of the Lease, the personal property located thereon, any rights therein and related thereto, and the revenue and/or income realized therefrom) and any security for any loans, advances or other indebtedness of Tenant to Guarantor, shall be, and hereby is, subordinated to the payment of the Guarantied Obligations.</w:t>
      </w:r>
    </w:p>
    <w:p>
      <w:pPr>
        <w:spacing w:after="0" w:line="150" w:lineRule="exact"/>
        <w:rPr>
          <w:rFonts w:ascii="Times New Roman" w:cs="Times New Roman" w:eastAsia="Times New Roman" w:hAnsi="Times New Roman"/>
          <w:sz w:val="18"/>
          <w:szCs w:val="18"/>
          <w:color w:val="auto"/>
        </w:rPr>
      </w:pPr>
    </w:p>
    <w:p>
      <w:pPr>
        <w:ind w:left="980" w:hanging="237"/>
        <w:spacing w:after="0"/>
        <w:tabs>
          <w:tab w:leader="none" w:pos="9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Guarantor, makes the following representations and warranties:</w:t>
      </w:r>
    </w:p>
    <w:p>
      <w:pPr>
        <w:spacing w:after="0" w:line="184" w:lineRule="exact"/>
        <w:rPr>
          <w:sz w:val="20"/>
          <w:szCs w:val="20"/>
          <w:color w:val="auto"/>
        </w:rPr>
      </w:pPr>
    </w:p>
    <w:p>
      <w:pPr>
        <w:ind w:right="20" w:firstLine="1051"/>
        <w:spacing w:after="0" w:line="278" w:lineRule="auto"/>
        <w:rPr>
          <w:sz w:val="20"/>
          <w:szCs w:val="20"/>
          <w:color w:val="auto"/>
        </w:rPr>
      </w:pPr>
      <w:r>
        <w:rPr>
          <w:rFonts w:ascii="Times New Roman" w:cs="Times New Roman" w:eastAsia="Times New Roman" w:hAnsi="Times New Roman"/>
          <w:sz w:val="18"/>
          <w:szCs w:val="18"/>
          <w:color w:val="auto"/>
        </w:rPr>
        <w:t>9.1. Guarantor has all the requisite power and authority to execute, deliver and be legally bound by this Guaranty on the terms and conditions herein stated.</w:t>
      </w:r>
    </w:p>
    <w:p>
      <w:pPr>
        <w:spacing w:after="0" w:line="11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9.2. This Guaranty constitutes the legal, valid and binding obligations of Guarantor.</w:t>
      </w:r>
    </w:p>
    <w:p>
      <w:pPr>
        <w:spacing w:after="0" w:line="184" w:lineRule="exact"/>
        <w:rPr>
          <w:sz w:val="20"/>
          <w:szCs w:val="20"/>
          <w:color w:val="auto"/>
        </w:rPr>
      </w:pPr>
    </w:p>
    <w:p>
      <w:pPr>
        <w:jc w:val="both"/>
        <w:ind w:firstLine="1051"/>
        <w:spacing w:after="0" w:line="278" w:lineRule="auto"/>
        <w:rPr>
          <w:sz w:val="20"/>
          <w:szCs w:val="20"/>
          <w:color w:val="auto"/>
        </w:rPr>
      </w:pPr>
      <w:r>
        <w:rPr>
          <w:rFonts w:ascii="Times New Roman" w:cs="Times New Roman" w:eastAsia="Times New Roman" w:hAnsi="Times New Roman"/>
          <w:sz w:val="18"/>
          <w:szCs w:val="18"/>
          <w:color w:val="auto"/>
        </w:rPr>
        <w:t>9.3. Neither the execution and delivery of this Guaranty nor the consummation of the transaction contemplated hereby will, with or without notice and/or lapse of time, (a) constitute a breach of any of the terms and provisions of any note, contract, document, agreement or undertaking,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G, Form of Guaranty</w:t>
      </w:r>
      <w:r>
        <w:rPr>
          <w:rFonts w:ascii="Times New Roman" w:cs="Times New Roman" w:eastAsia="Times New Roman" w:hAnsi="Times New Roman"/>
          <w:sz w:val="18"/>
          <w:szCs w:val="18"/>
          <w:color w:val="auto"/>
        </w:rPr>
        <w:t xml:space="preserve"> – 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630555</wp:posOffset>
            </wp:positionV>
            <wp:extent cx="7178040" cy="4000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89">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336" w:right="319" w:bottom="1440" w:gutter="0" w:footer="0" w:header="0"/>
        </w:sectPr>
      </w:pPr>
    </w:p>
    <w:bookmarkStart w:id="223" w:name="page224"/>
    <w:bookmarkEnd w:id="223"/>
    <w:p>
      <w:pPr>
        <w:jc w:val="both"/>
        <w:spacing w:after="0" w:line="252" w:lineRule="auto"/>
        <w:rPr>
          <w:sz w:val="20"/>
          <w:szCs w:val="20"/>
          <w:color w:val="auto"/>
        </w:rPr>
      </w:pPr>
      <w:r>
        <w:rPr>
          <w:rFonts w:ascii="Times New Roman" w:cs="Times New Roman" w:eastAsia="Times New Roman" w:hAnsi="Times New Roman"/>
          <w:sz w:val="18"/>
          <w:szCs w:val="18"/>
          <w:color w:val="auto"/>
        </w:rPr>
        <w:t>whether written or oral, to which Guarantor is a party or to which Guarantor's property is subject; (b) accelerate or constitute any event entitling the holder of any indebtedness of Guarantor to accelerate the maturity of any such indebtedness; (c) conflict with or result in a breach of any writ, order, injunction or decree against Guarantor of any court or governmental agency or instrumentality; or (d) conflict with or be prohibited by any federal, state, local or other governmental law, statute, rule or regulation.</w:t>
      </w:r>
    </w:p>
    <w:p>
      <w:pPr>
        <w:spacing w:after="0" w:line="143" w:lineRule="exact"/>
        <w:rPr>
          <w:sz w:val="20"/>
          <w:szCs w:val="20"/>
          <w:color w:val="auto"/>
        </w:rPr>
      </w:pPr>
    </w:p>
    <w:p>
      <w:pPr>
        <w:jc w:val="both"/>
        <w:ind w:firstLine="1051"/>
        <w:spacing w:after="0" w:line="278" w:lineRule="auto"/>
        <w:rPr>
          <w:sz w:val="20"/>
          <w:szCs w:val="20"/>
          <w:color w:val="auto"/>
        </w:rPr>
      </w:pPr>
      <w:r>
        <w:rPr>
          <w:rFonts w:ascii="Times New Roman" w:cs="Times New Roman" w:eastAsia="Times New Roman" w:hAnsi="Times New Roman"/>
          <w:sz w:val="18"/>
          <w:szCs w:val="18"/>
          <w:color w:val="auto"/>
        </w:rPr>
        <w:t>9.4. No consent of any other person not heretofore obtained and no consent, approval or authorization of any person or entity is required in connection with the valid execution, delivery or performance by Guarantor of this Guaranty.</w:t>
      </w:r>
    </w:p>
    <w:p>
      <w:pPr>
        <w:spacing w:after="0" w:line="119" w:lineRule="exact"/>
        <w:rPr>
          <w:sz w:val="20"/>
          <w:szCs w:val="20"/>
          <w:color w:val="auto"/>
        </w:rPr>
      </w:pPr>
    </w:p>
    <w:p>
      <w:pPr>
        <w:jc w:val="both"/>
        <w:ind w:right="20" w:firstLine="1051"/>
        <w:spacing w:after="0" w:line="278" w:lineRule="auto"/>
        <w:rPr>
          <w:sz w:val="20"/>
          <w:szCs w:val="20"/>
          <w:color w:val="auto"/>
        </w:rPr>
      </w:pPr>
      <w:r>
        <w:rPr>
          <w:rFonts w:ascii="Times New Roman" w:cs="Times New Roman" w:eastAsia="Times New Roman" w:hAnsi="Times New Roman"/>
          <w:sz w:val="18"/>
          <w:szCs w:val="18"/>
          <w:color w:val="auto"/>
        </w:rPr>
        <w:t>9.5. Guarantor will materially benefit from the leasing of the Premises to Tenant and the consideration received by Guarantor for this Guaranty is sufficient in all respects.</w:t>
      </w:r>
    </w:p>
    <w:p>
      <w:pPr>
        <w:spacing w:after="0" w:line="119" w:lineRule="exact"/>
        <w:rPr>
          <w:sz w:val="20"/>
          <w:szCs w:val="20"/>
          <w:color w:val="auto"/>
        </w:rPr>
      </w:pPr>
    </w:p>
    <w:p>
      <w:pPr>
        <w:jc w:val="both"/>
        <w:ind w:firstLine="743"/>
        <w:spacing w:after="0" w:line="246" w:lineRule="auto"/>
        <w:tabs>
          <w:tab w:leader="none" w:pos="1073"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Conditional Release of Guaranty</w:t>
      </w:r>
      <w:r>
        <w:rPr>
          <w:rFonts w:ascii="Times New Roman" w:cs="Times New Roman" w:eastAsia="Times New Roman" w:hAnsi="Times New Roman"/>
          <w:sz w:val="18"/>
          <w:szCs w:val="18"/>
          <w:color w:val="auto"/>
        </w:rPr>
        <w:t xml:space="preserve">. Notwithstanding anything to the contrary contained in this Guaranty, if Landlord consents, in writing, to an assignment of the Lease in accordance with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of the Lease to any party other than a Permitted Transferee, then Guarantor's liability under this Guaranty from and after the date of any such assignment shall be limited to the liabilities of the Tenant arising out of or occurring from such assignment during the then-current term of the Lease only, for the Premises as then currently constituted, and under the terms and conditions of the Lease existing as of the date of such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foregoing will not apply to, and Guarantor's obligations under this Guaranty will continue as to, any assignment of the Lease or sublease as to any of the Premises to any Permitted Transferee, any sublease to any person, and/or any Transfer made in violation of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of the Lease.</w:t>
      </w:r>
    </w:p>
    <w:p>
      <w:pPr>
        <w:spacing w:after="0" w:line="148" w:lineRule="exact"/>
        <w:rPr>
          <w:rFonts w:ascii="Times New Roman" w:cs="Times New Roman" w:eastAsia="Times New Roman" w:hAnsi="Times New Roman"/>
          <w:sz w:val="18"/>
          <w:szCs w:val="18"/>
          <w:color w:val="auto"/>
        </w:rPr>
      </w:pPr>
    </w:p>
    <w:p>
      <w:pPr>
        <w:jc w:val="both"/>
        <w:ind w:firstLine="743"/>
        <w:spacing w:after="0" w:line="252" w:lineRule="auto"/>
        <w:tabs>
          <w:tab w:leader="none" w:pos="1147"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Inducement; No Assignment</w:t>
      </w:r>
      <w:r>
        <w:rPr>
          <w:rFonts w:ascii="Times New Roman" w:cs="Times New Roman" w:eastAsia="Times New Roman" w:hAnsi="Times New Roman"/>
          <w:sz w:val="18"/>
          <w:szCs w:val="18"/>
          <w:color w:val="auto"/>
        </w:rPr>
        <w:t>. Guarantor acknowledges that the undertakings given in this Guaranty are given in consideration of Landlord's entering into the Lease and that Landlord would not enter into the Lease but for the execution and delivery of this Guaranty. Guarantor's obligations hereunder are personal to Guarantor and Guarantor may not assign or delegate any of its obligations under this Guaranty without Landlord's prior written consent, which consent may be withheld in Landlord's sole and absolute discretion.</w:t>
      </w:r>
    </w:p>
    <w:p>
      <w:pPr>
        <w:spacing w:after="0" w:line="143" w:lineRule="exact"/>
        <w:rPr>
          <w:rFonts w:ascii="Times New Roman" w:cs="Times New Roman" w:eastAsia="Times New Roman" w:hAnsi="Times New Roman"/>
          <w:sz w:val="18"/>
          <w:szCs w:val="18"/>
          <w:color w:val="auto"/>
        </w:rPr>
      </w:pPr>
    </w:p>
    <w:p>
      <w:pPr>
        <w:jc w:val="both"/>
        <w:ind w:firstLine="743"/>
        <w:spacing w:after="0" w:line="247" w:lineRule="auto"/>
        <w:tabs>
          <w:tab w:leader="none" w:pos="1073"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Guarantor Information</w:t>
      </w:r>
      <w:r>
        <w:rPr>
          <w:rFonts w:ascii="Times New Roman" w:cs="Times New Roman" w:eastAsia="Times New Roman" w:hAnsi="Times New Roman"/>
          <w:sz w:val="18"/>
          <w:szCs w:val="18"/>
          <w:color w:val="auto"/>
        </w:rPr>
        <w:t>. If Guarantor ever ceases to be a publicly traded entity for whom financial statements are publicly available, then, upon Landlord's written request and execution by Landlord and any other recipient of a commercially reasonable confidentiality agreement, which request by Landlord shall not be provided except in connection with the proposed sale, financing or re-financing of the Building and/or Complex or an Event of Default under the Lease, Guarantor shall promptly furnish Landlord, from time to time, with Guarantor's most current audited financial statements prepared in accordance with generally accepted accounting principles, certified by Guarantor to be true and correct, reflecting Guarantor's then- current financial condition.</w:t>
      </w:r>
    </w:p>
    <w:p>
      <w:pPr>
        <w:spacing w:after="0" w:line="148" w:lineRule="exact"/>
        <w:rPr>
          <w:rFonts w:ascii="Times New Roman" w:cs="Times New Roman" w:eastAsia="Times New Roman" w:hAnsi="Times New Roman"/>
          <w:sz w:val="18"/>
          <w:szCs w:val="18"/>
          <w:color w:val="auto"/>
        </w:rPr>
      </w:pPr>
    </w:p>
    <w:p>
      <w:pPr>
        <w:jc w:val="both"/>
        <w:ind w:firstLine="743"/>
        <w:spacing w:after="0" w:line="252" w:lineRule="auto"/>
        <w:tabs>
          <w:tab w:leader="none" w:pos="1096"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Tenant's Financial Condition</w:t>
      </w:r>
      <w:r>
        <w:rPr>
          <w:rFonts w:ascii="Times New Roman" w:cs="Times New Roman" w:eastAsia="Times New Roman" w:hAnsi="Times New Roman"/>
          <w:sz w:val="18"/>
          <w:szCs w:val="18"/>
          <w:color w:val="auto"/>
        </w:rPr>
        <w:t>. Guarantor is relying upon its own knowledge and has made such investigation as Guarantor has deemed necessary with respect to Tenant's financial condition. Guarantor assumes full responsibility for keeping fully informed of the financial condition of Tenant and all other circumstances affecting Tenant's ability to pay and perform its obligations under the Lease, and agrees that Landlord will have no duty to report to Guarantor any information which Landlord receives about Tenant's financial condition or any circumstances bearing on Tenant's ability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G, Form of Guaranty</w:t>
      </w:r>
      <w:r>
        <w:rPr>
          <w:rFonts w:ascii="Times New Roman" w:cs="Times New Roman" w:eastAsia="Times New Roman" w:hAnsi="Times New Roman"/>
          <w:sz w:val="18"/>
          <w:szCs w:val="18"/>
          <w:color w:val="auto"/>
        </w:rPr>
        <w:t xml:space="preserve"> – 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630555</wp:posOffset>
            </wp:positionV>
            <wp:extent cx="7178040" cy="4000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90">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336" w:right="319" w:bottom="1440" w:gutter="0" w:footer="0" w:header="0"/>
        </w:sectPr>
      </w:pPr>
    </w:p>
    <w:bookmarkStart w:id="224" w:name="page225"/>
    <w:bookmarkEnd w:id="224"/>
    <w:p>
      <w:pPr>
        <w:ind w:left="8" w:right="20"/>
        <w:spacing w:after="0" w:line="278" w:lineRule="auto"/>
        <w:rPr>
          <w:sz w:val="20"/>
          <w:szCs w:val="20"/>
          <w:color w:val="auto"/>
        </w:rPr>
      </w:pPr>
      <w:r>
        <w:rPr>
          <w:rFonts w:ascii="Times New Roman" w:cs="Times New Roman" w:eastAsia="Times New Roman" w:hAnsi="Times New Roman"/>
          <w:sz w:val="18"/>
          <w:szCs w:val="18"/>
          <w:color w:val="auto"/>
        </w:rPr>
        <w:t>to perform. Guarantor agrees that Landlord has made no representations or assurances regarding Tenant's financial condition or Tenant's ability to pay and perform Tenant's obligations under the Lease.</w:t>
      </w:r>
    </w:p>
    <w:p>
      <w:pPr>
        <w:spacing w:after="0" w:line="119" w:lineRule="exact"/>
        <w:rPr>
          <w:sz w:val="20"/>
          <w:szCs w:val="20"/>
          <w:color w:val="auto"/>
        </w:rPr>
      </w:pPr>
    </w:p>
    <w:p>
      <w:pPr>
        <w:ind w:left="1068" w:hanging="317"/>
        <w:spacing w:after="0"/>
        <w:tabs>
          <w:tab w:leader="none" w:pos="1068"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The occurrence of any one or more of the following events shall, at the election of Landlord, be deemed an event of default under</w:t>
      </w:r>
    </w:p>
    <w:p>
      <w:pPr>
        <w:spacing w:after="0" w:line="20" w:lineRule="exact"/>
        <w:rPr>
          <w:rFonts w:ascii="Times New Roman" w:cs="Times New Roman" w:eastAsia="Times New Roman" w:hAnsi="Times New Roman"/>
          <w:sz w:val="18"/>
          <w:szCs w:val="18"/>
          <w:color w:val="auto"/>
        </w:rPr>
      </w:pPr>
    </w:p>
    <w:p>
      <w:pPr>
        <w:jc w:val="both"/>
        <w:ind w:left="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Guaranty: (a) Guarantor fails to pay any monetary Guarantied Obligation then due and payable under the Lease within ten (10) Business Days after written demand from Landlord; (b) Guarantor fails or neglects to perform, keep or observe any other term, provision, agreement or covenant contained in this Guaranty and such failure continues for a period of thirty (30) days after written notice of such failure is delivered to Guarantor or, if such failure cannot reasonably be cured within such thirty (30) day period, Guarantor fails to commence to cure such failure within such thirty (30) day period and/or thereafter fails to prosecute such cure diligently and continuously to completion within sixty (60) days of the date of Landlord's notice of default;</w:t>
      </w:r>
    </w:p>
    <w:p>
      <w:pPr>
        <w:jc w:val="both"/>
        <w:ind w:left="8" w:right="20" w:hanging="8"/>
        <w:spacing w:after="0" w:line="244" w:lineRule="auto"/>
        <w:tabs>
          <w:tab w:leader="none" w:pos="271"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of any liquidation, reorganization, receivership, bankruptcy, assignment for the benefit of creditors or other similar proceeding by or against Guarantor which is not dismissed within sixty (60) days thereafter; (d) if any representation or warranty made in this Guaranty shall be or become false in any material respect; or (e) the dissolution or termination of the Guarantor. Upon the occurrence of an event of default under this Guaranty, Landlord may, in its sole discretion, exercise all rights and remedies provided by law or at equity, all of which are cumulative and non-exclusive.</w:t>
      </w:r>
    </w:p>
    <w:p>
      <w:pPr>
        <w:spacing w:after="0" w:line="357" w:lineRule="exact"/>
        <w:rPr>
          <w:rFonts w:ascii="Times New Roman" w:cs="Times New Roman" w:eastAsia="Times New Roman" w:hAnsi="Times New Roman"/>
          <w:sz w:val="18"/>
          <w:szCs w:val="18"/>
          <w:color w:val="auto"/>
        </w:rPr>
      </w:pPr>
    </w:p>
    <w:p>
      <w:pPr>
        <w:jc w:val="both"/>
        <w:ind w:left="8" w:firstLine="743"/>
        <w:spacing w:after="0" w:line="246" w:lineRule="auto"/>
        <w:tabs>
          <w:tab w:leader="none" w:pos="1081"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by Landlord</w:t>
      </w:r>
      <w:r>
        <w:rPr>
          <w:rFonts w:ascii="Times New Roman" w:cs="Times New Roman" w:eastAsia="Times New Roman" w:hAnsi="Times New Roman"/>
          <w:sz w:val="18"/>
          <w:szCs w:val="18"/>
          <w:color w:val="auto"/>
        </w:rPr>
        <w:t>. Landlord may sell, assign, or otherwise transfer its interest in the Premises, the Lease or this Guaranty at any time. If Landlord transfers (other than for collateral security purposes) the ownership of Landlord's interest in the Lease, this Guaranty shall, unless Landlord elects otherwise in writing, automatically apply in favor of the transferee with respect to all Guarantied Obligations arising or accruing from and after the date of the transfer. In addition, this Guaranty shall remain in full force and effect in favor of the transferor with respect to all Guarantied Obligations arising or accruing under the Lease prior to the date of the transfer including, without limitation, all Guarantied Obligations relating to Tenant's indemnity and insurance obligations (and similar obligations) under the Lease with respect to matters arising or accruing during the transferor's period of ownership.</w:t>
      </w:r>
    </w:p>
    <w:p>
      <w:pPr>
        <w:spacing w:after="0" w:line="360" w:lineRule="exact"/>
        <w:rPr>
          <w:rFonts w:ascii="Times New Roman" w:cs="Times New Roman" w:eastAsia="Times New Roman" w:hAnsi="Times New Roman"/>
          <w:sz w:val="18"/>
          <w:szCs w:val="18"/>
          <w:color w:val="auto"/>
        </w:rPr>
      </w:pPr>
    </w:p>
    <w:p>
      <w:pPr>
        <w:jc w:val="both"/>
        <w:ind w:left="8" w:right="20" w:firstLine="743"/>
        <w:spacing w:after="0" w:line="259" w:lineRule="auto"/>
        <w:tabs>
          <w:tab w:leader="none" w:pos="1104"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one or more of the covenants, provisions or terms of this Guaranty is, in any respect, held to be invalid, illegal or unenforceable for any reason, the remaining portion thereof and all other covenants, conditions, provisions, and terms of this Guaranty will not be affected by such holding, but will remain valid and in force to the fullest extent permitted by law.</w:t>
      </w:r>
    </w:p>
    <w:p>
      <w:pPr>
        <w:spacing w:after="0" w:line="135" w:lineRule="exact"/>
        <w:rPr>
          <w:rFonts w:ascii="Times New Roman" w:cs="Times New Roman" w:eastAsia="Times New Roman" w:hAnsi="Times New Roman"/>
          <w:sz w:val="18"/>
          <w:szCs w:val="18"/>
          <w:color w:val="auto"/>
        </w:rPr>
      </w:pPr>
    </w:p>
    <w:p>
      <w:pPr>
        <w:jc w:val="both"/>
        <w:ind w:left="8" w:firstLine="743"/>
        <w:spacing w:after="0" w:line="247" w:lineRule="auto"/>
        <w:tabs>
          <w:tab w:leader="none" w:pos="1104"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demands and other communications with, to, from or upon the Guarantor and the Landlord required or permitted hereunder shall be in writing, addressed to the parties at their respective addresses as follows: (a) with respect to Landlord, to the notice address(es) for Landlord under the Lease; and (b) with respect to Guarantor, unless a separate notice address is specified on the signature page of this Guaranty, to Guarantor in care of Tenant at the notice address(es) for Tenant under the Lease; or (c) as to either, at such other address as shall be designated in a written notice to the other complying with the terms of this Section. All such communications shall be deemed effective upon the earliest of (i) actual delivery if delivered by personal delivery; (ii) four Business Days following deposit, first class postage prepaid, with the United States mail; (iii) if</w:t>
      </w:r>
    </w:p>
    <w:p>
      <w:pPr>
        <w:spacing w:after="0" w:line="14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u w:val="single" w:color="auto"/>
          <w:color w:val="auto"/>
        </w:rPr>
        <w:t>Exhibit G, Form of Guaranty</w:t>
      </w:r>
      <w:r>
        <w:rPr>
          <w:rFonts w:ascii="Times New Roman" w:cs="Times New Roman" w:eastAsia="Times New Roman" w:hAnsi="Times New Roman"/>
          <w:sz w:val="18"/>
          <w:szCs w:val="18"/>
          <w:color w:val="auto"/>
        </w:rPr>
        <w:t xml:space="preserve"> – 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630555</wp:posOffset>
            </wp:positionV>
            <wp:extent cx="7178040" cy="4000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91">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8"/>
          </w:cols>
          <w:pgMar w:left="312" w:top="1336" w:right="319" w:bottom="1440" w:gutter="0" w:footer="0" w:header="0"/>
        </w:sectPr>
      </w:pPr>
    </w:p>
    <w:bookmarkStart w:id="225" w:name="page226"/>
    <w:bookmarkEnd w:id="225"/>
    <w:p>
      <w:pPr>
        <w:jc w:val="both"/>
        <w:spacing w:after="0" w:line="259" w:lineRule="auto"/>
        <w:rPr>
          <w:sz w:val="20"/>
          <w:szCs w:val="20"/>
          <w:color w:val="auto"/>
        </w:rPr>
      </w:pPr>
      <w:r>
        <w:rPr>
          <w:rFonts w:ascii="Times New Roman" w:cs="Times New Roman" w:eastAsia="Times New Roman" w:hAnsi="Times New Roman"/>
          <w:sz w:val="18"/>
          <w:szCs w:val="18"/>
          <w:color w:val="auto"/>
        </w:rPr>
        <w:t>sent by certified postage prepaid mail, upon the earliest to occur of (A) four Business Days following deposit thereof in the United States mail, or (B) receipt (or refusal to accept delivery); or (iv) on the next Business Day after deposit with an overnight air courier with request for next Business Day delivery.</w:t>
      </w:r>
    </w:p>
    <w:p>
      <w:pPr>
        <w:spacing w:after="0" w:line="135" w:lineRule="exact"/>
        <w:rPr>
          <w:sz w:val="20"/>
          <w:szCs w:val="20"/>
          <w:color w:val="auto"/>
        </w:rPr>
      </w:pPr>
    </w:p>
    <w:p>
      <w:pPr>
        <w:jc w:val="both"/>
        <w:ind w:firstLine="743"/>
        <w:spacing w:after="0" w:line="244" w:lineRule="auto"/>
        <w:tabs>
          <w:tab w:leader="none" w:pos="108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No provision of this Guaranty or Landlord's rights hereunder may be waived or modified nor can Guarantor be released from its obligations hereunder except by a writing executed by Landlord. No such waiver shall be applicable except in the specific instance for which given. No delay or failure by Landlord to exercise any right or remedy against Tenant or Guarantor will be construed as a waiver of that right or remedy. All remedies of Landlord against Tenant and Guarantor are cumulative. The provisions of this Guaranty will bind and benefit the successors and assigns of Guarantor and Landlord. The term "Tenant" will mean not only the Tenant named herein but also any other person or entity at any time occupying all or any portion of the Premises or assuming or otherwise becoming liable (other than as a guarantor) for all or any part of the Guarantied Obligations. This Guaranty constitutes the entire agreement between Guarantor and Landlord with respect to its subject matter, and supersedes all prior or contemporaneous agreements, representations and understandings. All headings in this Guaranty are for convenience only and shall be disregarded in construing the substantive provisions of this Guaranty.</w:t>
      </w:r>
    </w:p>
    <w:p>
      <w:pPr>
        <w:spacing w:after="0" w:line="154" w:lineRule="exact"/>
        <w:rPr>
          <w:rFonts w:ascii="Times New Roman" w:cs="Times New Roman" w:eastAsia="Times New Roman" w:hAnsi="Times New Roman"/>
          <w:sz w:val="18"/>
          <w:szCs w:val="18"/>
          <w:color w:val="auto"/>
        </w:rPr>
      </w:pPr>
    </w:p>
    <w:p>
      <w:pPr>
        <w:jc w:val="both"/>
        <w:ind w:firstLine="743"/>
        <w:spacing w:after="0" w:line="243" w:lineRule="auto"/>
        <w:tabs>
          <w:tab w:leader="none" w:pos="1073"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Venue; Service of Process</w:t>
      </w:r>
      <w:r>
        <w:rPr>
          <w:rFonts w:ascii="Times New Roman" w:cs="Times New Roman" w:eastAsia="Times New Roman" w:hAnsi="Times New Roman"/>
          <w:sz w:val="18"/>
          <w:szCs w:val="18"/>
          <w:color w:val="auto"/>
        </w:rPr>
        <w:t>. THIS GUARANTY SHALL BE GOVERNED BY AND CONSTRUED IN ACCORDANCE WITH THE LAWS OF THE STATE OF TEXAS. THE LEASE AND THIS GUARANTY HAVE BEEN ENTERED INTO IN RESPECT OF REAL PROPERTY LOCATED IN DALLAS COUNTY, TEXAS. GUARANTOR HEREBY AGREES THAT ANY LAWSUIT, ACTION, OR PROCEEDING THAT IS BROUGHT (WHETHER IN CONTRACT, TORT, OR OTHERWISE) ARISING OUT OF OR RELATING TO THE LEASE, THIS GUARANTY, THE TRANSACTIONS CONTEMPLATED THEREBY, OR THE NEGOTIATION, PERFORMANCE, OR ENFORCEMENT OF THE LEASE OR THIS GUARANTY SHALL BE BROUGHT IN A FEDERAL COURT OF COMPETENT JURISDICTION LOCATED IN DALLAS COUNTY, TEXAS. GUARANTOR HEREBY IRREVOCABLY AND UNCONDITIONALLY (A) SUBMITS TO THE EXCLUSIVE JURISDICTION OF SUCH FEDERAL COURT OF COMPETENT JURISDICTION LOCATED IN DALLAS COUNTY, TEXAS, (B) WAIVES ANY OBJECTION IT MAY NOW OR HEREAFTER HAVE AS TO THE VENUE OF ANY SUCH LAWSUIT, ACTION, OR PROCEEDING BROUGHT IN ANY SUCH FEDERAL COURT OF COMPETENT JURISDICTION LOCATED IN DALLAS COUNTY, TEXAS, AND (C) FURTHER WAIVES ANY CLAIM THAT IT MAY NOW OR HEREAFTER HAVE THAT ANY SUCH FEDERAL COURT OF COMPETENT JURISDICTION LOCATED IN DALLAS COUNTY, TEXAS IS AN INCONVENIENT FORUM.</w:t>
      </w:r>
    </w:p>
    <w:p>
      <w:pPr>
        <w:spacing w:after="0" w:line="154" w:lineRule="exact"/>
        <w:rPr>
          <w:sz w:val="20"/>
          <w:szCs w:val="20"/>
          <w:color w:val="auto"/>
        </w:rPr>
      </w:pPr>
    </w:p>
    <w:p>
      <w:pPr>
        <w:ind w:firstLine="751"/>
        <w:spacing w:after="0" w:line="278" w:lineRule="auto"/>
        <w:rPr>
          <w:sz w:val="20"/>
          <w:szCs w:val="20"/>
          <w:color w:val="auto"/>
        </w:rPr>
      </w:pPr>
      <w:r>
        <w:rPr>
          <w:rFonts w:ascii="Times New Roman" w:cs="Times New Roman" w:eastAsia="Times New Roman" w:hAnsi="Times New Roman"/>
          <w:sz w:val="18"/>
          <w:szCs w:val="18"/>
          <w:color w:val="auto"/>
        </w:rPr>
        <w:t>IN WITNESS WHEREOF, this Guaranty has been duly executed on behalf of Guarantor and delivered to Landlord as of the date set forth above, to be effective as of the Effective Date set forth in the Lease.</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[SIGNATURE PAGE TO FOLLOW]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G, Form of Guaranty</w:t>
      </w:r>
      <w:r>
        <w:rPr>
          <w:rFonts w:ascii="Times New Roman" w:cs="Times New Roman" w:eastAsia="Times New Roman" w:hAnsi="Times New Roman"/>
          <w:sz w:val="18"/>
          <w:szCs w:val="18"/>
          <w:color w:val="auto"/>
        </w:rPr>
        <w:t xml:space="preserve"> – 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630555</wp:posOffset>
            </wp:positionV>
            <wp:extent cx="7178040" cy="4000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92">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336" w:right="319" w:bottom="1440" w:gutter="0" w:footer="0" w:header="0"/>
        </w:sectPr>
      </w:pPr>
    </w:p>
    <w:bookmarkStart w:id="226" w:name="page227"/>
    <w:bookmarkEnd w:id="226"/>
    <w:p>
      <w:pPr>
        <w:ind w:left="5300"/>
        <w:spacing w:after="0"/>
        <w:rPr>
          <w:sz w:val="20"/>
          <w:szCs w:val="20"/>
          <w:color w:val="auto"/>
        </w:rPr>
      </w:pPr>
      <w:r>
        <w:rPr>
          <w:rFonts w:ascii="Times New Roman" w:cs="Times New Roman" w:eastAsia="Times New Roman" w:hAnsi="Times New Roman"/>
          <w:sz w:val="18"/>
          <w:szCs w:val="18"/>
          <w:b w:val="1"/>
          <w:bCs w:val="1"/>
          <w:u w:val="single" w:color="auto"/>
          <w:color w:val="auto"/>
        </w:rPr>
        <w:t>GUARANTOR</w:t>
      </w:r>
      <w:r>
        <w:rPr>
          <w:rFonts w:ascii="Times New Roman" w:cs="Times New Roman" w:eastAsia="Times New Roman" w:hAnsi="Times New Roman"/>
          <w:sz w:val="18"/>
          <w:szCs w:val="18"/>
          <w:color w:val="auto"/>
        </w:rPr>
        <w:t>:</w:t>
      </w:r>
    </w:p>
    <w:p>
      <w:pPr>
        <w:spacing w:after="0" w:line="211" w:lineRule="exact"/>
        <w:rPr>
          <w:sz w:val="20"/>
          <w:szCs w:val="20"/>
          <w:color w:val="auto"/>
        </w:rPr>
      </w:pPr>
    </w:p>
    <w:p>
      <w:pPr>
        <w:jc w:val="right"/>
        <w:ind w:right="1559"/>
        <w:spacing w:after="0"/>
        <w:rPr>
          <w:sz w:val="20"/>
          <w:szCs w:val="20"/>
          <w:color w:val="auto"/>
        </w:rPr>
      </w:pPr>
      <w:r>
        <w:rPr>
          <w:rFonts w:ascii="Times New Roman" w:cs="Times New Roman" w:eastAsia="Times New Roman" w:hAnsi="Times New Roman"/>
          <w:sz w:val="18"/>
          <w:szCs w:val="18"/>
          <w:color w:val="auto"/>
        </w:rPr>
        <w:t>CARGURUS, INC., a Delaware corporation</w:t>
      </w:r>
    </w:p>
    <w:p>
      <w:pPr>
        <w:spacing w:after="0" w:line="200" w:lineRule="exact"/>
        <w:rPr>
          <w:sz w:val="20"/>
          <w:szCs w:val="20"/>
          <w:color w:val="auto"/>
        </w:rPr>
      </w:pPr>
    </w:p>
    <w:p>
      <w:pPr>
        <w:spacing w:after="0" w:line="203" w:lineRule="exact"/>
        <w:rPr>
          <w:sz w:val="20"/>
          <w:szCs w:val="20"/>
          <w:color w:val="auto"/>
        </w:rPr>
      </w:pPr>
    </w:p>
    <w:p>
      <w:pPr>
        <w:ind w:left="5300"/>
        <w:spacing w:after="0"/>
        <w:tabs>
          <w:tab w:leader="none" w:pos="5740" w:val="left"/>
        </w:tabs>
        <w:rPr>
          <w:sz w:val="20"/>
          <w:szCs w:val="20"/>
          <w:color w:val="auto"/>
        </w:rPr>
      </w:pPr>
      <w:r>
        <w:rPr>
          <w:rFonts w:ascii="Times New Roman" w:cs="Times New Roman" w:eastAsia="Times New Roman" w:hAnsi="Times New Roman"/>
          <w:sz w:val="18"/>
          <w:szCs w:val="18"/>
          <w:color w:val="auto"/>
        </w:rPr>
        <w:t>By:</w:t>
        <w:tab/>
        <w:t>/s/ Jason Trevisan</w:t>
      </w:r>
    </w:p>
    <w:p>
      <w:pPr>
        <w:spacing w:after="0" w:line="3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Name: Jason Trevisan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3655060</wp:posOffset>
            </wp:positionH>
            <wp:positionV relativeFrom="paragraph">
              <wp:posOffset>-129540</wp:posOffset>
            </wp:positionV>
            <wp:extent cx="3492500" cy="762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93">
                      <a:extLst>
                        <a:ext uri="{28A0092B-C50C-407E-A947-70E740481C1C}"/>
                      </a:extLst>
                    </a:blip>
                    <a:srcRect/>
                    <a:stretch>
                      <a:fillRect/>
                    </a:stretch>
                  </pic:blipFill>
                  <pic:spPr bwMode="auto">
                    <a:xfrm>
                      <a:off x="0" y="0"/>
                      <a:ext cx="3492500" cy="7620"/>
                    </a:xfrm>
                    <a:prstGeom prst="rect">
                      <a:avLst/>
                    </a:prstGeom>
                    <a:noFill/>
                  </pic:spPr>
                </pic:pic>
              </a:graphicData>
            </a:graphic>
          </wp:anchor>
        </w:drawing>
      </w:r>
    </w:p>
    <w:p>
      <w:pPr>
        <w:ind w:left="5300"/>
        <w:spacing w:after="0"/>
        <w:rPr>
          <w:sz w:val="20"/>
          <w:szCs w:val="20"/>
          <w:color w:val="auto"/>
        </w:rPr>
      </w:pPr>
      <w:r>
        <w:rPr>
          <w:rFonts w:ascii="Times New Roman" w:cs="Times New Roman" w:eastAsia="Times New Roman" w:hAnsi="Times New Roman"/>
          <w:sz w:val="18"/>
          <w:szCs w:val="18"/>
          <w:color w:val="auto"/>
        </w:rPr>
        <w:t>Title: CEO</w:t>
      </w:r>
    </w:p>
    <w:p>
      <w:pPr>
        <w:spacing w:after="0" w:line="200" w:lineRule="exact"/>
        <w:rPr>
          <w:sz w:val="20"/>
          <w:szCs w:val="20"/>
          <w:color w:val="auto"/>
        </w:rPr>
      </w:pPr>
    </w:p>
    <w:p>
      <w:pPr>
        <w:spacing w:after="0" w:line="20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u w:val="single" w:color="auto"/>
          <w:color w:val="auto"/>
        </w:rPr>
        <w:t>Notice Address for Guarantor</w:t>
      </w:r>
      <w:r>
        <w:rPr>
          <w:rFonts w:ascii="Times New Roman" w:cs="Times New Roman" w:eastAsia="Times New Roman" w:hAnsi="Times New Roman"/>
          <w:sz w:val="18"/>
          <w:szCs w:val="18"/>
          <w:color w:val="auto"/>
        </w:rPr>
        <w:t>:</w:t>
      </w:r>
    </w:p>
    <w:p>
      <w:pPr>
        <w:spacing w:after="0" w:line="23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CarGurus, Inc.</w:t>
      </w:r>
    </w:p>
    <w:p>
      <w:pPr>
        <w:spacing w:after="0" w:line="3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2 Canal Park, Fourth Floor</w:t>
      </w:r>
    </w:p>
    <w:p>
      <w:pPr>
        <w:spacing w:after="0" w:line="1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Cambridge, MA 02141</w:t>
      </w:r>
    </w:p>
    <w:p>
      <w:pPr>
        <w:spacing w:after="0" w:line="1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Attention: Robert Mirabello</w:t>
      </w:r>
    </w:p>
    <w:p>
      <w:pPr>
        <w:spacing w:after="0" w:line="21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u w:val="single" w:color="auto"/>
          <w:color w:val="auto"/>
        </w:rPr>
        <w:t>With a copy to</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CarGurus, Inc.</w:t>
      </w:r>
    </w:p>
    <w:p>
      <w:pPr>
        <w:spacing w:after="0" w:line="3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2 Canal Park, Fourth Floor</w:t>
      </w:r>
    </w:p>
    <w:p>
      <w:pPr>
        <w:spacing w:after="0" w:line="1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Cambridge, MA 02141</w:t>
      </w:r>
    </w:p>
    <w:p>
      <w:pPr>
        <w:spacing w:after="0" w:line="1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21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u w:val="single" w:color="auto"/>
          <w:color w:val="auto"/>
        </w:rPr>
        <w:t>and</w:t>
      </w:r>
    </w:p>
    <w:p>
      <w:pPr>
        <w:spacing w:after="0" w:line="23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Dain, Torpy, Le Ray, Wiest &amp; Garner, P.C.</w:t>
      </w:r>
    </w:p>
    <w:p>
      <w:pPr>
        <w:spacing w:after="0" w:line="3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175 Federal Street, Suite 1500</w:t>
      </w:r>
    </w:p>
    <w:p>
      <w:pPr>
        <w:spacing w:after="0" w:line="1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Boston, MA 02110</w:t>
      </w:r>
    </w:p>
    <w:p>
      <w:pPr>
        <w:spacing w:after="0" w:line="1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Attention: CarGurus/Addison Circle</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G, Form of Guaranty</w:t>
      </w:r>
      <w:r>
        <w:rPr>
          <w:rFonts w:ascii="Times New Roman" w:cs="Times New Roman" w:eastAsia="Times New Roman" w:hAnsi="Times New Roman"/>
          <w:sz w:val="18"/>
          <w:szCs w:val="18"/>
          <w:color w:val="auto"/>
        </w:rPr>
        <w:t xml:space="preserve"> – 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630555</wp:posOffset>
            </wp:positionV>
            <wp:extent cx="7178040" cy="4000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94">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0139"/>
          </w:cols>
          <w:pgMar w:left="320" w:top="1332" w:right="1440" w:bottom="1440" w:gutter="0" w:footer="0" w:header="0"/>
        </w:sectPr>
      </w:pPr>
    </w:p>
    <w:bookmarkStart w:id="227" w:name="page228"/>
    <w:bookmarkEnd w:id="22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H</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RENEWAL OPTIONS</w:t>
      </w:r>
    </w:p>
    <w:p>
      <w:pPr>
        <w:spacing w:after="0" w:line="188" w:lineRule="exact"/>
        <w:rPr>
          <w:sz w:val="20"/>
          <w:szCs w:val="20"/>
          <w:color w:val="auto"/>
        </w:rPr>
      </w:pPr>
    </w:p>
    <w:p>
      <w:pPr>
        <w:jc w:val="both"/>
        <w:ind w:firstLine="751"/>
        <w:spacing w:after="0" w:line="247" w:lineRule="auto"/>
        <w:rPr>
          <w:sz w:val="20"/>
          <w:szCs w:val="20"/>
          <w:color w:val="auto"/>
        </w:rPr>
      </w:pPr>
      <w:r>
        <w:rPr>
          <w:rFonts w:ascii="Times New Roman" w:cs="Times New Roman" w:eastAsia="Times New Roman" w:hAnsi="Times New Roman"/>
          <w:sz w:val="18"/>
          <w:szCs w:val="18"/>
          <w:color w:val="auto"/>
        </w:rPr>
        <w:t>So long as no Event of Default exists and Tenant is occupying the entire Premises at the time of such election, Tenant may renew this Lease for two (2) additional periods of five (5) years each (each such five-year period, is referred to herein as an "</w:t>
      </w:r>
      <w:r>
        <w:rPr>
          <w:rFonts w:ascii="Times New Roman" w:cs="Times New Roman" w:eastAsia="Times New Roman" w:hAnsi="Times New Roman"/>
          <w:sz w:val="18"/>
          <w:szCs w:val="18"/>
          <w:b w:val="1"/>
          <w:bCs w:val="1"/>
          <w:u w:val="single" w:color="auto"/>
          <w:color w:val="auto"/>
        </w:rPr>
        <w:t>Extended Term</w:t>
      </w:r>
      <w:r>
        <w:rPr>
          <w:rFonts w:ascii="Times New Roman" w:cs="Times New Roman" w:eastAsia="Times New Roman" w:hAnsi="Times New Roman"/>
          <w:sz w:val="18"/>
          <w:szCs w:val="18"/>
          <w:color w:val="auto"/>
        </w:rPr>
        <w:t>") on the same terms provided in this Lease (except as set forth below), by delivering written notice of the exercise thereof to Landlord not earlier than eighteen (18) months and not later than twelve (12) months before the expiration of the Lease Term or first Extended Term, as applicable. On or before the commencement date of the Extended Term in question, Landlord and Tenant shall execute an amendment to this Lease extending the Lease Term on the same terms provided in this Lease, except as follows:</w:t>
      </w:r>
    </w:p>
    <w:p>
      <w:pPr>
        <w:spacing w:after="0" w:line="149" w:lineRule="exact"/>
        <w:rPr>
          <w:sz w:val="20"/>
          <w:szCs w:val="20"/>
          <w:color w:val="auto"/>
        </w:rPr>
      </w:pPr>
    </w:p>
    <w:p>
      <w:pPr>
        <w:jc w:val="both"/>
        <w:ind w:left="740" w:firstLine="751"/>
        <w:spacing w:after="0" w:line="244" w:lineRule="auto"/>
        <w:rPr>
          <w:sz w:val="20"/>
          <w:szCs w:val="20"/>
          <w:color w:val="auto"/>
        </w:rPr>
      </w:pPr>
      <w:r>
        <w:rPr>
          <w:rFonts w:ascii="Times New Roman" w:cs="Times New Roman" w:eastAsia="Times New Roman" w:hAnsi="Times New Roman"/>
          <w:sz w:val="18"/>
          <w:szCs w:val="18"/>
          <w:color w:val="auto"/>
        </w:rPr>
        <w:t>(1). The Base Rental payable for each month during each such Extended Term shall be the prevailing rental rate (the "</w:t>
      </w:r>
      <w:r>
        <w:rPr>
          <w:rFonts w:ascii="Times New Roman" w:cs="Times New Roman" w:eastAsia="Times New Roman" w:hAnsi="Times New Roman"/>
          <w:sz w:val="18"/>
          <w:szCs w:val="18"/>
          <w:u w:val="single" w:color="auto"/>
          <w:color w:val="auto"/>
        </w:rPr>
        <w:t>Market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Rate</w:t>
      </w:r>
      <w:r>
        <w:rPr>
          <w:rFonts w:ascii="Times New Roman" w:cs="Times New Roman" w:eastAsia="Times New Roman" w:hAnsi="Times New Roman"/>
          <w:sz w:val="18"/>
          <w:szCs w:val="18"/>
          <w:color w:val="auto"/>
        </w:rPr>
        <w:t>"), at the commencement of such Extended Term, for space of equivalent quality, size, utility and location, with the length of the Extended Term and the credit standing of Tenant to be taken into account. Tenant shall have fifteen (15) days in which to give written notice to Landlord that Tenant (a) disagrees with Landlord's proposed Market Rate, or (b) accepts Landlord's proposed Market Rate. If Tenant disagrees with Landlord's proposed Market Rate then Landlord and Tenant shall endeavor in good faith to agree upon the Market Rate within the next fifteen (15) days. If Landlord and Tenant are unable to agree upon the Market Rate within such 15-day period, then Tenant, by written notice to Landlord prior to the expiration of such 15-day period, may, as its sole and exclusive remedy, terminate this Lease as of end of the initial Lease Term or first Extended Term, as applicable. If Tenant fails to terminate this Lease prior to the expiration of such 15-day period, Tenant shall be deemed to have accepted Landlord's proposed Market Rate.</w:t>
      </w:r>
    </w:p>
    <w:p>
      <w:pPr>
        <w:spacing w:after="0" w:line="154" w:lineRule="exact"/>
        <w:rPr>
          <w:sz w:val="20"/>
          <w:szCs w:val="20"/>
          <w:color w:val="auto"/>
        </w:rPr>
      </w:pPr>
    </w:p>
    <w:p>
      <w:pPr>
        <w:jc w:val="both"/>
        <w:ind w:left="740" w:firstLine="751"/>
        <w:spacing w:after="0" w:line="278" w:lineRule="auto"/>
        <w:rPr>
          <w:sz w:val="20"/>
          <w:szCs w:val="20"/>
          <w:color w:val="auto"/>
        </w:rPr>
      </w:pPr>
      <w:r>
        <w:rPr>
          <w:rFonts w:ascii="Times New Roman" w:cs="Times New Roman" w:eastAsia="Times New Roman" w:hAnsi="Times New Roman"/>
          <w:sz w:val="18"/>
          <w:szCs w:val="18"/>
          <w:color w:val="auto"/>
        </w:rPr>
        <w:t>(2). Each renewal option is exercisable separately only and not together and the second renewal option shall be void and not exercisable unless the first renewal option was properly exercised.</w:t>
      </w:r>
    </w:p>
    <w:p>
      <w:pPr>
        <w:spacing w:after="0" w:line="11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(3). Tenant shall have no further renewal options unless expressly granted by Landlord in writing.</w:t>
      </w:r>
    </w:p>
    <w:p>
      <w:pPr>
        <w:spacing w:after="0" w:line="184" w:lineRule="exact"/>
        <w:rPr>
          <w:sz w:val="20"/>
          <w:szCs w:val="20"/>
          <w:color w:val="auto"/>
        </w:rPr>
      </w:pPr>
    </w:p>
    <w:p>
      <w:pPr>
        <w:jc w:val="both"/>
        <w:ind w:left="740" w:firstLine="751"/>
        <w:spacing w:after="0" w:line="252" w:lineRule="auto"/>
        <w:rPr>
          <w:sz w:val="20"/>
          <w:szCs w:val="20"/>
          <w:color w:val="auto"/>
        </w:rPr>
      </w:pPr>
      <w:r>
        <w:rPr>
          <w:rFonts w:ascii="Times New Roman" w:cs="Times New Roman" w:eastAsia="Times New Roman" w:hAnsi="Times New Roman"/>
          <w:sz w:val="18"/>
          <w:szCs w:val="18"/>
          <w:color w:val="auto"/>
        </w:rPr>
        <w:t xml:space="preserve">(4). Unless the Sublease is terminated for any reason, each renewal option shall apply to and include the Premises (as the same may be expanded, if at all, in accordance with the provisions of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Exhibit J</w:t>
      </w:r>
      <w:r>
        <w:rPr>
          <w:rFonts w:ascii="Times New Roman" w:cs="Times New Roman" w:eastAsia="Times New Roman" w:hAnsi="Times New Roman"/>
          <w:sz w:val="18"/>
          <w:szCs w:val="18"/>
          <w:color w:val="auto"/>
        </w:rPr>
        <w:t xml:space="preserve"> of this Lease) and the Subleased Space and Tenant may only exercise the renewal right hereunder with respect to the entirety of the Premises (as the same may be expanded, if at all, in accordance with the provisions of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Exhibit J</w:t>
      </w:r>
      <w:r>
        <w:rPr>
          <w:rFonts w:ascii="Times New Roman" w:cs="Times New Roman" w:eastAsia="Times New Roman" w:hAnsi="Times New Roman"/>
          <w:sz w:val="18"/>
          <w:szCs w:val="18"/>
          <w:color w:val="auto"/>
        </w:rPr>
        <w:t xml:space="preserve"> of this Lease) and Subleased Space.</w:t>
      </w:r>
    </w:p>
    <w:p>
      <w:pPr>
        <w:spacing w:after="0" w:line="143" w:lineRule="exact"/>
        <w:rPr>
          <w:sz w:val="20"/>
          <w:szCs w:val="20"/>
          <w:color w:val="auto"/>
        </w:rPr>
      </w:pPr>
    </w:p>
    <w:p>
      <w:pPr>
        <w:jc w:val="both"/>
        <w:ind w:firstLine="751"/>
        <w:spacing w:after="0" w:line="252" w:lineRule="auto"/>
        <w:rPr>
          <w:sz w:val="20"/>
          <w:szCs w:val="20"/>
          <w:color w:val="auto"/>
        </w:rPr>
      </w:pPr>
      <w:r>
        <w:rPr>
          <w:rFonts w:ascii="Times New Roman" w:cs="Times New Roman" w:eastAsia="Times New Roman" w:hAnsi="Times New Roman"/>
          <w:sz w:val="18"/>
          <w:szCs w:val="18"/>
          <w:color w:val="auto"/>
        </w:rPr>
        <w:t>Tenant's rights under this Exhibit H shall terminate if (i) the Lease or Tenant's right to possession of the Premises is terminated, (ii) Tenant assigns any of its interest in the Lease or sublets any portion of the Premises, except to a Permitted Transferee (it being expressly understood that this option may be exercised by a Permitted Transferee), or (iii) Tenant fails to timely exercise its option under this Exhibit H, time being of the essence with respect to Tenant's exercise thereof.</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H, Renewal Options</w:t>
      </w:r>
      <w:r>
        <w:rPr>
          <w:rFonts w:ascii="Times New Roman" w:cs="Times New Roman" w:eastAsia="Times New Roman" w:hAnsi="Times New Roman"/>
          <w:sz w:val="18"/>
          <w:szCs w:val="18"/>
          <w:color w:val="auto"/>
        </w:rPr>
        <w:t xml:space="preserve"> –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630555</wp:posOffset>
            </wp:positionV>
            <wp:extent cx="7178040" cy="4000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95">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148" w:right="319" w:bottom="1440" w:gutter="0" w:footer="0" w:header="0"/>
        </w:sectPr>
      </w:pPr>
    </w:p>
    <w:bookmarkStart w:id="228" w:name="page229"/>
    <w:bookmarkEnd w:id="228"/>
    <w:p>
      <w:pPr>
        <w:jc w:val="center"/>
        <w:ind w:right="-7"/>
        <w:spacing w:after="0"/>
        <w:rPr>
          <w:sz w:val="20"/>
          <w:szCs w:val="20"/>
          <w:color w:val="auto"/>
        </w:rPr>
      </w:pPr>
      <w:r>
        <w:rPr>
          <w:rFonts w:ascii="Times New Roman" w:cs="Times New Roman" w:eastAsia="Times New Roman" w:hAnsi="Times New Roman"/>
          <w:sz w:val="18"/>
          <w:szCs w:val="18"/>
          <w:b w:val="1"/>
          <w:bCs w:val="1"/>
          <w:u w:val="single" w:color="auto"/>
          <w:color w:val="auto"/>
        </w:rPr>
        <w:t>EXHIBIT I</w:t>
      </w:r>
    </w:p>
    <w:p>
      <w:pPr>
        <w:spacing w:after="0" w:line="18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b w:val="1"/>
          <w:bCs w:val="1"/>
          <w:u w:val="single" w:color="auto"/>
          <w:color w:val="auto"/>
        </w:rPr>
        <w:t>RIGHT OF FIRST REFUSAL (AFFECTING 9TH AND 5TH FLOORS)</w:t>
      </w:r>
    </w:p>
    <w:p>
      <w:pPr>
        <w:spacing w:after="0" w:line="200" w:lineRule="exact"/>
        <w:rPr>
          <w:sz w:val="20"/>
          <w:szCs w:val="20"/>
          <w:color w:val="auto"/>
        </w:rPr>
      </w:pPr>
    </w:p>
    <w:p>
      <w:pPr>
        <w:jc w:val="both"/>
        <w:ind w:left="8" w:firstLine="743"/>
        <w:spacing w:after="0" w:line="230" w:lineRule="auto"/>
        <w:tabs>
          <w:tab w:leader="none" w:pos="1078"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9</w:t>
      </w:r>
      <w:r>
        <w:rPr>
          <w:rFonts w:ascii="Times New Roman" w:cs="Times New Roman" w:eastAsia="Times New Roman" w:hAnsi="Times New Roman"/>
          <w:sz w:val="24"/>
          <w:szCs w:val="24"/>
          <w:u w:val="single" w:color="auto"/>
          <w:color w:val="auto"/>
          <w:vertAlign w:val="superscript"/>
        </w:rPr>
        <w:t>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Floor</w:t>
      </w:r>
      <w:r>
        <w:rPr>
          <w:rFonts w:ascii="Times New Roman" w:cs="Times New Roman" w:eastAsia="Times New Roman" w:hAnsi="Times New Roman"/>
          <w:sz w:val="18"/>
          <w:szCs w:val="18"/>
          <w:color w:val="auto"/>
        </w:rPr>
        <w:t>. So long as no Event of Default exists under this Lease and Tenant is occupying the entire Premises at the time of such offer, Tenant, or if applicable, the Permitted Transferee, will have an ongoing first right ("</w:t>
      </w:r>
      <w:r>
        <w:rPr>
          <w:rFonts w:ascii="Times New Roman" w:cs="Times New Roman" w:eastAsia="Times New Roman" w:hAnsi="Times New Roman"/>
          <w:sz w:val="18"/>
          <w:szCs w:val="18"/>
          <w:u w:val="single" w:color="auto"/>
          <w:color w:val="auto"/>
        </w:rPr>
        <w:t>First Right</w:t>
      </w:r>
      <w:r>
        <w:rPr>
          <w:rFonts w:ascii="Times New Roman" w:cs="Times New Roman" w:eastAsia="Times New Roman" w:hAnsi="Times New Roman"/>
          <w:sz w:val="18"/>
          <w:szCs w:val="18"/>
          <w:color w:val="auto"/>
        </w:rPr>
        <w:t>") to be offered by Landlord the opportunity to lease any then-vacant portion of the ninth (9</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floor of the Building (the "</w:t>
      </w:r>
      <w:r>
        <w:rPr>
          <w:rFonts w:ascii="Times New Roman" w:cs="Times New Roman" w:eastAsia="Times New Roman" w:hAnsi="Times New Roman"/>
          <w:sz w:val="18"/>
          <w:szCs w:val="18"/>
          <w:u w:val="single" w:color="auto"/>
          <w:color w:val="auto"/>
        </w:rPr>
        <w:t>First Right Space</w:t>
      </w:r>
      <w:r>
        <w:rPr>
          <w:rFonts w:ascii="Times New Roman" w:cs="Times New Roman" w:eastAsia="Times New Roman" w:hAnsi="Times New Roman"/>
          <w:sz w:val="18"/>
          <w:szCs w:val="18"/>
          <w:color w:val="auto"/>
        </w:rPr>
        <w:t xml:space="preserve">"). The First Right is subject to (i) prior rights of offer previously granted to any other tenant in the Building as of the date of this Lease, and (ii) the terms and conditions set forth in this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If at any time after the Effective Date while this First Right is in effect Landlord receives a bona fide third party offer from a prospective tenant for the lease all or any part of the then available space in the Building which includes all or any part of the First Right Space (such space identified in the offer, even if the square footage of such space exceeds the total square footage of the First Right Space, is referred to herein as the "</w:t>
      </w:r>
      <w:r>
        <w:rPr>
          <w:rFonts w:ascii="Times New Roman" w:cs="Times New Roman" w:eastAsia="Times New Roman" w:hAnsi="Times New Roman"/>
          <w:sz w:val="18"/>
          <w:szCs w:val="18"/>
          <w:u w:val="single" w:color="auto"/>
          <w:color w:val="auto"/>
        </w:rPr>
        <w:t>Option Space</w:t>
      </w:r>
      <w:r>
        <w:rPr>
          <w:rFonts w:ascii="Times New Roman" w:cs="Times New Roman" w:eastAsia="Times New Roman" w:hAnsi="Times New Roman"/>
          <w:sz w:val="18"/>
          <w:szCs w:val="18"/>
          <w:color w:val="auto"/>
        </w:rPr>
        <w:t>"), then Landlord will first notify Tenant, in writing (herein, the "</w:t>
      </w:r>
      <w:r>
        <w:rPr>
          <w:rFonts w:ascii="Times New Roman" w:cs="Times New Roman" w:eastAsia="Times New Roman" w:hAnsi="Times New Roman"/>
          <w:sz w:val="18"/>
          <w:szCs w:val="18"/>
          <w:u w:val="single" w:color="auto"/>
          <w:color w:val="auto"/>
        </w:rPr>
        <w:t>Offer Notice</w:t>
      </w:r>
      <w:r>
        <w:rPr>
          <w:rFonts w:ascii="Times New Roman" w:cs="Times New Roman" w:eastAsia="Times New Roman" w:hAnsi="Times New Roman"/>
          <w:sz w:val="18"/>
          <w:szCs w:val="18"/>
          <w:color w:val="auto"/>
        </w:rPr>
        <w:t>"), of the terms on which Landlord intends to lease the Option Space to such prospective tenant. Tenant must notify Landlord in writing within seven (7) Business Days of receiving Landlord's Offer Notice whether Tenant desires to lease all, but not less than all, of the Option Space from Landlord on the terms set forth in Landlord's Offer Notice. If Tenant notifies Landlord that Tenant does not desire to lease all of the Option Space, or if Tenant does not respond in writing to Landlord's Offer Notice within such seven (7) Business Day period, then Landlord may freely lease the Option Space on the terms set forth in Landlord's Offer Notice. If Tenant notifies Landlord in writing within such seven</w:t>
      </w:r>
    </w:p>
    <w:p>
      <w:pPr>
        <w:spacing w:after="0" w:line="4" w:lineRule="exact"/>
        <w:rPr>
          <w:rFonts w:ascii="Times New Roman" w:cs="Times New Roman" w:eastAsia="Times New Roman" w:hAnsi="Times New Roman"/>
          <w:sz w:val="18"/>
          <w:szCs w:val="18"/>
          <w:color w:val="auto"/>
        </w:rPr>
      </w:pPr>
    </w:p>
    <w:p>
      <w:pPr>
        <w:jc w:val="both"/>
        <w:ind w:left="8" w:hanging="8"/>
        <w:spacing w:after="0" w:line="245" w:lineRule="auto"/>
        <w:tabs>
          <w:tab w:leader="none" w:pos="30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 period that Tenant desires to lease all, but not less than all, of the Option Space, the parties will thereafter execute a written amendment to the Lease to include the Option Space on the terms set forth in the Offer Notice promptly after Tenant delivers Tenant's acceptance notice to Landlord. If Tenant's First Right is still in effect at the end of the initial Lease Term, the First Right shall automatically terminate on the last day of the initial Lease Term and will not apply during any Extended Term.</w:t>
      </w:r>
    </w:p>
    <w:p>
      <w:pPr>
        <w:spacing w:after="0" w:line="158" w:lineRule="exact"/>
        <w:rPr>
          <w:rFonts w:ascii="Times New Roman" w:cs="Times New Roman" w:eastAsia="Times New Roman" w:hAnsi="Times New Roman"/>
          <w:sz w:val="18"/>
          <w:szCs w:val="18"/>
          <w:color w:val="auto"/>
        </w:rPr>
      </w:pPr>
    </w:p>
    <w:p>
      <w:pPr>
        <w:jc w:val="both"/>
        <w:ind w:left="8" w:firstLine="743"/>
        <w:spacing w:after="0" w:line="225" w:lineRule="auto"/>
        <w:tabs>
          <w:tab w:leader="none" w:pos="1066"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5</w:t>
      </w:r>
      <w:r>
        <w:rPr>
          <w:rFonts w:ascii="Times New Roman" w:cs="Times New Roman" w:eastAsia="Times New Roman" w:hAnsi="Times New Roman"/>
          <w:sz w:val="24"/>
          <w:szCs w:val="24"/>
          <w:u w:val="single" w:color="auto"/>
          <w:color w:val="auto"/>
          <w:vertAlign w:val="superscript"/>
        </w:rPr>
        <w:t>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Floor</w:t>
      </w:r>
      <w:r>
        <w:rPr>
          <w:rFonts w:ascii="Times New Roman" w:cs="Times New Roman" w:eastAsia="Times New Roman" w:hAnsi="Times New Roman"/>
          <w:sz w:val="18"/>
          <w:szCs w:val="18"/>
          <w:color w:val="auto"/>
        </w:rPr>
        <w:t>. If Tenant leases the entire ninth (9</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floor of the Building during the Lease Term, then the First Right as set forth in this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shall also apply to any then-vacant portion of the fifth floor of the Building, provided that (i) the First Right as to the fifth (5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floor space will be subject to prior rights of offer previously granted to any other tenant in the Building as of the date of this Lease, and (ii) such First Right for the fifth (5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floor space will be subject to the same terms and conditions as set forth in this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xml:space="preserve"> for the First Right Space.</w:t>
      </w:r>
    </w:p>
    <w:p>
      <w:pPr>
        <w:spacing w:after="0" w:line="6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u w:val="single" w:color="auto"/>
          <w:color w:val="auto"/>
        </w:rPr>
        <w:t>Exhibit I, Rightof First Refusal</w:t>
      </w:r>
      <w:r>
        <w:rPr>
          <w:rFonts w:ascii="Times New Roman" w:cs="Times New Roman" w:eastAsia="Times New Roman" w:hAnsi="Times New Roman"/>
          <w:sz w:val="18"/>
          <w:szCs w:val="18"/>
          <w:color w:val="auto"/>
        </w:rPr>
        <w:t xml:space="preserve"> –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630555</wp:posOffset>
            </wp:positionV>
            <wp:extent cx="7178040" cy="4000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96">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8"/>
          </w:cols>
          <w:pgMar w:left="312" w:top="1148" w:right="319" w:bottom="1440" w:gutter="0" w:footer="0" w:header="0"/>
        </w:sectPr>
      </w:pPr>
    </w:p>
    <w:bookmarkStart w:id="229" w:name="page230"/>
    <w:bookmarkEnd w:id="229"/>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J</w:t>
      </w: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EXPANSION OPTION (AS TO 9</w:t>
      </w:r>
      <w:r>
        <w:rPr>
          <w:rFonts w:ascii="Times New Roman" w:cs="Times New Roman" w:eastAsia="Times New Roman" w:hAnsi="Times New Roman"/>
          <w:sz w:val="12"/>
          <w:szCs w:val="12"/>
          <w:b w:val="1"/>
          <w:bCs w:val="1"/>
          <w:color w:val="auto"/>
        </w:rPr>
        <w:t>TH</w:t>
      </w:r>
      <w:r>
        <w:rPr>
          <w:rFonts w:ascii="Times New Roman" w:cs="Times New Roman" w:eastAsia="Times New Roman" w:hAnsi="Times New Roman"/>
          <w:sz w:val="18"/>
          <w:szCs w:val="18"/>
          <w:b w:val="1"/>
          <w:bCs w:val="1"/>
          <w:color w:val="auto"/>
        </w:rPr>
        <w:t xml:space="preserve"> FLOOR)</w:t>
      </w:r>
    </w:p>
    <w:p>
      <w:pPr>
        <w:spacing w:after="0" w:line="188" w:lineRule="exact"/>
        <w:rPr>
          <w:sz w:val="20"/>
          <w:szCs w:val="20"/>
          <w:color w:val="auto"/>
        </w:rPr>
      </w:pPr>
    </w:p>
    <w:p>
      <w:pPr>
        <w:jc w:val="both"/>
        <w:ind w:firstLine="751"/>
        <w:spacing w:after="0" w:line="254" w:lineRule="auto"/>
        <w:rPr>
          <w:sz w:val="20"/>
          <w:szCs w:val="20"/>
          <w:color w:val="auto"/>
        </w:rPr>
      </w:pPr>
      <w:r>
        <w:rPr>
          <w:rFonts w:ascii="Times New Roman" w:cs="Times New Roman" w:eastAsia="Times New Roman" w:hAnsi="Times New Roman"/>
          <w:sz w:val="18"/>
          <w:szCs w:val="18"/>
          <w:color w:val="auto"/>
        </w:rPr>
        <w:t>So long as no Event of Default exists under this Lease and Tenant is occupying the entire Premises at the time of such election, commencing on the Effective Date until December 31, 2022 (the "</w:t>
      </w:r>
      <w:r>
        <w:rPr>
          <w:rFonts w:ascii="Times New Roman" w:cs="Times New Roman" w:eastAsia="Times New Roman" w:hAnsi="Times New Roman"/>
          <w:sz w:val="18"/>
          <w:szCs w:val="18"/>
          <w:u w:val="single" w:color="auto"/>
          <w:color w:val="auto"/>
        </w:rPr>
        <w:t>Option Period</w:t>
      </w:r>
      <w:r>
        <w:rPr>
          <w:rFonts w:ascii="Times New Roman" w:cs="Times New Roman" w:eastAsia="Times New Roman" w:hAnsi="Times New Roman"/>
          <w:sz w:val="18"/>
          <w:szCs w:val="18"/>
          <w:color w:val="auto"/>
        </w:rPr>
        <w:t>"), Tenant, or if applicable, the Permitted Transferee, shall have the option (the "</w:t>
      </w:r>
      <w:r>
        <w:rPr>
          <w:rFonts w:ascii="Times New Roman" w:cs="Times New Roman" w:eastAsia="Times New Roman" w:hAnsi="Times New Roman"/>
          <w:sz w:val="18"/>
          <w:szCs w:val="18"/>
          <w:u w:val="single" w:color="auto"/>
          <w:color w:val="auto"/>
        </w:rPr>
        <w:t>Expansion Option</w:t>
      </w:r>
      <w:r>
        <w:rPr>
          <w:rFonts w:ascii="Times New Roman" w:cs="Times New Roman" w:eastAsia="Times New Roman" w:hAnsi="Times New Roman"/>
          <w:sz w:val="18"/>
          <w:szCs w:val="18"/>
          <w:color w:val="auto"/>
        </w:rPr>
        <w:t>") to elect to expand the Premises to include the entire ninth (9</w:t>
      </w:r>
      <w:r>
        <w:rPr>
          <w:rFonts w:ascii="Times New Roman" w:cs="Times New Roman" w:eastAsia="Times New Roman" w:hAnsi="Times New Roman"/>
          <w:sz w:val="12"/>
          <w:szCs w:val="12"/>
          <w:color w:val="auto"/>
        </w:rPr>
        <w:t>th</w:t>
      </w:r>
      <w:r>
        <w:rPr>
          <w:rFonts w:ascii="Times New Roman" w:cs="Times New Roman" w:eastAsia="Times New Roman" w:hAnsi="Times New Roman"/>
          <w:sz w:val="18"/>
          <w:szCs w:val="18"/>
          <w:color w:val="auto"/>
        </w:rPr>
        <w:t>) floor of the Building (the "</w:t>
      </w:r>
      <w:r>
        <w:rPr>
          <w:rFonts w:ascii="Times New Roman" w:cs="Times New Roman" w:eastAsia="Times New Roman" w:hAnsi="Times New Roman"/>
          <w:sz w:val="18"/>
          <w:szCs w:val="18"/>
          <w:u w:val="single" w:color="auto"/>
          <w:color w:val="auto"/>
        </w:rPr>
        <w:t>Expansion Space</w:t>
      </w:r>
      <w:r>
        <w:rPr>
          <w:rFonts w:ascii="Times New Roman" w:cs="Times New Roman" w:eastAsia="Times New Roman" w:hAnsi="Times New Roman"/>
          <w:sz w:val="18"/>
          <w:szCs w:val="18"/>
          <w:color w:val="auto"/>
        </w:rPr>
        <w:t>"), subject to the following:</w:t>
      </w:r>
    </w:p>
    <w:p>
      <w:pPr>
        <w:spacing w:after="0" w:line="344" w:lineRule="exact"/>
        <w:rPr>
          <w:sz w:val="20"/>
          <w:szCs w:val="20"/>
          <w:color w:val="auto"/>
        </w:rPr>
      </w:pPr>
    </w:p>
    <w:p>
      <w:pPr>
        <w:ind w:right="20" w:firstLine="743"/>
        <w:spacing w:after="0" w:line="278" w:lineRule="auto"/>
        <w:tabs>
          <w:tab w:leader="none" w:pos="1079"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must exercise the Expansion Option by giving Landlord written notice thereof on or before the expiration of the Option Period ("</w:t>
      </w:r>
      <w:r>
        <w:rPr>
          <w:rFonts w:ascii="Times New Roman" w:cs="Times New Roman" w:eastAsia="Times New Roman" w:hAnsi="Times New Roman"/>
          <w:sz w:val="18"/>
          <w:szCs w:val="18"/>
          <w:u w:val="single" w:color="auto"/>
          <w:color w:val="auto"/>
        </w:rPr>
        <w:t>Tenant's Expansion Notice</w:t>
      </w:r>
      <w:r>
        <w:rPr>
          <w:rFonts w:ascii="Times New Roman" w:cs="Times New Roman" w:eastAsia="Times New Roman" w:hAnsi="Times New Roman"/>
          <w:sz w:val="18"/>
          <w:szCs w:val="18"/>
          <w:color w:val="auto"/>
        </w:rPr>
        <w:t>").</w:t>
      </w:r>
    </w:p>
    <w:p>
      <w:pPr>
        <w:spacing w:after="0" w:line="118" w:lineRule="exact"/>
        <w:rPr>
          <w:rFonts w:ascii="Times New Roman" w:cs="Times New Roman" w:eastAsia="Times New Roman" w:hAnsi="Times New Roman"/>
          <w:sz w:val="18"/>
          <w:szCs w:val="18"/>
          <w:color w:val="auto"/>
        </w:rPr>
      </w:pPr>
    </w:p>
    <w:p>
      <w:pPr>
        <w:jc w:val="both"/>
        <w:ind w:firstLine="743"/>
        <w:spacing w:after="0" w:line="259" w:lineRule="auto"/>
        <w:tabs>
          <w:tab w:leader="none" w:pos="1088"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Exhibit J</w:t>
      </w:r>
      <w:r>
        <w:rPr>
          <w:rFonts w:ascii="Times New Roman" w:cs="Times New Roman" w:eastAsia="Times New Roman" w:hAnsi="Times New Roman"/>
          <w:sz w:val="18"/>
          <w:szCs w:val="18"/>
          <w:color w:val="auto"/>
        </w:rPr>
        <w:t xml:space="preserve"> shall at all times be subject and subordinate to the provisions of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xml:space="preserve"> and if Landlord delivers an Offer Notice to Tenant in accordance with the provisions of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xml:space="preserve">, the provisions of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xml:space="preserve"> shall govern and control over the provisions of this </w:t>
      </w:r>
      <w:r>
        <w:rPr>
          <w:rFonts w:ascii="Times New Roman" w:cs="Times New Roman" w:eastAsia="Times New Roman" w:hAnsi="Times New Roman"/>
          <w:sz w:val="18"/>
          <w:szCs w:val="18"/>
          <w:u w:val="single" w:color="auto"/>
          <w:color w:val="auto"/>
        </w:rPr>
        <w:t>Exhibit J</w:t>
      </w:r>
      <w:r>
        <w:rPr>
          <w:rFonts w:ascii="Times New Roman" w:cs="Times New Roman" w:eastAsia="Times New Roman" w:hAnsi="Times New Roman"/>
          <w:sz w:val="18"/>
          <w:szCs w:val="18"/>
          <w:color w:val="auto"/>
        </w:rPr>
        <w:t xml:space="preserve"> with respect to the Option Space identified in the Offer Notice.</w:t>
      </w:r>
    </w:p>
    <w:p>
      <w:pPr>
        <w:spacing w:after="0" w:line="135" w:lineRule="exact"/>
        <w:rPr>
          <w:rFonts w:ascii="Times New Roman" w:cs="Times New Roman" w:eastAsia="Times New Roman" w:hAnsi="Times New Roman"/>
          <w:sz w:val="18"/>
          <w:szCs w:val="18"/>
          <w:color w:val="auto"/>
        </w:rPr>
      </w:pPr>
    </w:p>
    <w:p>
      <w:pPr>
        <w:ind w:firstLine="743"/>
        <w:spacing w:after="0" w:line="278" w:lineRule="auto"/>
        <w:tabs>
          <w:tab w:leader="none" w:pos="1063"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Lease shall be amended to include the Expansion Space in the Premises upon the same terms and conditions as the Lease, except as set forth otherwise in this </w:t>
      </w:r>
      <w:r>
        <w:rPr>
          <w:rFonts w:ascii="Times New Roman" w:cs="Times New Roman" w:eastAsia="Times New Roman" w:hAnsi="Times New Roman"/>
          <w:sz w:val="18"/>
          <w:szCs w:val="18"/>
          <w:u w:val="single" w:color="auto"/>
          <w:color w:val="auto"/>
        </w:rPr>
        <w:t>Exhibit J</w:t>
      </w:r>
      <w:r>
        <w:rPr>
          <w:rFonts w:ascii="Times New Roman" w:cs="Times New Roman" w:eastAsia="Times New Roman" w:hAnsi="Times New Roman"/>
          <w:sz w:val="18"/>
          <w:szCs w:val="18"/>
          <w:color w:val="auto"/>
        </w:rPr>
        <w:t>.</w:t>
      </w:r>
    </w:p>
    <w:p>
      <w:pPr>
        <w:spacing w:after="0" w:line="118" w:lineRule="exact"/>
        <w:rPr>
          <w:rFonts w:ascii="Times New Roman" w:cs="Times New Roman" w:eastAsia="Times New Roman" w:hAnsi="Times New Roman"/>
          <w:sz w:val="18"/>
          <w:szCs w:val="18"/>
          <w:color w:val="auto"/>
        </w:rPr>
      </w:pPr>
    </w:p>
    <w:p>
      <w:pPr>
        <w:jc w:val="both"/>
        <w:ind w:firstLine="743"/>
        <w:spacing w:after="0" w:line="259" w:lineRule="auto"/>
        <w:tabs>
          <w:tab w:leader="none" w:pos="1091"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shall tender possession of the Expansion Space to Tenant in its "as-is" condition promptly after Tenant's delivery of Tenant's Expansion Notice. Landlord shall not be liable for the failure to give possession of the Expansion Space by reason of the holding over or retention of possession thereof by any existing tenant, tenants, or occupants.</w:t>
      </w:r>
    </w:p>
    <w:p>
      <w:pPr>
        <w:spacing w:after="0" w:line="135" w:lineRule="exact"/>
        <w:rPr>
          <w:rFonts w:ascii="Times New Roman" w:cs="Times New Roman" w:eastAsia="Times New Roman" w:hAnsi="Times New Roman"/>
          <w:sz w:val="18"/>
          <w:szCs w:val="18"/>
          <w:color w:val="auto"/>
        </w:rPr>
      </w:pPr>
    </w:p>
    <w:p>
      <w:pPr>
        <w:jc w:val="both"/>
        <w:ind w:firstLine="743"/>
        <w:spacing w:after="0" w:line="259" w:lineRule="auto"/>
        <w:tabs>
          <w:tab w:leader="none" w:pos="1113"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date for the Expansion Space will be the earlier to occur of (i) occupancy of the Premises by Tenant and its employees for the operation of its business therein, or (ii) one hundred eighty (180) days after Landlord turns over possession and control of the Expansion Space to Tenant (the "</w:t>
      </w:r>
      <w:r>
        <w:rPr>
          <w:rFonts w:ascii="Times New Roman" w:cs="Times New Roman" w:eastAsia="Times New Roman" w:hAnsi="Times New Roman"/>
          <w:sz w:val="18"/>
          <w:szCs w:val="18"/>
          <w:u w:val="single" w:color="auto"/>
          <w:color w:val="auto"/>
        </w:rPr>
        <w:t>Expansion Commencement Date</w:t>
      </w:r>
      <w:r>
        <w:rPr>
          <w:rFonts w:ascii="Times New Roman" w:cs="Times New Roman" w:eastAsia="Times New Roman" w:hAnsi="Times New Roman"/>
          <w:sz w:val="18"/>
          <w:szCs w:val="18"/>
          <w:color w:val="auto"/>
        </w:rPr>
        <w:t>").</w:t>
      </w:r>
    </w:p>
    <w:p>
      <w:pPr>
        <w:spacing w:after="0" w:line="135" w:lineRule="exact"/>
        <w:rPr>
          <w:rFonts w:ascii="Times New Roman" w:cs="Times New Roman" w:eastAsia="Times New Roman" w:hAnsi="Times New Roman"/>
          <w:sz w:val="18"/>
          <w:szCs w:val="18"/>
          <w:color w:val="auto"/>
        </w:rPr>
      </w:pPr>
    </w:p>
    <w:p>
      <w:pPr>
        <w:jc w:val="both"/>
        <w:ind w:firstLine="743"/>
        <w:spacing w:after="0" w:line="259" w:lineRule="auto"/>
        <w:tabs>
          <w:tab w:leader="none" w:pos="10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the Expansion Option shall be subordinate to any and all rights, including, without limitation, renewal rights, expansion rights, rights of first refusal and rights of first offer, under any lease demising premises in the Building which exist on the Effective Date.</w:t>
      </w:r>
    </w:p>
    <w:p>
      <w:pPr>
        <w:spacing w:after="0" w:line="135" w:lineRule="exact"/>
        <w:rPr>
          <w:rFonts w:ascii="Times New Roman" w:cs="Times New Roman" w:eastAsia="Times New Roman" w:hAnsi="Times New Roman"/>
          <w:sz w:val="18"/>
          <w:szCs w:val="18"/>
          <w:color w:val="auto"/>
        </w:rPr>
      </w:pPr>
    </w:p>
    <w:p>
      <w:pPr>
        <w:jc w:val="both"/>
        <w:ind w:right="20" w:firstLine="743"/>
        <w:spacing w:after="0" w:line="259" w:lineRule="auto"/>
        <w:tabs>
          <w:tab w:leader="none" w:pos="1061"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Tenant's rights under this </w:t>
      </w:r>
      <w:r>
        <w:rPr>
          <w:rFonts w:ascii="Times New Roman" w:cs="Times New Roman" w:eastAsia="Times New Roman" w:hAnsi="Times New Roman"/>
          <w:sz w:val="18"/>
          <w:szCs w:val="18"/>
          <w:u w:val="single" w:color="auto"/>
          <w:color w:val="auto"/>
        </w:rPr>
        <w:t>Exhibit J</w:t>
      </w:r>
      <w:r>
        <w:rPr>
          <w:rFonts w:ascii="Times New Roman" w:cs="Times New Roman" w:eastAsia="Times New Roman" w:hAnsi="Times New Roman"/>
          <w:sz w:val="18"/>
          <w:szCs w:val="18"/>
          <w:color w:val="auto"/>
        </w:rPr>
        <w:t xml:space="preserve"> shall terminate if (i) the Lease or Tenant's right to possession of the Premises is terminated, (ii) Tenant assigns any of its interest in the Lease or sublets any portion of the Premises except to a Permitted Transferee, or (iii) Tenant fails to timely exercise its option under this </w:t>
      </w:r>
      <w:r>
        <w:rPr>
          <w:rFonts w:ascii="Times New Roman" w:cs="Times New Roman" w:eastAsia="Times New Roman" w:hAnsi="Times New Roman"/>
          <w:sz w:val="18"/>
          <w:szCs w:val="18"/>
          <w:u w:val="single" w:color="auto"/>
          <w:color w:val="auto"/>
        </w:rPr>
        <w:t>Exhibit J</w:t>
      </w:r>
      <w:r>
        <w:rPr>
          <w:rFonts w:ascii="Times New Roman" w:cs="Times New Roman" w:eastAsia="Times New Roman" w:hAnsi="Times New Roman"/>
          <w:sz w:val="18"/>
          <w:szCs w:val="18"/>
          <w:color w:val="auto"/>
        </w:rPr>
        <w:t>, time being of the essence with respect to Tenant's exercise thereof.</w:t>
      </w:r>
    </w:p>
    <w:p>
      <w:pPr>
        <w:spacing w:after="0" w:line="135" w:lineRule="exact"/>
        <w:rPr>
          <w:rFonts w:ascii="Times New Roman" w:cs="Times New Roman" w:eastAsia="Times New Roman" w:hAnsi="Times New Roman"/>
          <w:sz w:val="18"/>
          <w:szCs w:val="18"/>
          <w:color w:val="auto"/>
        </w:rPr>
      </w:pPr>
    </w:p>
    <w:p>
      <w:pPr>
        <w:jc w:val="both"/>
        <w:ind w:firstLine="743"/>
        <w:spacing w:after="0" w:line="259" w:lineRule="auto"/>
        <w:tabs>
          <w:tab w:leader="none" w:pos="10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Tenant exercises the Expansion Option within the Option Period, the terms and conditions of the Lease, including, but not limited to, Base Rental and Lease Term, will be applied to the Expansion Space, prorated as of the Expansion Commencement Date, and Tenant and Landlord shall execute an amendment to this Lease incorporating the Expansion Space as part of the Premises.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J, Expansion Option</w:t>
      </w:r>
      <w:r>
        <w:rPr>
          <w:rFonts w:ascii="Times New Roman" w:cs="Times New Roman" w:eastAsia="Times New Roman" w:hAnsi="Times New Roman"/>
          <w:sz w:val="18"/>
          <w:szCs w:val="18"/>
          <w:color w:val="auto"/>
        </w:rPr>
        <w:t xml:space="preserve"> –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630555</wp:posOffset>
            </wp:positionV>
            <wp:extent cx="7178040" cy="4000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97">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17" w:right="319" w:bottom="1440" w:gutter="0" w:footer="0" w:header="0"/>
        </w:sectPr>
      </w:pPr>
    </w:p>
    <w:bookmarkStart w:id="230" w:name="page231"/>
    <w:bookmarkEnd w:id="230"/>
    <w:p>
      <w:pPr>
        <w:jc w:val="both"/>
        <w:ind w:firstLine="751"/>
        <w:spacing w:after="0" w:line="259" w:lineRule="auto"/>
        <w:rPr>
          <w:sz w:val="20"/>
          <w:szCs w:val="20"/>
          <w:color w:val="auto"/>
        </w:rPr>
      </w:pPr>
      <w:r>
        <w:rPr>
          <w:rFonts w:ascii="Times New Roman" w:cs="Times New Roman" w:eastAsia="Times New Roman" w:hAnsi="Times New Roman"/>
          <w:sz w:val="18"/>
          <w:szCs w:val="18"/>
          <w:color w:val="auto"/>
        </w:rPr>
        <w:t>If Tenant does not timely exercise the Expansion Option, Tenant shall have the right to expand the Premises into the Expansion Space for a base rental equal to the greater of the then in place Base Rental for the Premises, or the prevailing fair market rental rate for space in buildings of equivalent quality, size, utility and location, for the same lease term, taking into account the credit standing of Tenant.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J, Expansion Option</w:t>
      </w:r>
      <w:r>
        <w:rPr>
          <w:rFonts w:ascii="Times New Roman" w:cs="Times New Roman" w:eastAsia="Times New Roman" w:hAnsi="Times New Roman"/>
          <w:sz w:val="18"/>
          <w:szCs w:val="18"/>
          <w:color w:val="auto"/>
        </w:rPr>
        <w:t xml:space="preserve"> –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630555</wp:posOffset>
            </wp:positionV>
            <wp:extent cx="7178040" cy="4000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98">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336" w:right="319" w:bottom="1440" w:gutter="0" w:footer="0" w:header="0"/>
        </w:sectPr>
      </w:pPr>
    </w:p>
    <w:bookmarkStart w:id="231" w:name="page232"/>
    <w:bookmarkEnd w:id="231"/>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rPr>
        <w:t>Exhibit 10.32</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231F20"/>
        </w:rPr>
        <w:t>FIRST AMENDMENT TO OFFICE LEASE AGREEMENT</w:t>
      </w:r>
    </w:p>
    <w:p>
      <w:pPr>
        <w:spacing w:after="0" w:line="188" w:lineRule="exact"/>
        <w:rPr>
          <w:sz w:val="20"/>
          <w:szCs w:val="20"/>
          <w:color w:val="auto"/>
        </w:rPr>
      </w:pPr>
    </w:p>
    <w:p>
      <w:pPr>
        <w:jc w:val="both"/>
        <w:ind w:firstLine="751"/>
        <w:spacing w:after="0" w:line="259" w:lineRule="auto"/>
        <w:rPr>
          <w:sz w:val="20"/>
          <w:szCs w:val="20"/>
          <w:color w:val="auto"/>
        </w:rPr>
      </w:pPr>
      <w:r>
        <w:rPr>
          <w:rFonts w:ascii="Times New Roman" w:cs="Times New Roman" w:eastAsia="Times New Roman" w:hAnsi="Times New Roman"/>
          <w:sz w:val="18"/>
          <w:szCs w:val="18"/>
          <w:color w:val="231F20"/>
        </w:rPr>
        <w:t xml:space="preserve">THIS FIRST AMENDMENT TO OFFICE LEASE AGREEMENT (this “First Amendment”) is entered into as of the </w:t>
      </w:r>
      <w:r>
        <w:rPr>
          <w:rFonts w:ascii="Times New Roman" w:cs="Times New Roman" w:eastAsia="Times New Roman" w:hAnsi="Times New Roman"/>
          <w:sz w:val="18"/>
          <w:szCs w:val="18"/>
          <w:u w:val="single" w:color="auto"/>
          <w:color w:val="231F20"/>
        </w:rPr>
        <w:t>1st</w:t>
      </w:r>
      <w:r>
        <w:rPr>
          <w:rFonts w:ascii="Times New Roman" w:cs="Times New Roman" w:eastAsia="Times New Roman" w:hAnsi="Times New Roman"/>
          <w:sz w:val="18"/>
          <w:szCs w:val="18"/>
          <w:color w:val="231F20"/>
        </w:rPr>
        <w:t xml:space="preserve"> day of November, 2023 (the “Effective Date”), by and between FSP ADDISON CIRCLE LIMITED PARTNERSHIP, a Texas limited partnership (the “Landlord”) and CAROFFER, LLC, a Delaware limited liability company (the “Tenant”).</w:t>
      </w:r>
    </w:p>
    <w:p>
      <w:pPr>
        <w:spacing w:after="0" w:line="135"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u w:val="single" w:color="auto"/>
          <w:color w:val="231F20"/>
        </w:rPr>
        <w:t>RECITALS</w:t>
      </w:r>
    </w:p>
    <w:p>
      <w:pPr>
        <w:spacing w:after="0" w:line="184" w:lineRule="exact"/>
        <w:rPr>
          <w:sz w:val="20"/>
          <w:szCs w:val="20"/>
          <w:color w:val="auto"/>
        </w:rPr>
      </w:pPr>
    </w:p>
    <w:p>
      <w:pPr>
        <w:jc w:val="both"/>
        <w:ind w:firstLine="743"/>
        <w:spacing w:after="0" w:line="259" w:lineRule="auto"/>
        <w:tabs>
          <w:tab w:leader="none" w:pos="1021" w:val="left"/>
        </w:tabs>
        <w:numPr>
          <w:ilvl w:val="0"/>
          <w:numId w:val="1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Landlord and Tenant are parties to that certain Office Lease Agreement dated as of April 28, 2022 (the “Lease”) with respect to certain premises commonly known as Suite 800 consisting of approximately 30,913 square feet of Rentable Area (the “Existing Premises”) on the eighth (8</w:t>
      </w:r>
      <w:r>
        <w:rPr>
          <w:rFonts w:ascii="Times New Roman" w:cs="Times New Roman" w:eastAsia="Times New Roman" w:hAnsi="Times New Roman"/>
          <w:sz w:val="12"/>
          <w:szCs w:val="12"/>
          <w:color w:val="231F20"/>
        </w:rPr>
        <w:t>th</w:t>
      </w:r>
      <w:r>
        <w:rPr>
          <w:rFonts w:ascii="Times New Roman" w:cs="Times New Roman" w:eastAsia="Times New Roman" w:hAnsi="Times New Roman"/>
          <w:sz w:val="18"/>
          <w:szCs w:val="18"/>
          <w:color w:val="231F20"/>
        </w:rPr>
        <w:t>) floor of the office building commonly known as Addison Circle located at 15601 Dallas Parkway, Addison, Texas 75001 (the “Building”).</w:t>
      </w:r>
    </w:p>
    <w:p>
      <w:pPr>
        <w:spacing w:after="0" w:line="135" w:lineRule="exact"/>
        <w:rPr>
          <w:rFonts w:ascii="Times New Roman" w:cs="Times New Roman" w:eastAsia="Times New Roman" w:hAnsi="Times New Roman"/>
          <w:sz w:val="18"/>
          <w:szCs w:val="18"/>
          <w:color w:val="231F20"/>
        </w:rPr>
      </w:pPr>
    </w:p>
    <w:p>
      <w:pPr>
        <w:jc w:val="both"/>
        <w:ind w:firstLine="743"/>
        <w:spacing w:after="0" w:line="259" w:lineRule="auto"/>
        <w:tabs>
          <w:tab w:leader="none" w:pos="1021" w:val="left"/>
        </w:tabs>
        <w:numPr>
          <w:ilvl w:val="0"/>
          <w:numId w:val="1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Landlord and Tenant wish to relocate the Existing Premises to certain premises on the ninth (9</w:t>
      </w:r>
      <w:r>
        <w:rPr>
          <w:rFonts w:ascii="Times New Roman" w:cs="Times New Roman" w:eastAsia="Times New Roman" w:hAnsi="Times New Roman"/>
          <w:sz w:val="12"/>
          <w:szCs w:val="12"/>
          <w:color w:val="231F20"/>
        </w:rPr>
        <w:t>th</w:t>
      </w:r>
      <w:r>
        <w:rPr>
          <w:rFonts w:ascii="Times New Roman" w:cs="Times New Roman" w:eastAsia="Times New Roman" w:hAnsi="Times New Roman"/>
          <w:sz w:val="18"/>
          <w:szCs w:val="18"/>
          <w:color w:val="231F20"/>
        </w:rPr>
        <w:t xml:space="preserve">) floor of the Building commonly known as Suite 900 consisting of approximately 30,913 square feet of Rentable Area, and shown on the plan attached hereto as </w:t>
      </w:r>
      <w:r>
        <w:rPr>
          <w:rFonts w:ascii="Times New Roman" w:cs="Times New Roman" w:eastAsia="Times New Roman" w:hAnsi="Times New Roman"/>
          <w:sz w:val="18"/>
          <w:szCs w:val="18"/>
          <w:u w:val="single" w:color="auto"/>
          <w:color w:val="231F20"/>
        </w:rPr>
        <w:t>Exhibit A</w:t>
      </w:r>
      <w:r>
        <w:rPr>
          <w:rFonts w:ascii="Times New Roman" w:cs="Times New Roman" w:eastAsia="Times New Roman" w:hAnsi="Times New Roman"/>
          <w:sz w:val="18"/>
          <w:szCs w:val="18"/>
          <w:color w:val="231F20"/>
        </w:rPr>
        <w:t xml:space="preserve"> (the “Relocation Premises”).</w:t>
      </w:r>
    </w:p>
    <w:p>
      <w:pPr>
        <w:spacing w:after="0" w:line="135" w:lineRule="exact"/>
        <w:rPr>
          <w:rFonts w:ascii="Times New Roman" w:cs="Times New Roman" w:eastAsia="Times New Roman" w:hAnsi="Times New Roman"/>
          <w:sz w:val="18"/>
          <w:szCs w:val="18"/>
          <w:color w:val="231F20"/>
        </w:rPr>
      </w:pPr>
    </w:p>
    <w:p>
      <w:pPr>
        <w:ind w:right="20" w:firstLine="743"/>
        <w:spacing w:after="0" w:line="278" w:lineRule="auto"/>
        <w:tabs>
          <w:tab w:leader="none" w:pos="1021" w:val="left"/>
        </w:tabs>
        <w:numPr>
          <w:ilvl w:val="0"/>
          <w:numId w:val="1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Landlord and Tenant wish to extend the Reimbursement Deadline for Tenant’s use of the Improvement Allowance and the Preliminary Planning Allowance.</w:t>
      </w:r>
    </w:p>
    <w:p>
      <w:pPr>
        <w:spacing w:after="0" w:line="118" w:lineRule="exact"/>
        <w:rPr>
          <w:rFonts w:ascii="Times New Roman" w:cs="Times New Roman" w:eastAsia="Times New Roman" w:hAnsi="Times New Roman"/>
          <w:sz w:val="18"/>
          <w:szCs w:val="18"/>
          <w:color w:val="231F20"/>
        </w:rPr>
      </w:pPr>
    </w:p>
    <w:p>
      <w:pPr>
        <w:ind w:left="1020" w:hanging="277"/>
        <w:spacing w:after="0"/>
        <w:tabs>
          <w:tab w:leader="none" w:pos="1020" w:val="left"/>
        </w:tabs>
        <w:numPr>
          <w:ilvl w:val="0"/>
          <w:numId w:val="1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Tenant has agreed to provide an additional security deposit in an amount equal to </w:t>
      </w:r>
      <w:r>
        <w:rPr>
          <w:rFonts w:ascii="Times New Roman" w:cs="Times New Roman" w:eastAsia="Times New Roman" w:hAnsi="Times New Roman"/>
          <w:sz w:val="16"/>
          <w:szCs w:val="16"/>
          <w:color w:val="231F20"/>
        </w:rPr>
        <w:t>$500,000.00 in the form of a letter of credit.</w:t>
      </w:r>
    </w:p>
    <w:p>
      <w:pPr>
        <w:spacing w:after="0" w:line="184" w:lineRule="exact"/>
        <w:rPr>
          <w:rFonts w:ascii="Times New Roman" w:cs="Times New Roman" w:eastAsia="Times New Roman" w:hAnsi="Times New Roman"/>
          <w:sz w:val="18"/>
          <w:szCs w:val="18"/>
          <w:color w:val="231F20"/>
        </w:rPr>
      </w:pPr>
    </w:p>
    <w:p>
      <w:pPr>
        <w:ind w:right="20" w:firstLine="743"/>
        <w:spacing w:after="0" w:line="278" w:lineRule="auto"/>
        <w:tabs>
          <w:tab w:leader="none" w:pos="1021" w:val="left"/>
        </w:tabs>
        <w:numPr>
          <w:ilvl w:val="0"/>
          <w:numId w:val="1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Landlord and Tenant desire to make certain amendments and modifications to the terms and provisions of the Lease consistent with the foregoing as hereinafter set forth. The Lease, as modified by this First Amendment, is hereinafter referred to as the “Lease.”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231F20"/>
        </w:rPr>
        <w:t>AGREEMENT</w:t>
      </w:r>
    </w:p>
    <w:p>
      <w:pPr>
        <w:spacing w:after="0" w:line="184" w:lineRule="exact"/>
        <w:rPr>
          <w:sz w:val="20"/>
          <w:szCs w:val="20"/>
          <w:color w:val="auto"/>
        </w:rPr>
      </w:pPr>
    </w:p>
    <w:p>
      <w:pPr>
        <w:ind w:right="20" w:firstLine="751"/>
        <w:spacing w:after="0" w:line="278" w:lineRule="auto"/>
        <w:rPr>
          <w:sz w:val="20"/>
          <w:szCs w:val="20"/>
          <w:color w:val="auto"/>
        </w:rPr>
      </w:pPr>
      <w:r>
        <w:rPr>
          <w:rFonts w:ascii="Times New Roman" w:cs="Times New Roman" w:eastAsia="Times New Roman" w:hAnsi="Times New Roman"/>
          <w:sz w:val="18"/>
          <w:szCs w:val="18"/>
          <w:color w:val="231F20"/>
        </w:rPr>
        <w:t>NOW, THEREFORE, in consideration of the Recitals set forth above and other good and valuable consideration, the receipt and sufficiency of which is hereby acknowledged, Landlord and Tenant agree as follows:</w:t>
      </w:r>
    </w:p>
    <w:p>
      <w:pPr>
        <w:spacing w:after="0" w:line="115" w:lineRule="exact"/>
        <w:rPr>
          <w:sz w:val="20"/>
          <w:szCs w:val="20"/>
          <w:color w:val="auto"/>
        </w:rPr>
      </w:pPr>
    </w:p>
    <w:p>
      <w:pPr>
        <w:ind w:left="1020" w:hanging="277"/>
        <w:spacing w:after="0"/>
        <w:tabs>
          <w:tab w:leader="none" w:pos="1020" w:val="left"/>
        </w:tabs>
        <w:numPr>
          <w:ilvl w:val="0"/>
          <w:numId w:val="1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u w:val="single" w:color="auto"/>
          <w:color w:val="231F20"/>
        </w:rPr>
        <w:t>Definitions</w:t>
      </w:r>
      <w:r>
        <w:rPr>
          <w:rFonts w:ascii="Times New Roman" w:cs="Times New Roman" w:eastAsia="Times New Roman" w:hAnsi="Times New Roman"/>
          <w:sz w:val="18"/>
          <w:szCs w:val="18"/>
          <w:color w:val="231F20"/>
        </w:rPr>
        <w:t>. Each capitalized term used but not defined herein shall have the respective meaning given to it in the Lease.</w:t>
      </w:r>
    </w:p>
    <w:p>
      <w:pPr>
        <w:spacing w:after="0" w:line="184" w:lineRule="exact"/>
        <w:rPr>
          <w:rFonts w:ascii="Times New Roman" w:cs="Times New Roman" w:eastAsia="Times New Roman" w:hAnsi="Times New Roman"/>
          <w:sz w:val="18"/>
          <w:szCs w:val="18"/>
          <w:color w:val="231F20"/>
        </w:rPr>
      </w:pPr>
    </w:p>
    <w:p>
      <w:pPr>
        <w:jc w:val="both"/>
        <w:ind w:firstLine="743"/>
        <w:spacing w:after="0" w:line="248" w:lineRule="auto"/>
        <w:tabs>
          <w:tab w:leader="none" w:pos="1021" w:val="left"/>
        </w:tabs>
        <w:numPr>
          <w:ilvl w:val="0"/>
          <w:numId w:val="1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u w:val="single" w:color="auto"/>
          <w:color w:val="231F20"/>
        </w:rPr>
        <w:t>Premises; Rentable Area of Premises; Tenant’s Share</w:t>
      </w:r>
      <w:r>
        <w:rPr>
          <w:rFonts w:ascii="Times New Roman" w:cs="Times New Roman" w:eastAsia="Times New Roman" w:hAnsi="Times New Roman"/>
          <w:sz w:val="18"/>
          <w:szCs w:val="18"/>
          <w:color w:val="231F20"/>
        </w:rPr>
        <w:t>. Landlord and Tenant acknowledge and agree that, effective as of the Effective</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Date, (a) the Relocation Premises shall be deemed to be the Premises under the Lease, (b) the Existing Premises shall no longer be considered the Premises and shall be removed from the definition of the Premises under the Lease, (c) the term “Premises” (and all references in the Lease to the “Premises”) shall be deemed to mean the Relocation Premises, (d) the Rentable Area of the Premises shall remain 30,913 square feet of Rentable Area, and (e) Tenant’s Share shall remain 10.684%. For purposes of clarification, Landlord and Tenant hereby acknowledge and agree that the Existing Premises and the Relocation Premises consist of the same Rentable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855345</wp:posOffset>
            </wp:positionV>
            <wp:extent cx="7178040" cy="4000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99">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669" w:right="319" w:bottom="1440" w:gutter="0" w:footer="0" w:header="0"/>
        </w:sectPr>
      </w:pPr>
    </w:p>
    <w:bookmarkStart w:id="232" w:name="page233"/>
    <w:bookmarkEnd w:id="232"/>
    <w:p>
      <w:pPr>
        <w:ind w:left="20" w:right="20" w:firstLine="743"/>
        <w:spacing w:after="0" w:line="283" w:lineRule="auto"/>
        <w:tabs>
          <w:tab w:leader="none" w:pos="1041" w:val="left"/>
        </w:tabs>
        <w:numPr>
          <w:ilvl w:val="0"/>
          <w:numId w:val="1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u w:val="single" w:color="auto"/>
          <w:color w:val="231F20"/>
        </w:rPr>
        <w:t>Commencement Date; Lease Term</w:t>
      </w:r>
      <w:r>
        <w:rPr>
          <w:rFonts w:ascii="Times New Roman" w:cs="Times New Roman" w:eastAsia="Times New Roman" w:hAnsi="Times New Roman"/>
          <w:sz w:val="18"/>
          <w:szCs w:val="18"/>
          <w:color w:val="231F20"/>
        </w:rPr>
        <w:t>. Landlord and Tenant acknowledge and agree that the Commencement Date occurred on December</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1, 2022 and the Lease Term shall expire on January 31, 2030, subject to any renewal or early termination rights set forth in the Lease.</w:t>
      </w:r>
    </w:p>
    <w:p>
      <w:pPr>
        <w:spacing w:after="0" w:line="110" w:lineRule="exact"/>
        <w:rPr>
          <w:rFonts w:ascii="Times New Roman" w:cs="Times New Roman" w:eastAsia="Times New Roman" w:hAnsi="Times New Roman"/>
          <w:sz w:val="18"/>
          <w:szCs w:val="18"/>
          <w:color w:val="231F20"/>
        </w:rPr>
      </w:pPr>
    </w:p>
    <w:p>
      <w:pPr>
        <w:jc w:val="both"/>
        <w:ind w:left="20" w:firstLine="743"/>
        <w:spacing w:after="0" w:line="261" w:lineRule="auto"/>
        <w:tabs>
          <w:tab w:leader="none" w:pos="1041" w:val="left"/>
        </w:tabs>
        <w:numPr>
          <w:ilvl w:val="0"/>
          <w:numId w:val="1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u w:val="single" w:color="auto"/>
          <w:color w:val="231F20"/>
        </w:rPr>
        <w:t>Base Rental</w:t>
      </w:r>
      <w:r>
        <w:rPr>
          <w:rFonts w:ascii="Times New Roman" w:cs="Times New Roman" w:eastAsia="Times New Roman" w:hAnsi="Times New Roman"/>
          <w:sz w:val="18"/>
          <w:szCs w:val="18"/>
          <w:color w:val="231F20"/>
        </w:rPr>
        <w:t>. Effective as of the Effective Date, the Base Rental Table appearing in Section 1(c) of the Lease is hereby deleted in its</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entirety, the following Base Rental Table shall be substituted in lieu thereof, and Tenant shall pay to Landlord, in accordance with the terms and conditions of the Lease, Base Rental for the Premises in the amounts applicable to such periods as follows:</w:t>
      </w:r>
    </w:p>
    <w:p>
      <w:pPr>
        <w:spacing w:after="0" w:line="133"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3260" w:type="dxa"/>
            <w:vAlign w:val="bottom"/>
            <w:tcBorders>
              <w:top w:val="single" w:sz="8" w:color="231F20"/>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231F20"/>
              </w:rPr>
              <w:t>Period</w:t>
            </w:r>
          </w:p>
        </w:tc>
        <w:tc>
          <w:tcPr>
            <w:tcW w:w="1700" w:type="dxa"/>
            <w:vAlign w:val="bottom"/>
            <w:tcBorders>
              <w:top w:val="single" w:sz="8" w:color="231F20"/>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Annual Base Rental</w:t>
            </w:r>
          </w:p>
        </w:tc>
        <w:tc>
          <w:tcPr>
            <w:tcW w:w="1940" w:type="dxa"/>
            <w:vAlign w:val="bottom"/>
            <w:tcBorders>
              <w:top w:val="single" w:sz="8" w:color="231F20"/>
              <w:right w:val="single" w:sz="8" w:color="231F20"/>
            </w:tcBorders>
          </w:tcPr>
          <w:p>
            <w:pPr>
              <w:ind w:left="100"/>
              <w:spacing w:after="0"/>
              <w:rPr>
                <w:sz w:val="20"/>
                <w:szCs w:val="20"/>
                <w:color w:val="auto"/>
              </w:rPr>
            </w:pPr>
            <w:r>
              <w:rPr>
                <w:rFonts w:ascii="Times New Roman" w:cs="Times New Roman" w:eastAsia="Times New Roman" w:hAnsi="Times New Roman"/>
                <w:sz w:val="18"/>
                <w:szCs w:val="18"/>
                <w:color w:val="231F20"/>
              </w:rPr>
              <w:t>Annual Base Rental</w:t>
            </w:r>
          </w:p>
        </w:tc>
        <w:tc>
          <w:tcPr>
            <w:tcW w:w="1920" w:type="dxa"/>
            <w:vAlign w:val="bottom"/>
            <w:tcBorders>
              <w:top w:val="single" w:sz="8" w:color="231F20"/>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231F20"/>
              </w:rPr>
              <w:t>Monthly Installment</w:t>
            </w:r>
          </w:p>
        </w:tc>
        <w:tc>
          <w:tcPr>
            <w:tcW w:w="2460" w:type="dxa"/>
            <w:vAlign w:val="bottom"/>
            <w:tcBorders>
              <w:top w:val="single" w:sz="8" w:color="231F20"/>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231F20"/>
              </w:rPr>
              <w:t>Other*</w:t>
            </w:r>
          </w:p>
        </w:tc>
      </w:tr>
      <w:tr>
        <w:trPr>
          <w:trHeight w:val="240"/>
        </w:trPr>
        <w:tc>
          <w:tcPr>
            <w:tcW w:w="3260" w:type="dxa"/>
            <w:vAlign w:val="bottom"/>
            <w:tcBorders>
              <w:left w:val="single" w:sz="8" w:color="231F20"/>
              <w:right w:val="single" w:sz="8" w:color="231F20"/>
            </w:tcBorders>
          </w:tcPr>
          <w:p>
            <w:pPr>
              <w:spacing w:after="0"/>
              <w:rPr>
                <w:sz w:val="20"/>
                <w:szCs w:val="20"/>
                <w:color w:val="auto"/>
              </w:rPr>
            </w:pPr>
          </w:p>
        </w:tc>
        <w:tc>
          <w:tcPr>
            <w:tcW w:w="170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Rate Per RSF</w:t>
            </w:r>
          </w:p>
        </w:tc>
        <w:tc>
          <w:tcPr>
            <w:tcW w:w="1940" w:type="dxa"/>
            <w:vAlign w:val="bottom"/>
            <w:tcBorders>
              <w:right w:val="single" w:sz="8" w:color="231F20"/>
            </w:tcBorders>
          </w:tcPr>
          <w:p>
            <w:pPr>
              <w:spacing w:after="0"/>
              <w:rPr>
                <w:sz w:val="20"/>
                <w:szCs w:val="20"/>
                <w:color w:val="auto"/>
              </w:rPr>
            </w:pPr>
          </w:p>
        </w:tc>
        <w:tc>
          <w:tcPr>
            <w:tcW w:w="1920" w:type="dxa"/>
            <w:vAlign w:val="bottom"/>
            <w:tcBorders>
              <w:right w:val="single" w:sz="8" w:color="231F20"/>
            </w:tcBorders>
          </w:tcPr>
          <w:p>
            <w:pPr>
              <w:spacing w:after="0"/>
              <w:rPr>
                <w:sz w:val="20"/>
                <w:szCs w:val="20"/>
                <w:color w:val="auto"/>
              </w:rPr>
            </w:pPr>
          </w:p>
        </w:tc>
        <w:tc>
          <w:tcPr>
            <w:tcW w:w="2460" w:type="dxa"/>
            <w:vAlign w:val="bottom"/>
            <w:tcBorders>
              <w:right w:val="single" w:sz="8" w:color="231F20"/>
            </w:tcBorders>
          </w:tcPr>
          <w:p>
            <w:pPr>
              <w:spacing w:after="0"/>
              <w:rPr>
                <w:sz w:val="20"/>
                <w:szCs w:val="20"/>
                <w:color w:val="auto"/>
              </w:rPr>
            </w:pPr>
          </w:p>
        </w:tc>
      </w:tr>
      <w:tr>
        <w:trPr>
          <w:trHeight w:val="190"/>
        </w:trPr>
        <w:tc>
          <w:tcPr>
            <w:tcW w:w="3260" w:type="dxa"/>
            <w:vAlign w:val="bottom"/>
            <w:tcBorders>
              <w:left w:val="single" w:sz="8" w:color="231F20"/>
              <w:bottom w:val="single" w:sz="8" w:color="231F20"/>
              <w:right w:val="single" w:sz="8" w:color="231F20"/>
            </w:tcBorders>
          </w:tcPr>
          <w:p>
            <w:pPr>
              <w:spacing w:after="0"/>
              <w:rPr>
                <w:sz w:val="16"/>
                <w:szCs w:val="16"/>
                <w:color w:val="auto"/>
              </w:rPr>
            </w:pPr>
          </w:p>
        </w:tc>
        <w:tc>
          <w:tcPr>
            <w:tcW w:w="1700" w:type="dxa"/>
            <w:vAlign w:val="bottom"/>
            <w:tcBorders>
              <w:bottom w:val="single" w:sz="8" w:color="231F20"/>
              <w:right w:val="single" w:sz="8" w:color="231F20"/>
            </w:tcBorders>
          </w:tcPr>
          <w:p>
            <w:pPr>
              <w:spacing w:after="0"/>
              <w:rPr>
                <w:sz w:val="16"/>
                <w:szCs w:val="16"/>
                <w:color w:val="auto"/>
              </w:rPr>
            </w:pPr>
          </w:p>
        </w:tc>
        <w:tc>
          <w:tcPr>
            <w:tcW w:w="1940" w:type="dxa"/>
            <w:vAlign w:val="bottom"/>
            <w:tcBorders>
              <w:bottom w:val="single" w:sz="8" w:color="231F20"/>
              <w:right w:val="single" w:sz="8" w:color="231F20"/>
            </w:tcBorders>
          </w:tcPr>
          <w:p>
            <w:pPr>
              <w:spacing w:after="0"/>
              <w:rPr>
                <w:sz w:val="16"/>
                <w:szCs w:val="16"/>
                <w:color w:val="auto"/>
              </w:rPr>
            </w:pPr>
          </w:p>
        </w:tc>
        <w:tc>
          <w:tcPr>
            <w:tcW w:w="1920" w:type="dxa"/>
            <w:vAlign w:val="bottom"/>
            <w:tcBorders>
              <w:bottom w:val="single" w:sz="8" w:color="231F20"/>
              <w:right w:val="single" w:sz="8" w:color="231F20"/>
            </w:tcBorders>
          </w:tcPr>
          <w:p>
            <w:pPr>
              <w:spacing w:after="0"/>
              <w:rPr>
                <w:sz w:val="16"/>
                <w:szCs w:val="16"/>
                <w:color w:val="auto"/>
              </w:rPr>
            </w:pPr>
          </w:p>
        </w:tc>
        <w:tc>
          <w:tcPr>
            <w:tcW w:w="2460" w:type="dxa"/>
            <w:vAlign w:val="bottom"/>
            <w:tcBorders>
              <w:bottom w:val="single" w:sz="8" w:color="231F20"/>
              <w:right w:val="single" w:sz="8" w:color="231F20"/>
            </w:tcBorders>
          </w:tcPr>
          <w:p>
            <w:pPr>
              <w:spacing w:after="0"/>
              <w:rPr>
                <w:sz w:val="16"/>
                <w:szCs w:val="16"/>
                <w:color w:val="auto"/>
              </w:rPr>
            </w:pPr>
          </w:p>
        </w:tc>
      </w:tr>
      <w:tr>
        <w:trPr>
          <w:trHeight w:val="171"/>
        </w:trPr>
        <w:tc>
          <w:tcPr>
            <w:tcW w:w="3260" w:type="dxa"/>
            <w:vAlign w:val="bottom"/>
            <w:tcBorders>
              <w:left w:val="single" w:sz="8" w:color="231F20"/>
              <w:right w:val="single" w:sz="8" w:color="231F20"/>
            </w:tcBorders>
          </w:tcPr>
          <w:p>
            <w:pPr>
              <w:ind w:left="120"/>
              <w:spacing w:after="0" w:line="171" w:lineRule="exact"/>
              <w:rPr>
                <w:sz w:val="20"/>
                <w:szCs w:val="20"/>
                <w:color w:val="auto"/>
              </w:rPr>
            </w:pPr>
            <w:r>
              <w:rPr>
                <w:rFonts w:ascii="Times New Roman" w:cs="Times New Roman" w:eastAsia="Times New Roman" w:hAnsi="Times New Roman"/>
                <w:sz w:val="18"/>
                <w:szCs w:val="18"/>
                <w:color w:val="231F20"/>
              </w:rPr>
              <w:t>November 1, 2023 –</w:t>
            </w:r>
          </w:p>
        </w:tc>
        <w:tc>
          <w:tcPr>
            <w:tcW w:w="1700" w:type="dxa"/>
            <w:vAlign w:val="bottom"/>
            <w:tcBorders>
              <w:right w:val="single" w:sz="8" w:color="231F20"/>
            </w:tcBorders>
          </w:tcPr>
          <w:p>
            <w:pPr>
              <w:ind w:left="60"/>
              <w:spacing w:after="0" w:line="171" w:lineRule="exact"/>
              <w:rPr>
                <w:sz w:val="20"/>
                <w:szCs w:val="20"/>
                <w:color w:val="auto"/>
              </w:rPr>
            </w:pPr>
            <w:r>
              <w:rPr>
                <w:rFonts w:ascii="Times New Roman" w:cs="Times New Roman" w:eastAsia="Times New Roman" w:hAnsi="Times New Roman"/>
                <w:sz w:val="18"/>
                <w:szCs w:val="18"/>
                <w:color w:val="231F20"/>
              </w:rPr>
              <w:t>$23.75</w:t>
            </w:r>
          </w:p>
        </w:tc>
        <w:tc>
          <w:tcPr>
            <w:tcW w:w="1940" w:type="dxa"/>
            <w:vAlign w:val="bottom"/>
            <w:tcBorders>
              <w:right w:val="single" w:sz="8" w:color="231F20"/>
            </w:tcBorders>
          </w:tcPr>
          <w:p>
            <w:pPr>
              <w:ind w:left="100"/>
              <w:spacing w:after="0" w:line="171" w:lineRule="exact"/>
              <w:rPr>
                <w:sz w:val="20"/>
                <w:szCs w:val="20"/>
                <w:color w:val="auto"/>
              </w:rPr>
            </w:pPr>
            <w:r>
              <w:rPr>
                <w:rFonts w:ascii="Times New Roman" w:cs="Times New Roman" w:eastAsia="Times New Roman" w:hAnsi="Times New Roman"/>
                <w:sz w:val="18"/>
                <w:szCs w:val="18"/>
                <w:color w:val="231F20"/>
              </w:rPr>
              <w:t>$734,183.75</w:t>
            </w:r>
          </w:p>
        </w:tc>
        <w:tc>
          <w:tcPr>
            <w:tcW w:w="1920" w:type="dxa"/>
            <w:vAlign w:val="bottom"/>
            <w:tcBorders>
              <w:right w:val="single" w:sz="8" w:color="231F20"/>
            </w:tcBorders>
          </w:tcPr>
          <w:p>
            <w:pPr>
              <w:ind w:left="80"/>
              <w:spacing w:after="0" w:line="171" w:lineRule="exact"/>
              <w:rPr>
                <w:sz w:val="20"/>
                <w:szCs w:val="20"/>
                <w:color w:val="auto"/>
              </w:rPr>
            </w:pPr>
            <w:r>
              <w:rPr>
                <w:rFonts w:ascii="Times New Roman" w:cs="Times New Roman" w:eastAsia="Times New Roman" w:hAnsi="Times New Roman"/>
                <w:sz w:val="18"/>
                <w:szCs w:val="18"/>
                <w:color w:val="231F20"/>
              </w:rPr>
              <w:t>$61,181.98</w:t>
            </w:r>
          </w:p>
        </w:tc>
        <w:tc>
          <w:tcPr>
            <w:tcW w:w="2460" w:type="dxa"/>
            <w:vAlign w:val="bottom"/>
            <w:tcBorders>
              <w:right w:val="single" w:sz="8" w:color="231F20"/>
            </w:tcBorders>
          </w:tcPr>
          <w:p>
            <w:pPr>
              <w:ind w:left="80"/>
              <w:spacing w:after="0" w:line="171" w:lineRule="exact"/>
              <w:rPr>
                <w:sz w:val="20"/>
                <w:szCs w:val="20"/>
                <w:color w:val="auto"/>
              </w:rPr>
            </w:pPr>
            <w:r>
              <w:rPr>
                <w:rFonts w:ascii="Times New Roman" w:cs="Times New Roman" w:eastAsia="Times New Roman" w:hAnsi="Times New Roman"/>
                <w:sz w:val="18"/>
                <w:szCs w:val="18"/>
                <w:color w:val="231F20"/>
              </w:rPr>
              <w:t>+ electricity/NNN</w:t>
            </w:r>
          </w:p>
        </w:tc>
      </w:tr>
      <w:tr>
        <w:trPr>
          <w:trHeight w:val="241"/>
        </w:trPr>
        <w:tc>
          <w:tcPr>
            <w:tcW w:w="3260" w:type="dxa"/>
            <w:vAlign w:val="bottom"/>
            <w:tcBorders>
              <w:left w:val="single" w:sz="8" w:color="231F20"/>
              <w:bottom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231F20"/>
              </w:rPr>
              <w:t>January 31, 2024</w:t>
            </w:r>
          </w:p>
        </w:tc>
        <w:tc>
          <w:tcPr>
            <w:tcW w:w="1700" w:type="dxa"/>
            <w:vAlign w:val="bottom"/>
            <w:tcBorders>
              <w:bottom w:val="single" w:sz="8" w:color="231F20"/>
              <w:right w:val="single" w:sz="8" w:color="231F20"/>
            </w:tcBorders>
          </w:tcPr>
          <w:p>
            <w:pPr>
              <w:spacing w:after="0"/>
              <w:rPr>
                <w:sz w:val="20"/>
                <w:szCs w:val="20"/>
                <w:color w:val="auto"/>
              </w:rPr>
            </w:pPr>
          </w:p>
        </w:tc>
        <w:tc>
          <w:tcPr>
            <w:tcW w:w="1940" w:type="dxa"/>
            <w:vAlign w:val="bottom"/>
            <w:tcBorders>
              <w:bottom w:val="single" w:sz="8" w:color="231F20"/>
              <w:right w:val="single" w:sz="8" w:color="231F20"/>
            </w:tcBorders>
          </w:tcPr>
          <w:p>
            <w:pPr>
              <w:spacing w:after="0"/>
              <w:rPr>
                <w:sz w:val="20"/>
                <w:szCs w:val="20"/>
                <w:color w:val="auto"/>
              </w:rPr>
            </w:pPr>
          </w:p>
        </w:tc>
        <w:tc>
          <w:tcPr>
            <w:tcW w:w="1920" w:type="dxa"/>
            <w:vAlign w:val="bottom"/>
            <w:tcBorders>
              <w:bottom w:val="single" w:sz="8" w:color="231F20"/>
              <w:right w:val="single" w:sz="8" w:color="231F20"/>
            </w:tcBorders>
          </w:tcPr>
          <w:p>
            <w:pPr>
              <w:spacing w:after="0"/>
              <w:rPr>
                <w:sz w:val="20"/>
                <w:szCs w:val="20"/>
                <w:color w:val="auto"/>
              </w:rPr>
            </w:pPr>
          </w:p>
        </w:tc>
        <w:tc>
          <w:tcPr>
            <w:tcW w:w="2460" w:type="dxa"/>
            <w:vAlign w:val="bottom"/>
            <w:tcBorders>
              <w:bottom w:val="single" w:sz="8" w:color="231F20"/>
              <w:right w:val="single" w:sz="8" w:color="231F20"/>
            </w:tcBorders>
          </w:tcPr>
          <w:p>
            <w:pPr>
              <w:spacing w:after="0"/>
              <w:rPr>
                <w:sz w:val="20"/>
                <w:szCs w:val="20"/>
                <w:color w:val="auto"/>
              </w:rPr>
            </w:pPr>
          </w:p>
        </w:tc>
      </w:tr>
      <w:tr>
        <w:trPr>
          <w:trHeight w:val="188"/>
        </w:trPr>
        <w:tc>
          <w:tcPr>
            <w:tcW w:w="3260" w:type="dxa"/>
            <w:vAlign w:val="bottom"/>
            <w:tcBorders>
              <w:left w:val="single" w:sz="8" w:color="231F20"/>
              <w:right w:val="single" w:sz="8" w:color="231F20"/>
            </w:tcBorders>
          </w:tcPr>
          <w:p>
            <w:pPr>
              <w:ind w:left="120"/>
              <w:spacing w:after="0" w:line="188" w:lineRule="exact"/>
              <w:rPr>
                <w:sz w:val="20"/>
                <w:szCs w:val="20"/>
                <w:color w:val="auto"/>
              </w:rPr>
            </w:pPr>
            <w:r>
              <w:rPr>
                <w:rFonts w:ascii="Times New Roman" w:cs="Times New Roman" w:eastAsia="Times New Roman" w:hAnsi="Times New Roman"/>
                <w:sz w:val="18"/>
                <w:szCs w:val="18"/>
                <w:color w:val="231F20"/>
              </w:rPr>
              <w:t>February 1, 2024 –</w:t>
            </w:r>
          </w:p>
        </w:tc>
        <w:tc>
          <w:tcPr>
            <w:tcW w:w="1700" w:type="dxa"/>
            <w:vAlign w:val="bottom"/>
            <w:tcBorders>
              <w:right w:val="single" w:sz="8" w:color="231F20"/>
            </w:tcBorders>
          </w:tcPr>
          <w:p>
            <w:pPr>
              <w:ind w:left="60"/>
              <w:spacing w:after="0" w:line="188" w:lineRule="exact"/>
              <w:rPr>
                <w:sz w:val="20"/>
                <w:szCs w:val="20"/>
                <w:color w:val="auto"/>
              </w:rPr>
            </w:pPr>
            <w:r>
              <w:rPr>
                <w:rFonts w:ascii="Times New Roman" w:cs="Times New Roman" w:eastAsia="Times New Roman" w:hAnsi="Times New Roman"/>
                <w:sz w:val="18"/>
                <w:szCs w:val="18"/>
                <w:color w:val="231F20"/>
              </w:rPr>
              <w:t>$24.50</w:t>
            </w:r>
          </w:p>
        </w:tc>
        <w:tc>
          <w:tcPr>
            <w:tcW w:w="1940" w:type="dxa"/>
            <w:vAlign w:val="bottom"/>
            <w:tcBorders>
              <w:right w:val="single" w:sz="8" w:color="231F20"/>
            </w:tcBorders>
          </w:tcPr>
          <w:p>
            <w:pPr>
              <w:ind w:left="100"/>
              <w:spacing w:after="0" w:line="188" w:lineRule="exact"/>
              <w:rPr>
                <w:sz w:val="20"/>
                <w:szCs w:val="20"/>
                <w:color w:val="auto"/>
              </w:rPr>
            </w:pPr>
            <w:r>
              <w:rPr>
                <w:rFonts w:ascii="Times New Roman" w:cs="Times New Roman" w:eastAsia="Times New Roman" w:hAnsi="Times New Roman"/>
                <w:sz w:val="18"/>
                <w:szCs w:val="18"/>
                <w:color w:val="231F20"/>
              </w:rPr>
              <w:t>$757,368.50</w:t>
            </w:r>
          </w:p>
        </w:tc>
        <w:tc>
          <w:tcPr>
            <w:tcW w:w="1920" w:type="dxa"/>
            <w:vAlign w:val="bottom"/>
            <w:tcBorders>
              <w:right w:val="single" w:sz="8" w:color="231F20"/>
            </w:tcBorders>
          </w:tcPr>
          <w:p>
            <w:pPr>
              <w:ind w:left="80"/>
              <w:spacing w:after="0" w:line="188" w:lineRule="exact"/>
              <w:rPr>
                <w:sz w:val="20"/>
                <w:szCs w:val="20"/>
                <w:color w:val="auto"/>
              </w:rPr>
            </w:pPr>
            <w:r>
              <w:rPr>
                <w:rFonts w:ascii="Times New Roman" w:cs="Times New Roman" w:eastAsia="Times New Roman" w:hAnsi="Times New Roman"/>
                <w:sz w:val="18"/>
                <w:szCs w:val="18"/>
                <w:color w:val="231F20"/>
              </w:rPr>
              <w:t>$63,114.04</w:t>
            </w:r>
          </w:p>
        </w:tc>
        <w:tc>
          <w:tcPr>
            <w:tcW w:w="2460" w:type="dxa"/>
            <w:vAlign w:val="bottom"/>
            <w:tcBorders>
              <w:right w:val="single" w:sz="8" w:color="231F20"/>
            </w:tcBorders>
          </w:tcPr>
          <w:p>
            <w:pPr>
              <w:ind w:left="80"/>
              <w:spacing w:after="0" w:line="188" w:lineRule="exact"/>
              <w:rPr>
                <w:sz w:val="20"/>
                <w:szCs w:val="20"/>
                <w:color w:val="auto"/>
              </w:rPr>
            </w:pPr>
            <w:r>
              <w:rPr>
                <w:rFonts w:ascii="Times New Roman" w:cs="Times New Roman" w:eastAsia="Times New Roman" w:hAnsi="Times New Roman"/>
                <w:sz w:val="18"/>
                <w:szCs w:val="18"/>
                <w:color w:val="231F20"/>
              </w:rPr>
              <w:t>+ electricity/NNN</w:t>
            </w:r>
          </w:p>
        </w:tc>
      </w:tr>
      <w:tr>
        <w:trPr>
          <w:trHeight w:val="241"/>
        </w:trPr>
        <w:tc>
          <w:tcPr>
            <w:tcW w:w="3260" w:type="dxa"/>
            <w:vAlign w:val="bottom"/>
            <w:tcBorders>
              <w:left w:val="single" w:sz="8" w:color="231F20"/>
              <w:bottom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231F20"/>
              </w:rPr>
              <w:t>January 31, 2025</w:t>
            </w:r>
          </w:p>
        </w:tc>
        <w:tc>
          <w:tcPr>
            <w:tcW w:w="1700" w:type="dxa"/>
            <w:vAlign w:val="bottom"/>
            <w:tcBorders>
              <w:bottom w:val="single" w:sz="8" w:color="231F20"/>
              <w:right w:val="single" w:sz="8" w:color="231F20"/>
            </w:tcBorders>
          </w:tcPr>
          <w:p>
            <w:pPr>
              <w:spacing w:after="0"/>
              <w:rPr>
                <w:sz w:val="20"/>
                <w:szCs w:val="20"/>
                <w:color w:val="auto"/>
              </w:rPr>
            </w:pPr>
          </w:p>
        </w:tc>
        <w:tc>
          <w:tcPr>
            <w:tcW w:w="1940" w:type="dxa"/>
            <w:vAlign w:val="bottom"/>
            <w:tcBorders>
              <w:bottom w:val="single" w:sz="8" w:color="231F20"/>
              <w:right w:val="single" w:sz="8" w:color="231F20"/>
            </w:tcBorders>
          </w:tcPr>
          <w:p>
            <w:pPr>
              <w:spacing w:after="0"/>
              <w:rPr>
                <w:sz w:val="20"/>
                <w:szCs w:val="20"/>
                <w:color w:val="auto"/>
              </w:rPr>
            </w:pPr>
          </w:p>
        </w:tc>
        <w:tc>
          <w:tcPr>
            <w:tcW w:w="1920" w:type="dxa"/>
            <w:vAlign w:val="bottom"/>
            <w:tcBorders>
              <w:bottom w:val="single" w:sz="8" w:color="231F20"/>
              <w:right w:val="single" w:sz="8" w:color="231F20"/>
            </w:tcBorders>
          </w:tcPr>
          <w:p>
            <w:pPr>
              <w:spacing w:after="0"/>
              <w:rPr>
                <w:sz w:val="20"/>
                <w:szCs w:val="20"/>
                <w:color w:val="auto"/>
              </w:rPr>
            </w:pPr>
          </w:p>
        </w:tc>
        <w:tc>
          <w:tcPr>
            <w:tcW w:w="2460" w:type="dxa"/>
            <w:vAlign w:val="bottom"/>
            <w:tcBorders>
              <w:bottom w:val="single" w:sz="8" w:color="231F20"/>
              <w:right w:val="single" w:sz="8" w:color="231F20"/>
            </w:tcBorders>
          </w:tcPr>
          <w:p>
            <w:pPr>
              <w:spacing w:after="0"/>
              <w:rPr>
                <w:sz w:val="20"/>
                <w:szCs w:val="20"/>
                <w:color w:val="auto"/>
              </w:rPr>
            </w:pPr>
          </w:p>
        </w:tc>
      </w:tr>
      <w:tr>
        <w:trPr>
          <w:trHeight w:val="188"/>
        </w:trPr>
        <w:tc>
          <w:tcPr>
            <w:tcW w:w="3260" w:type="dxa"/>
            <w:vAlign w:val="bottom"/>
            <w:tcBorders>
              <w:left w:val="single" w:sz="8" w:color="231F20"/>
              <w:right w:val="single" w:sz="8" w:color="231F20"/>
            </w:tcBorders>
          </w:tcPr>
          <w:p>
            <w:pPr>
              <w:ind w:left="120"/>
              <w:spacing w:after="0" w:line="188" w:lineRule="exact"/>
              <w:rPr>
                <w:sz w:val="20"/>
                <w:szCs w:val="20"/>
                <w:color w:val="auto"/>
              </w:rPr>
            </w:pPr>
            <w:r>
              <w:rPr>
                <w:rFonts w:ascii="Times New Roman" w:cs="Times New Roman" w:eastAsia="Times New Roman" w:hAnsi="Times New Roman"/>
                <w:sz w:val="18"/>
                <w:szCs w:val="18"/>
                <w:color w:val="231F20"/>
              </w:rPr>
              <w:t>February 1, 2025 –</w:t>
            </w:r>
          </w:p>
        </w:tc>
        <w:tc>
          <w:tcPr>
            <w:tcW w:w="1700" w:type="dxa"/>
            <w:vAlign w:val="bottom"/>
            <w:tcBorders>
              <w:right w:val="single" w:sz="8" w:color="231F20"/>
            </w:tcBorders>
          </w:tcPr>
          <w:p>
            <w:pPr>
              <w:ind w:left="60"/>
              <w:spacing w:after="0" w:line="188" w:lineRule="exact"/>
              <w:rPr>
                <w:sz w:val="20"/>
                <w:szCs w:val="20"/>
                <w:color w:val="auto"/>
              </w:rPr>
            </w:pPr>
            <w:r>
              <w:rPr>
                <w:rFonts w:ascii="Times New Roman" w:cs="Times New Roman" w:eastAsia="Times New Roman" w:hAnsi="Times New Roman"/>
                <w:sz w:val="18"/>
                <w:szCs w:val="18"/>
                <w:color w:val="231F20"/>
              </w:rPr>
              <w:t>$25.25</w:t>
            </w:r>
          </w:p>
        </w:tc>
        <w:tc>
          <w:tcPr>
            <w:tcW w:w="1940" w:type="dxa"/>
            <w:vAlign w:val="bottom"/>
            <w:tcBorders>
              <w:right w:val="single" w:sz="8" w:color="231F20"/>
            </w:tcBorders>
          </w:tcPr>
          <w:p>
            <w:pPr>
              <w:ind w:left="100"/>
              <w:spacing w:after="0" w:line="188" w:lineRule="exact"/>
              <w:rPr>
                <w:sz w:val="20"/>
                <w:szCs w:val="20"/>
                <w:color w:val="auto"/>
              </w:rPr>
            </w:pPr>
            <w:r>
              <w:rPr>
                <w:rFonts w:ascii="Times New Roman" w:cs="Times New Roman" w:eastAsia="Times New Roman" w:hAnsi="Times New Roman"/>
                <w:sz w:val="18"/>
                <w:szCs w:val="18"/>
                <w:color w:val="231F20"/>
              </w:rPr>
              <w:t>$780,553.25</w:t>
            </w:r>
          </w:p>
        </w:tc>
        <w:tc>
          <w:tcPr>
            <w:tcW w:w="1920" w:type="dxa"/>
            <w:vAlign w:val="bottom"/>
            <w:tcBorders>
              <w:right w:val="single" w:sz="8" w:color="231F20"/>
            </w:tcBorders>
          </w:tcPr>
          <w:p>
            <w:pPr>
              <w:ind w:left="80"/>
              <w:spacing w:after="0" w:line="188" w:lineRule="exact"/>
              <w:rPr>
                <w:sz w:val="20"/>
                <w:szCs w:val="20"/>
                <w:color w:val="auto"/>
              </w:rPr>
            </w:pPr>
            <w:r>
              <w:rPr>
                <w:rFonts w:ascii="Times New Roman" w:cs="Times New Roman" w:eastAsia="Times New Roman" w:hAnsi="Times New Roman"/>
                <w:sz w:val="18"/>
                <w:szCs w:val="18"/>
                <w:color w:val="231F20"/>
              </w:rPr>
              <w:t>$65,046.10</w:t>
            </w:r>
          </w:p>
        </w:tc>
        <w:tc>
          <w:tcPr>
            <w:tcW w:w="2460" w:type="dxa"/>
            <w:vAlign w:val="bottom"/>
            <w:tcBorders>
              <w:right w:val="single" w:sz="8" w:color="231F20"/>
            </w:tcBorders>
          </w:tcPr>
          <w:p>
            <w:pPr>
              <w:ind w:left="80"/>
              <w:spacing w:after="0" w:line="188" w:lineRule="exact"/>
              <w:rPr>
                <w:sz w:val="20"/>
                <w:szCs w:val="20"/>
                <w:color w:val="auto"/>
              </w:rPr>
            </w:pPr>
            <w:r>
              <w:rPr>
                <w:rFonts w:ascii="Times New Roman" w:cs="Times New Roman" w:eastAsia="Times New Roman" w:hAnsi="Times New Roman"/>
                <w:sz w:val="18"/>
                <w:szCs w:val="18"/>
                <w:color w:val="231F20"/>
              </w:rPr>
              <w:t>+ electricity/NNN</w:t>
            </w:r>
          </w:p>
        </w:tc>
      </w:tr>
      <w:tr>
        <w:trPr>
          <w:trHeight w:val="241"/>
        </w:trPr>
        <w:tc>
          <w:tcPr>
            <w:tcW w:w="3260" w:type="dxa"/>
            <w:vAlign w:val="bottom"/>
            <w:tcBorders>
              <w:left w:val="single" w:sz="8" w:color="231F20"/>
              <w:bottom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231F20"/>
              </w:rPr>
              <w:t>January 31, 2026</w:t>
            </w:r>
          </w:p>
        </w:tc>
        <w:tc>
          <w:tcPr>
            <w:tcW w:w="1700" w:type="dxa"/>
            <w:vAlign w:val="bottom"/>
            <w:tcBorders>
              <w:bottom w:val="single" w:sz="8" w:color="231F20"/>
              <w:right w:val="single" w:sz="8" w:color="231F20"/>
            </w:tcBorders>
          </w:tcPr>
          <w:p>
            <w:pPr>
              <w:spacing w:after="0"/>
              <w:rPr>
                <w:sz w:val="20"/>
                <w:szCs w:val="20"/>
                <w:color w:val="auto"/>
              </w:rPr>
            </w:pPr>
          </w:p>
        </w:tc>
        <w:tc>
          <w:tcPr>
            <w:tcW w:w="1940" w:type="dxa"/>
            <w:vAlign w:val="bottom"/>
            <w:tcBorders>
              <w:bottom w:val="single" w:sz="8" w:color="231F20"/>
              <w:right w:val="single" w:sz="8" w:color="231F20"/>
            </w:tcBorders>
          </w:tcPr>
          <w:p>
            <w:pPr>
              <w:spacing w:after="0"/>
              <w:rPr>
                <w:sz w:val="20"/>
                <w:szCs w:val="20"/>
                <w:color w:val="auto"/>
              </w:rPr>
            </w:pPr>
          </w:p>
        </w:tc>
        <w:tc>
          <w:tcPr>
            <w:tcW w:w="1920" w:type="dxa"/>
            <w:vAlign w:val="bottom"/>
            <w:tcBorders>
              <w:bottom w:val="single" w:sz="8" w:color="231F20"/>
              <w:right w:val="single" w:sz="8" w:color="231F20"/>
            </w:tcBorders>
          </w:tcPr>
          <w:p>
            <w:pPr>
              <w:spacing w:after="0"/>
              <w:rPr>
                <w:sz w:val="20"/>
                <w:szCs w:val="20"/>
                <w:color w:val="auto"/>
              </w:rPr>
            </w:pPr>
          </w:p>
        </w:tc>
        <w:tc>
          <w:tcPr>
            <w:tcW w:w="2460" w:type="dxa"/>
            <w:vAlign w:val="bottom"/>
            <w:tcBorders>
              <w:bottom w:val="single" w:sz="8" w:color="231F20"/>
              <w:right w:val="single" w:sz="8" w:color="231F20"/>
            </w:tcBorders>
          </w:tcPr>
          <w:p>
            <w:pPr>
              <w:spacing w:after="0"/>
              <w:rPr>
                <w:sz w:val="20"/>
                <w:szCs w:val="20"/>
                <w:color w:val="auto"/>
              </w:rPr>
            </w:pPr>
          </w:p>
        </w:tc>
      </w:tr>
      <w:tr>
        <w:trPr>
          <w:trHeight w:val="188"/>
        </w:trPr>
        <w:tc>
          <w:tcPr>
            <w:tcW w:w="3260" w:type="dxa"/>
            <w:vAlign w:val="bottom"/>
            <w:tcBorders>
              <w:left w:val="single" w:sz="8" w:color="231F20"/>
              <w:right w:val="single" w:sz="8" w:color="231F20"/>
            </w:tcBorders>
          </w:tcPr>
          <w:p>
            <w:pPr>
              <w:ind w:left="120"/>
              <w:spacing w:after="0" w:line="188" w:lineRule="exact"/>
              <w:rPr>
                <w:sz w:val="20"/>
                <w:szCs w:val="20"/>
                <w:color w:val="auto"/>
              </w:rPr>
            </w:pPr>
            <w:r>
              <w:rPr>
                <w:rFonts w:ascii="Times New Roman" w:cs="Times New Roman" w:eastAsia="Times New Roman" w:hAnsi="Times New Roman"/>
                <w:sz w:val="18"/>
                <w:szCs w:val="18"/>
                <w:color w:val="231F20"/>
              </w:rPr>
              <w:t>February 1, 2026 –</w:t>
            </w:r>
          </w:p>
        </w:tc>
        <w:tc>
          <w:tcPr>
            <w:tcW w:w="1700" w:type="dxa"/>
            <w:vAlign w:val="bottom"/>
            <w:tcBorders>
              <w:right w:val="single" w:sz="8" w:color="231F20"/>
            </w:tcBorders>
          </w:tcPr>
          <w:p>
            <w:pPr>
              <w:ind w:left="60"/>
              <w:spacing w:after="0" w:line="188" w:lineRule="exact"/>
              <w:rPr>
                <w:sz w:val="20"/>
                <w:szCs w:val="20"/>
                <w:color w:val="auto"/>
              </w:rPr>
            </w:pPr>
            <w:r>
              <w:rPr>
                <w:rFonts w:ascii="Times New Roman" w:cs="Times New Roman" w:eastAsia="Times New Roman" w:hAnsi="Times New Roman"/>
                <w:sz w:val="18"/>
                <w:szCs w:val="18"/>
                <w:color w:val="231F20"/>
              </w:rPr>
              <w:t>$26.00</w:t>
            </w:r>
          </w:p>
        </w:tc>
        <w:tc>
          <w:tcPr>
            <w:tcW w:w="1940" w:type="dxa"/>
            <w:vAlign w:val="bottom"/>
            <w:tcBorders>
              <w:right w:val="single" w:sz="8" w:color="231F20"/>
            </w:tcBorders>
          </w:tcPr>
          <w:p>
            <w:pPr>
              <w:ind w:left="100"/>
              <w:spacing w:after="0" w:line="188" w:lineRule="exact"/>
              <w:rPr>
                <w:sz w:val="20"/>
                <w:szCs w:val="20"/>
                <w:color w:val="auto"/>
              </w:rPr>
            </w:pPr>
            <w:r>
              <w:rPr>
                <w:rFonts w:ascii="Times New Roman" w:cs="Times New Roman" w:eastAsia="Times New Roman" w:hAnsi="Times New Roman"/>
                <w:sz w:val="18"/>
                <w:szCs w:val="18"/>
                <w:color w:val="231F20"/>
              </w:rPr>
              <w:t>$803,738.00</w:t>
            </w:r>
          </w:p>
        </w:tc>
        <w:tc>
          <w:tcPr>
            <w:tcW w:w="1920" w:type="dxa"/>
            <w:vAlign w:val="bottom"/>
            <w:tcBorders>
              <w:right w:val="single" w:sz="8" w:color="231F20"/>
            </w:tcBorders>
          </w:tcPr>
          <w:p>
            <w:pPr>
              <w:ind w:left="80"/>
              <w:spacing w:after="0" w:line="188" w:lineRule="exact"/>
              <w:rPr>
                <w:sz w:val="20"/>
                <w:szCs w:val="20"/>
                <w:color w:val="auto"/>
              </w:rPr>
            </w:pPr>
            <w:r>
              <w:rPr>
                <w:rFonts w:ascii="Times New Roman" w:cs="Times New Roman" w:eastAsia="Times New Roman" w:hAnsi="Times New Roman"/>
                <w:sz w:val="18"/>
                <w:szCs w:val="18"/>
                <w:color w:val="231F20"/>
              </w:rPr>
              <w:t>$66,978.17</w:t>
            </w:r>
          </w:p>
        </w:tc>
        <w:tc>
          <w:tcPr>
            <w:tcW w:w="2460" w:type="dxa"/>
            <w:vAlign w:val="bottom"/>
            <w:tcBorders>
              <w:right w:val="single" w:sz="8" w:color="231F20"/>
            </w:tcBorders>
          </w:tcPr>
          <w:p>
            <w:pPr>
              <w:ind w:left="80"/>
              <w:spacing w:after="0" w:line="188" w:lineRule="exact"/>
              <w:rPr>
                <w:sz w:val="20"/>
                <w:szCs w:val="20"/>
                <w:color w:val="auto"/>
              </w:rPr>
            </w:pPr>
            <w:r>
              <w:rPr>
                <w:rFonts w:ascii="Times New Roman" w:cs="Times New Roman" w:eastAsia="Times New Roman" w:hAnsi="Times New Roman"/>
                <w:sz w:val="18"/>
                <w:szCs w:val="18"/>
                <w:color w:val="231F20"/>
              </w:rPr>
              <w:t>+ electricity/NNN</w:t>
            </w:r>
          </w:p>
        </w:tc>
      </w:tr>
      <w:tr>
        <w:trPr>
          <w:trHeight w:val="241"/>
        </w:trPr>
        <w:tc>
          <w:tcPr>
            <w:tcW w:w="3260" w:type="dxa"/>
            <w:vAlign w:val="bottom"/>
            <w:tcBorders>
              <w:left w:val="single" w:sz="8" w:color="231F20"/>
              <w:bottom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231F20"/>
              </w:rPr>
              <w:t>January 31, 2027</w:t>
            </w:r>
          </w:p>
        </w:tc>
        <w:tc>
          <w:tcPr>
            <w:tcW w:w="1700" w:type="dxa"/>
            <w:vAlign w:val="bottom"/>
            <w:tcBorders>
              <w:bottom w:val="single" w:sz="8" w:color="231F20"/>
              <w:right w:val="single" w:sz="8" w:color="231F20"/>
            </w:tcBorders>
          </w:tcPr>
          <w:p>
            <w:pPr>
              <w:spacing w:after="0"/>
              <w:rPr>
                <w:sz w:val="20"/>
                <w:szCs w:val="20"/>
                <w:color w:val="auto"/>
              </w:rPr>
            </w:pPr>
          </w:p>
        </w:tc>
        <w:tc>
          <w:tcPr>
            <w:tcW w:w="1940" w:type="dxa"/>
            <w:vAlign w:val="bottom"/>
            <w:tcBorders>
              <w:bottom w:val="single" w:sz="8" w:color="231F20"/>
              <w:right w:val="single" w:sz="8" w:color="231F20"/>
            </w:tcBorders>
          </w:tcPr>
          <w:p>
            <w:pPr>
              <w:spacing w:after="0"/>
              <w:rPr>
                <w:sz w:val="20"/>
                <w:szCs w:val="20"/>
                <w:color w:val="auto"/>
              </w:rPr>
            </w:pPr>
          </w:p>
        </w:tc>
        <w:tc>
          <w:tcPr>
            <w:tcW w:w="1920" w:type="dxa"/>
            <w:vAlign w:val="bottom"/>
            <w:tcBorders>
              <w:bottom w:val="single" w:sz="8" w:color="231F20"/>
              <w:right w:val="single" w:sz="8" w:color="231F20"/>
            </w:tcBorders>
          </w:tcPr>
          <w:p>
            <w:pPr>
              <w:spacing w:after="0"/>
              <w:rPr>
                <w:sz w:val="20"/>
                <w:szCs w:val="20"/>
                <w:color w:val="auto"/>
              </w:rPr>
            </w:pPr>
          </w:p>
        </w:tc>
        <w:tc>
          <w:tcPr>
            <w:tcW w:w="2460" w:type="dxa"/>
            <w:vAlign w:val="bottom"/>
            <w:tcBorders>
              <w:bottom w:val="single" w:sz="8" w:color="231F20"/>
              <w:right w:val="single" w:sz="8" w:color="231F20"/>
            </w:tcBorders>
          </w:tcPr>
          <w:p>
            <w:pPr>
              <w:spacing w:after="0"/>
              <w:rPr>
                <w:sz w:val="20"/>
                <w:szCs w:val="20"/>
                <w:color w:val="auto"/>
              </w:rPr>
            </w:pPr>
          </w:p>
        </w:tc>
      </w:tr>
      <w:tr>
        <w:trPr>
          <w:trHeight w:val="188"/>
        </w:trPr>
        <w:tc>
          <w:tcPr>
            <w:tcW w:w="3260" w:type="dxa"/>
            <w:vAlign w:val="bottom"/>
            <w:tcBorders>
              <w:left w:val="single" w:sz="8" w:color="231F20"/>
              <w:right w:val="single" w:sz="8" w:color="231F20"/>
            </w:tcBorders>
          </w:tcPr>
          <w:p>
            <w:pPr>
              <w:ind w:left="120"/>
              <w:spacing w:after="0" w:line="188" w:lineRule="exact"/>
              <w:rPr>
                <w:sz w:val="20"/>
                <w:szCs w:val="20"/>
                <w:color w:val="auto"/>
              </w:rPr>
            </w:pPr>
            <w:r>
              <w:rPr>
                <w:rFonts w:ascii="Times New Roman" w:cs="Times New Roman" w:eastAsia="Times New Roman" w:hAnsi="Times New Roman"/>
                <w:sz w:val="18"/>
                <w:szCs w:val="18"/>
                <w:color w:val="231F20"/>
              </w:rPr>
              <w:t>February 1, 2027 –</w:t>
            </w:r>
          </w:p>
        </w:tc>
        <w:tc>
          <w:tcPr>
            <w:tcW w:w="1700" w:type="dxa"/>
            <w:vAlign w:val="bottom"/>
            <w:tcBorders>
              <w:right w:val="single" w:sz="8" w:color="231F20"/>
            </w:tcBorders>
          </w:tcPr>
          <w:p>
            <w:pPr>
              <w:ind w:left="60"/>
              <w:spacing w:after="0" w:line="188" w:lineRule="exact"/>
              <w:rPr>
                <w:sz w:val="20"/>
                <w:szCs w:val="20"/>
                <w:color w:val="auto"/>
              </w:rPr>
            </w:pPr>
            <w:r>
              <w:rPr>
                <w:rFonts w:ascii="Times New Roman" w:cs="Times New Roman" w:eastAsia="Times New Roman" w:hAnsi="Times New Roman"/>
                <w:sz w:val="18"/>
                <w:szCs w:val="18"/>
                <w:color w:val="231F20"/>
              </w:rPr>
              <w:t>$26.75</w:t>
            </w:r>
          </w:p>
        </w:tc>
        <w:tc>
          <w:tcPr>
            <w:tcW w:w="1940" w:type="dxa"/>
            <w:vAlign w:val="bottom"/>
            <w:tcBorders>
              <w:right w:val="single" w:sz="8" w:color="231F20"/>
            </w:tcBorders>
          </w:tcPr>
          <w:p>
            <w:pPr>
              <w:ind w:left="100"/>
              <w:spacing w:after="0" w:line="188" w:lineRule="exact"/>
              <w:rPr>
                <w:sz w:val="20"/>
                <w:szCs w:val="20"/>
                <w:color w:val="auto"/>
              </w:rPr>
            </w:pPr>
            <w:r>
              <w:rPr>
                <w:rFonts w:ascii="Times New Roman" w:cs="Times New Roman" w:eastAsia="Times New Roman" w:hAnsi="Times New Roman"/>
                <w:sz w:val="18"/>
                <w:szCs w:val="18"/>
                <w:color w:val="231F20"/>
              </w:rPr>
              <w:t>$826,922.75</w:t>
            </w:r>
          </w:p>
        </w:tc>
        <w:tc>
          <w:tcPr>
            <w:tcW w:w="1920" w:type="dxa"/>
            <w:vAlign w:val="bottom"/>
            <w:tcBorders>
              <w:right w:val="single" w:sz="8" w:color="231F20"/>
            </w:tcBorders>
          </w:tcPr>
          <w:p>
            <w:pPr>
              <w:ind w:left="80"/>
              <w:spacing w:after="0" w:line="188" w:lineRule="exact"/>
              <w:rPr>
                <w:sz w:val="20"/>
                <w:szCs w:val="20"/>
                <w:color w:val="auto"/>
              </w:rPr>
            </w:pPr>
            <w:r>
              <w:rPr>
                <w:rFonts w:ascii="Times New Roman" w:cs="Times New Roman" w:eastAsia="Times New Roman" w:hAnsi="Times New Roman"/>
                <w:sz w:val="18"/>
                <w:szCs w:val="18"/>
                <w:color w:val="231F20"/>
              </w:rPr>
              <w:t>$68,910.23</w:t>
            </w:r>
          </w:p>
        </w:tc>
        <w:tc>
          <w:tcPr>
            <w:tcW w:w="2460" w:type="dxa"/>
            <w:vAlign w:val="bottom"/>
            <w:tcBorders>
              <w:right w:val="single" w:sz="8" w:color="231F20"/>
            </w:tcBorders>
          </w:tcPr>
          <w:p>
            <w:pPr>
              <w:ind w:left="80"/>
              <w:spacing w:after="0" w:line="188" w:lineRule="exact"/>
              <w:rPr>
                <w:sz w:val="20"/>
                <w:szCs w:val="20"/>
                <w:color w:val="auto"/>
              </w:rPr>
            </w:pPr>
            <w:r>
              <w:rPr>
                <w:rFonts w:ascii="Times New Roman" w:cs="Times New Roman" w:eastAsia="Times New Roman" w:hAnsi="Times New Roman"/>
                <w:sz w:val="18"/>
                <w:szCs w:val="18"/>
                <w:color w:val="231F20"/>
              </w:rPr>
              <w:t>+ electricity/NNN</w:t>
            </w:r>
          </w:p>
        </w:tc>
      </w:tr>
      <w:tr>
        <w:trPr>
          <w:trHeight w:val="241"/>
        </w:trPr>
        <w:tc>
          <w:tcPr>
            <w:tcW w:w="3260" w:type="dxa"/>
            <w:vAlign w:val="bottom"/>
            <w:tcBorders>
              <w:left w:val="single" w:sz="8" w:color="231F20"/>
              <w:bottom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231F20"/>
              </w:rPr>
              <w:t>January 31, 2028</w:t>
            </w:r>
          </w:p>
        </w:tc>
        <w:tc>
          <w:tcPr>
            <w:tcW w:w="1700" w:type="dxa"/>
            <w:vAlign w:val="bottom"/>
            <w:tcBorders>
              <w:bottom w:val="single" w:sz="8" w:color="231F20"/>
              <w:right w:val="single" w:sz="8" w:color="231F20"/>
            </w:tcBorders>
          </w:tcPr>
          <w:p>
            <w:pPr>
              <w:spacing w:after="0"/>
              <w:rPr>
                <w:sz w:val="20"/>
                <w:szCs w:val="20"/>
                <w:color w:val="auto"/>
              </w:rPr>
            </w:pPr>
          </w:p>
        </w:tc>
        <w:tc>
          <w:tcPr>
            <w:tcW w:w="1940" w:type="dxa"/>
            <w:vAlign w:val="bottom"/>
            <w:tcBorders>
              <w:bottom w:val="single" w:sz="8" w:color="231F20"/>
              <w:right w:val="single" w:sz="8" w:color="231F20"/>
            </w:tcBorders>
          </w:tcPr>
          <w:p>
            <w:pPr>
              <w:spacing w:after="0"/>
              <w:rPr>
                <w:sz w:val="20"/>
                <w:szCs w:val="20"/>
                <w:color w:val="auto"/>
              </w:rPr>
            </w:pPr>
          </w:p>
        </w:tc>
        <w:tc>
          <w:tcPr>
            <w:tcW w:w="1920" w:type="dxa"/>
            <w:vAlign w:val="bottom"/>
            <w:tcBorders>
              <w:bottom w:val="single" w:sz="8" w:color="231F20"/>
              <w:right w:val="single" w:sz="8" w:color="231F20"/>
            </w:tcBorders>
          </w:tcPr>
          <w:p>
            <w:pPr>
              <w:spacing w:after="0"/>
              <w:rPr>
                <w:sz w:val="20"/>
                <w:szCs w:val="20"/>
                <w:color w:val="auto"/>
              </w:rPr>
            </w:pPr>
          </w:p>
        </w:tc>
        <w:tc>
          <w:tcPr>
            <w:tcW w:w="2460" w:type="dxa"/>
            <w:vAlign w:val="bottom"/>
            <w:tcBorders>
              <w:bottom w:val="single" w:sz="8" w:color="231F20"/>
              <w:right w:val="single" w:sz="8" w:color="231F20"/>
            </w:tcBorders>
          </w:tcPr>
          <w:p>
            <w:pPr>
              <w:spacing w:after="0"/>
              <w:rPr>
                <w:sz w:val="20"/>
                <w:szCs w:val="20"/>
                <w:color w:val="auto"/>
              </w:rPr>
            </w:pPr>
          </w:p>
        </w:tc>
      </w:tr>
      <w:tr>
        <w:trPr>
          <w:trHeight w:val="188"/>
        </w:trPr>
        <w:tc>
          <w:tcPr>
            <w:tcW w:w="3260" w:type="dxa"/>
            <w:vAlign w:val="bottom"/>
            <w:tcBorders>
              <w:left w:val="single" w:sz="8" w:color="231F20"/>
              <w:right w:val="single" w:sz="8" w:color="231F20"/>
            </w:tcBorders>
          </w:tcPr>
          <w:p>
            <w:pPr>
              <w:ind w:left="120"/>
              <w:spacing w:after="0" w:line="188" w:lineRule="exact"/>
              <w:rPr>
                <w:sz w:val="20"/>
                <w:szCs w:val="20"/>
                <w:color w:val="auto"/>
              </w:rPr>
            </w:pPr>
            <w:r>
              <w:rPr>
                <w:rFonts w:ascii="Times New Roman" w:cs="Times New Roman" w:eastAsia="Times New Roman" w:hAnsi="Times New Roman"/>
                <w:sz w:val="18"/>
                <w:szCs w:val="18"/>
                <w:color w:val="231F20"/>
              </w:rPr>
              <w:t>February 1, 2028 –</w:t>
            </w:r>
          </w:p>
        </w:tc>
        <w:tc>
          <w:tcPr>
            <w:tcW w:w="1700" w:type="dxa"/>
            <w:vAlign w:val="bottom"/>
            <w:tcBorders>
              <w:right w:val="single" w:sz="8" w:color="231F20"/>
            </w:tcBorders>
          </w:tcPr>
          <w:p>
            <w:pPr>
              <w:ind w:left="60"/>
              <w:spacing w:after="0" w:line="188" w:lineRule="exact"/>
              <w:rPr>
                <w:sz w:val="20"/>
                <w:szCs w:val="20"/>
                <w:color w:val="auto"/>
              </w:rPr>
            </w:pPr>
            <w:r>
              <w:rPr>
                <w:rFonts w:ascii="Times New Roman" w:cs="Times New Roman" w:eastAsia="Times New Roman" w:hAnsi="Times New Roman"/>
                <w:sz w:val="18"/>
                <w:szCs w:val="18"/>
                <w:color w:val="231F20"/>
              </w:rPr>
              <w:t>$27.50</w:t>
            </w:r>
          </w:p>
        </w:tc>
        <w:tc>
          <w:tcPr>
            <w:tcW w:w="1940" w:type="dxa"/>
            <w:vAlign w:val="bottom"/>
            <w:tcBorders>
              <w:right w:val="single" w:sz="8" w:color="231F20"/>
            </w:tcBorders>
          </w:tcPr>
          <w:p>
            <w:pPr>
              <w:ind w:left="100"/>
              <w:spacing w:after="0" w:line="188" w:lineRule="exact"/>
              <w:rPr>
                <w:sz w:val="20"/>
                <w:szCs w:val="20"/>
                <w:color w:val="auto"/>
              </w:rPr>
            </w:pPr>
            <w:r>
              <w:rPr>
                <w:rFonts w:ascii="Times New Roman" w:cs="Times New Roman" w:eastAsia="Times New Roman" w:hAnsi="Times New Roman"/>
                <w:sz w:val="18"/>
                <w:szCs w:val="18"/>
                <w:color w:val="231F20"/>
              </w:rPr>
              <w:t>$850,107.50</w:t>
            </w:r>
          </w:p>
        </w:tc>
        <w:tc>
          <w:tcPr>
            <w:tcW w:w="1920" w:type="dxa"/>
            <w:vAlign w:val="bottom"/>
            <w:tcBorders>
              <w:right w:val="single" w:sz="8" w:color="231F20"/>
            </w:tcBorders>
          </w:tcPr>
          <w:p>
            <w:pPr>
              <w:ind w:left="80"/>
              <w:spacing w:after="0" w:line="188" w:lineRule="exact"/>
              <w:rPr>
                <w:sz w:val="20"/>
                <w:szCs w:val="20"/>
                <w:color w:val="auto"/>
              </w:rPr>
            </w:pPr>
            <w:r>
              <w:rPr>
                <w:rFonts w:ascii="Times New Roman" w:cs="Times New Roman" w:eastAsia="Times New Roman" w:hAnsi="Times New Roman"/>
                <w:sz w:val="18"/>
                <w:szCs w:val="18"/>
                <w:color w:val="231F20"/>
              </w:rPr>
              <w:t>$70,842.29</w:t>
            </w:r>
          </w:p>
        </w:tc>
        <w:tc>
          <w:tcPr>
            <w:tcW w:w="2460" w:type="dxa"/>
            <w:vAlign w:val="bottom"/>
            <w:tcBorders>
              <w:right w:val="single" w:sz="8" w:color="231F20"/>
            </w:tcBorders>
          </w:tcPr>
          <w:p>
            <w:pPr>
              <w:ind w:left="80"/>
              <w:spacing w:after="0" w:line="188" w:lineRule="exact"/>
              <w:rPr>
                <w:sz w:val="20"/>
                <w:szCs w:val="20"/>
                <w:color w:val="auto"/>
              </w:rPr>
            </w:pPr>
            <w:r>
              <w:rPr>
                <w:rFonts w:ascii="Times New Roman" w:cs="Times New Roman" w:eastAsia="Times New Roman" w:hAnsi="Times New Roman"/>
                <w:sz w:val="18"/>
                <w:szCs w:val="18"/>
                <w:color w:val="231F20"/>
              </w:rPr>
              <w:t>+ electricity/NNN</w:t>
            </w:r>
          </w:p>
        </w:tc>
      </w:tr>
      <w:tr>
        <w:trPr>
          <w:trHeight w:val="241"/>
        </w:trPr>
        <w:tc>
          <w:tcPr>
            <w:tcW w:w="3260" w:type="dxa"/>
            <w:vAlign w:val="bottom"/>
            <w:tcBorders>
              <w:left w:val="single" w:sz="8" w:color="231F20"/>
              <w:bottom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231F20"/>
              </w:rPr>
              <w:t>January 31, 2029</w:t>
            </w:r>
          </w:p>
        </w:tc>
        <w:tc>
          <w:tcPr>
            <w:tcW w:w="1700" w:type="dxa"/>
            <w:vAlign w:val="bottom"/>
            <w:tcBorders>
              <w:bottom w:val="single" w:sz="8" w:color="231F20"/>
              <w:right w:val="single" w:sz="8" w:color="231F20"/>
            </w:tcBorders>
          </w:tcPr>
          <w:p>
            <w:pPr>
              <w:spacing w:after="0"/>
              <w:rPr>
                <w:sz w:val="20"/>
                <w:szCs w:val="20"/>
                <w:color w:val="auto"/>
              </w:rPr>
            </w:pPr>
          </w:p>
        </w:tc>
        <w:tc>
          <w:tcPr>
            <w:tcW w:w="1940" w:type="dxa"/>
            <w:vAlign w:val="bottom"/>
            <w:tcBorders>
              <w:bottom w:val="single" w:sz="8" w:color="231F20"/>
              <w:right w:val="single" w:sz="8" w:color="231F20"/>
            </w:tcBorders>
          </w:tcPr>
          <w:p>
            <w:pPr>
              <w:spacing w:after="0"/>
              <w:rPr>
                <w:sz w:val="20"/>
                <w:szCs w:val="20"/>
                <w:color w:val="auto"/>
              </w:rPr>
            </w:pPr>
          </w:p>
        </w:tc>
        <w:tc>
          <w:tcPr>
            <w:tcW w:w="1920" w:type="dxa"/>
            <w:vAlign w:val="bottom"/>
            <w:tcBorders>
              <w:bottom w:val="single" w:sz="8" w:color="231F20"/>
              <w:right w:val="single" w:sz="8" w:color="231F20"/>
            </w:tcBorders>
          </w:tcPr>
          <w:p>
            <w:pPr>
              <w:spacing w:after="0"/>
              <w:rPr>
                <w:sz w:val="20"/>
                <w:szCs w:val="20"/>
                <w:color w:val="auto"/>
              </w:rPr>
            </w:pPr>
          </w:p>
        </w:tc>
        <w:tc>
          <w:tcPr>
            <w:tcW w:w="2460" w:type="dxa"/>
            <w:vAlign w:val="bottom"/>
            <w:tcBorders>
              <w:bottom w:val="single" w:sz="8" w:color="231F20"/>
              <w:right w:val="single" w:sz="8" w:color="231F20"/>
            </w:tcBorders>
          </w:tcPr>
          <w:p>
            <w:pPr>
              <w:spacing w:after="0"/>
              <w:rPr>
                <w:sz w:val="20"/>
                <w:szCs w:val="20"/>
                <w:color w:val="auto"/>
              </w:rPr>
            </w:pPr>
          </w:p>
        </w:tc>
      </w:tr>
      <w:tr>
        <w:trPr>
          <w:trHeight w:val="188"/>
        </w:trPr>
        <w:tc>
          <w:tcPr>
            <w:tcW w:w="3260" w:type="dxa"/>
            <w:vAlign w:val="bottom"/>
            <w:tcBorders>
              <w:left w:val="single" w:sz="8" w:color="231F20"/>
              <w:right w:val="single" w:sz="8" w:color="231F20"/>
            </w:tcBorders>
          </w:tcPr>
          <w:p>
            <w:pPr>
              <w:ind w:left="120"/>
              <w:spacing w:after="0" w:line="188" w:lineRule="exact"/>
              <w:rPr>
                <w:sz w:val="20"/>
                <w:szCs w:val="20"/>
                <w:color w:val="auto"/>
              </w:rPr>
            </w:pPr>
            <w:r>
              <w:rPr>
                <w:rFonts w:ascii="Times New Roman" w:cs="Times New Roman" w:eastAsia="Times New Roman" w:hAnsi="Times New Roman"/>
                <w:sz w:val="18"/>
                <w:szCs w:val="18"/>
                <w:color w:val="231F20"/>
              </w:rPr>
              <w:t>February 1, 2029 –</w:t>
            </w:r>
          </w:p>
        </w:tc>
        <w:tc>
          <w:tcPr>
            <w:tcW w:w="1700" w:type="dxa"/>
            <w:vAlign w:val="bottom"/>
            <w:tcBorders>
              <w:right w:val="single" w:sz="8" w:color="231F20"/>
            </w:tcBorders>
          </w:tcPr>
          <w:p>
            <w:pPr>
              <w:ind w:left="60"/>
              <w:spacing w:after="0" w:line="188" w:lineRule="exact"/>
              <w:rPr>
                <w:sz w:val="20"/>
                <w:szCs w:val="20"/>
                <w:color w:val="auto"/>
              </w:rPr>
            </w:pPr>
            <w:r>
              <w:rPr>
                <w:rFonts w:ascii="Times New Roman" w:cs="Times New Roman" w:eastAsia="Times New Roman" w:hAnsi="Times New Roman"/>
                <w:sz w:val="18"/>
                <w:szCs w:val="18"/>
                <w:color w:val="231F20"/>
              </w:rPr>
              <w:t>$28.25</w:t>
            </w:r>
          </w:p>
        </w:tc>
        <w:tc>
          <w:tcPr>
            <w:tcW w:w="1940" w:type="dxa"/>
            <w:vAlign w:val="bottom"/>
            <w:tcBorders>
              <w:right w:val="single" w:sz="8" w:color="231F20"/>
            </w:tcBorders>
          </w:tcPr>
          <w:p>
            <w:pPr>
              <w:ind w:left="100"/>
              <w:spacing w:after="0" w:line="188" w:lineRule="exact"/>
              <w:rPr>
                <w:sz w:val="20"/>
                <w:szCs w:val="20"/>
                <w:color w:val="auto"/>
              </w:rPr>
            </w:pPr>
            <w:r>
              <w:rPr>
                <w:rFonts w:ascii="Times New Roman" w:cs="Times New Roman" w:eastAsia="Times New Roman" w:hAnsi="Times New Roman"/>
                <w:sz w:val="18"/>
                <w:szCs w:val="18"/>
                <w:color w:val="231F20"/>
              </w:rPr>
              <w:t>$873,292.25</w:t>
            </w:r>
          </w:p>
        </w:tc>
        <w:tc>
          <w:tcPr>
            <w:tcW w:w="1920" w:type="dxa"/>
            <w:vAlign w:val="bottom"/>
            <w:tcBorders>
              <w:right w:val="single" w:sz="8" w:color="231F20"/>
            </w:tcBorders>
          </w:tcPr>
          <w:p>
            <w:pPr>
              <w:ind w:left="80"/>
              <w:spacing w:after="0" w:line="188" w:lineRule="exact"/>
              <w:rPr>
                <w:sz w:val="20"/>
                <w:szCs w:val="20"/>
                <w:color w:val="auto"/>
              </w:rPr>
            </w:pPr>
            <w:r>
              <w:rPr>
                <w:rFonts w:ascii="Times New Roman" w:cs="Times New Roman" w:eastAsia="Times New Roman" w:hAnsi="Times New Roman"/>
                <w:sz w:val="18"/>
                <w:szCs w:val="18"/>
                <w:color w:val="231F20"/>
              </w:rPr>
              <w:t>$72,774.35</w:t>
            </w:r>
          </w:p>
        </w:tc>
        <w:tc>
          <w:tcPr>
            <w:tcW w:w="2460" w:type="dxa"/>
            <w:vAlign w:val="bottom"/>
            <w:tcBorders>
              <w:right w:val="single" w:sz="8" w:color="231F20"/>
            </w:tcBorders>
          </w:tcPr>
          <w:p>
            <w:pPr>
              <w:ind w:left="80"/>
              <w:spacing w:after="0" w:line="188" w:lineRule="exact"/>
              <w:rPr>
                <w:sz w:val="20"/>
                <w:szCs w:val="20"/>
                <w:color w:val="auto"/>
              </w:rPr>
            </w:pPr>
            <w:r>
              <w:rPr>
                <w:rFonts w:ascii="Times New Roman" w:cs="Times New Roman" w:eastAsia="Times New Roman" w:hAnsi="Times New Roman"/>
                <w:sz w:val="18"/>
                <w:szCs w:val="18"/>
                <w:color w:val="231F20"/>
              </w:rPr>
              <w:t>+ electricity/NNN</w:t>
            </w:r>
          </w:p>
        </w:tc>
      </w:tr>
      <w:tr>
        <w:trPr>
          <w:trHeight w:val="241"/>
        </w:trPr>
        <w:tc>
          <w:tcPr>
            <w:tcW w:w="3260" w:type="dxa"/>
            <w:vAlign w:val="bottom"/>
            <w:tcBorders>
              <w:left w:val="single" w:sz="8" w:color="231F20"/>
              <w:bottom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231F20"/>
              </w:rPr>
              <w:t>January 31, 2030</w:t>
            </w:r>
          </w:p>
        </w:tc>
        <w:tc>
          <w:tcPr>
            <w:tcW w:w="1700" w:type="dxa"/>
            <w:vAlign w:val="bottom"/>
            <w:tcBorders>
              <w:bottom w:val="single" w:sz="8" w:color="231F20"/>
              <w:right w:val="single" w:sz="8" w:color="231F20"/>
            </w:tcBorders>
          </w:tcPr>
          <w:p>
            <w:pPr>
              <w:spacing w:after="0"/>
              <w:rPr>
                <w:sz w:val="20"/>
                <w:szCs w:val="20"/>
                <w:color w:val="auto"/>
              </w:rPr>
            </w:pPr>
          </w:p>
        </w:tc>
        <w:tc>
          <w:tcPr>
            <w:tcW w:w="1940" w:type="dxa"/>
            <w:vAlign w:val="bottom"/>
            <w:tcBorders>
              <w:bottom w:val="single" w:sz="8" w:color="231F20"/>
              <w:right w:val="single" w:sz="8" w:color="231F20"/>
            </w:tcBorders>
          </w:tcPr>
          <w:p>
            <w:pPr>
              <w:spacing w:after="0"/>
              <w:rPr>
                <w:sz w:val="20"/>
                <w:szCs w:val="20"/>
                <w:color w:val="auto"/>
              </w:rPr>
            </w:pPr>
          </w:p>
        </w:tc>
        <w:tc>
          <w:tcPr>
            <w:tcW w:w="1920" w:type="dxa"/>
            <w:vAlign w:val="bottom"/>
            <w:tcBorders>
              <w:bottom w:val="single" w:sz="8" w:color="231F20"/>
              <w:right w:val="single" w:sz="8" w:color="231F20"/>
            </w:tcBorders>
          </w:tcPr>
          <w:p>
            <w:pPr>
              <w:spacing w:after="0"/>
              <w:rPr>
                <w:sz w:val="20"/>
                <w:szCs w:val="20"/>
                <w:color w:val="auto"/>
              </w:rPr>
            </w:pPr>
          </w:p>
        </w:tc>
        <w:tc>
          <w:tcPr>
            <w:tcW w:w="2460" w:type="dxa"/>
            <w:vAlign w:val="bottom"/>
            <w:tcBorders>
              <w:bottom w:val="single" w:sz="8" w:color="231F20"/>
              <w:right w:val="single" w:sz="8" w:color="231F20"/>
            </w:tcBorders>
          </w:tcPr>
          <w:p>
            <w:pPr>
              <w:spacing w:after="0"/>
              <w:rPr>
                <w:sz w:val="20"/>
                <w:szCs w:val="20"/>
                <w:color w:val="auto"/>
              </w:rPr>
            </w:pPr>
          </w:p>
        </w:tc>
      </w:tr>
    </w:tbl>
    <w:p>
      <w:pPr>
        <w:spacing w:after="0" w:line="184" w:lineRule="exact"/>
        <w:rPr>
          <w:sz w:val="20"/>
          <w:szCs w:val="20"/>
          <w:color w:val="auto"/>
        </w:rPr>
      </w:pPr>
    </w:p>
    <w:p>
      <w:pPr>
        <w:jc w:val="both"/>
        <w:ind w:left="200"/>
        <w:spacing w:after="0" w:line="259" w:lineRule="auto"/>
        <w:rPr>
          <w:sz w:val="20"/>
          <w:szCs w:val="20"/>
          <w:color w:val="auto"/>
        </w:rPr>
      </w:pPr>
      <w:r>
        <w:rPr>
          <w:rFonts w:ascii="Times New Roman" w:cs="Times New Roman" w:eastAsia="Times New Roman" w:hAnsi="Times New Roman"/>
          <w:sz w:val="18"/>
          <w:szCs w:val="18"/>
          <w:color w:val="231F20"/>
        </w:rPr>
        <w:t>*In addition to the above Base Rental, Tenant is required to pay Tenant’s Allocated Share of electricity costs for the Building Floor and Tenant’s Share of electricity costs for the Building and Complex (each as calculated pursuant to Section 6 of the Lease) during the entire Lease Term. Tenant will also pay Tenant’s Share of Basic Operating Costs (as calculated pursuant to Section 6 of the Lease).</w:t>
      </w:r>
    </w:p>
    <w:p>
      <w:pPr>
        <w:spacing w:after="0" w:line="131" w:lineRule="exact"/>
        <w:rPr>
          <w:sz w:val="20"/>
          <w:szCs w:val="20"/>
          <w:color w:val="auto"/>
        </w:rPr>
      </w:pPr>
    </w:p>
    <w:p>
      <w:pPr>
        <w:ind w:left="1040" w:hanging="277"/>
        <w:spacing w:after="0"/>
        <w:tabs>
          <w:tab w:leader="none" w:pos="1040" w:val="left"/>
        </w:tabs>
        <w:numPr>
          <w:ilvl w:val="0"/>
          <w:numId w:val="13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u w:val="single" w:color="auto"/>
          <w:color w:val="231F20"/>
        </w:rPr>
        <w:t>Use of Improvement Allowance and the Preliminary Planning Allowance; Construction Management Fee</w:t>
      </w:r>
      <w:r>
        <w:rPr>
          <w:rFonts w:ascii="Times New Roman" w:cs="Times New Roman" w:eastAsia="Times New Roman" w:hAnsi="Times New Roman"/>
          <w:sz w:val="18"/>
          <w:szCs w:val="18"/>
          <w:color w:val="231F20"/>
        </w:rPr>
        <w:t>.</w:t>
      </w:r>
    </w:p>
    <w:p>
      <w:pPr>
        <w:spacing w:after="0" w:line="188" w:lineRule="exact"/>
        <w:rPr>
          <w:sz w:val="20"/>
          <w:szCs w:val="20"/>
          <w:color w:val="auto"/>
        </w:rPr>
      </w:pPr>
    </w:p>
    <w:p>
      <w:pPr>
        <w:jc w:val="both"/>
        <w:ind w:left="20" w:firstLine="743"/>
        <w:spacing w:after="0" w:line="249" w:lineRule="auto"/>
        <w:tabs>
          <w:tab w:leader="none" w:pos="1041" w:val="left"/>
        </w:tabs>
        <w:numPr>
          <w:ilvl w:val="0"/>
          <w:numId w:val="1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Landlord and Tenant hereby acknowledge and agree that the Reimbursement Deadline, as set forth in Section 5 of Exhibit D (Tenant Improvements Agreement) of the Lease, is hereby amended by deleting the phrase “the end of the twelfth (12</w:t>
      </w:r>
      <w:r>
        <w:rPr>
          <w:rFonts w:ascii="Times New Roman" w:cs="Times New Roman" w:eastAsia="Times New Roman" w:hAnsi="Times New Roman"/>
          <w:sz w:val="12"/>
          <w:szCs w:val="12"/>
          <w:color w:val="231F20"/>
        </w:rPr>
        <w:t>th</w:t>
      </w:r>
      <w:r>
        <w:rPr>
          <w:rFonts w:ascii="Times New Roman" w:cs="Times New Roman" w:eastAsia="Times New Roman" w:hAnsi="Times New Roman"/>
          <w:sz w:val="18"/>
          <w:szCs w:val="18"/>
          <w:color w:val="231F20"/>
        </w:rPr>
        <w:t>) calendar month following the Commencement Date” appearing in the penultimate sentence of such Section 5 and substituting the date “May 31, 2024” in lieu thereof. For purposes of clarification, Landlord and Tenant acknowledge and agree that the purpose of this Section 5 is to extend the Reimbursement Deadline by an additional six (6) months.</w:t>
      </w:r>
    </w:p>
    <w:p>
      <w:pPr>
        <w:spacing w:after="0" w:line="200" w:lineRule="exact"/>
        <w:rPr>
          <w:rFonts w:ascii="Times New Roman" w:cs="Times New Roman" w:eastAsia="Times New Roman" w:hAnsi="Times New Roman"/>
          <w:sz w:val="18"/>
          <w:szCs w:val="18"/>
          <w:color w:val="231F20"/>
        </w:rPr>
      </w:pPr>
    </w:p>
    <w:p>
      <w:pPr>
        <w:spacing w:after="0" w:line="306" w:lineRule="exact"/>
        <w:rPr>
          <w:rFonts w:ascii="Times New Roman" w:cs="Times New Roman" w:eastAsia="Times New Roman" w:hAnsi="Times New Roman"/>
          <w:sz w:val="18"/>
          <w:szCs w:val="18"/>
          <w:color w:val="231F20"/>
        </w:rPr>
      </w:pPr>
    </w:p>
    <w:p>
      <w:pPr>
        <w:ind w:left="5600" w:hanging="96"/>
        <w:spacing w:after="0"/>
        <w:tabs>
          <w:tab w:leader="none" w:pos="5600" w:val="left"/>
        </w:tabs>
        <w:numPr>
          <w:ilvl w:val="1"/>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408305</wp:posOffset>
            </wp:positionV>
            <wp:extent cx="7178040" cy="4000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700">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80"/>
          </w:cols>
          <w:pgMar w:left="300" w:top="1217" w:right="319" w:bottom="1440" w:gutter="0" w:footer="0" w:header="0"/>
        </w:sectPr>
      </w:pPr>
    </w:p>
    <w:bookmarkStart w:id="233" w:name="page234"/>
    <w:bookmarkEnd w:id="233"/>
    <w:p>
      <w:pPr>
        <w:jc w:val="both"/>
        <w:ind w:left="-743" w:firstLine="743"/>
        <w:spacing w:after="0" w:line="246" w:lineRule="auto"/>
        <w:tabs>
          <w:tab w:leader="none" w:pos="278" w:val="left"/>
        </w:tabs>
        <w:numPr>
          <w:ilvl w:val="0"/>
          <w:numId w:val="1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Landlord and Tenant hereby acknowledge and agree that, at the time the Lease was executed, Tenant was intending to manage or to hire a third party to manage the performance of the Tenant Improvements, whereupon, as set forth in Section 5 of Exhibit D of the Lease, Landlord will charge Tenant a supervision fee of one percent (1%) of the total hard and soft costs of the Work. Notwithstanding such Section 5 of Exhibit D of the Lease, in the event Tenant engages Landlord’s third party management firm to manage the performance of the Tenant Improvements instead of managing the performance of the Work itself or through its own third party manager, Landlord will charge Tenant a construction management fee in an amount equal to five percent (5%) of the total hard cost and Soft Costs of the Work, which amount will be deducted from the Improvement Allowance and used to pay Landlord’s third party management firm for managing the performance of the Work.</w:t>
      </w:r>
    </w:p>
    <w:p>
      <w:pPr>
        <w:spacing w:after="0" w:line="145" w:lineRule="exact"/>
        <w:rPr>
          <w:sz w:val="20"/>
          <w:szCs w:val="20"/>
          <w:color w:val="auto"/>
        </w:rPr>
      </w:pPr>
    </w:p>
    <w:p>
      <w:pPr>
        <w:jc w:val="both"/>
        <w:ind w:left="-743" w:firstLine="743"/>
        <w:spacing w:after="0" w:line="242" w:lineRule="auto"/>
        <w:tabs>
          <w:tab w:leader="none" w:pos="278" w:val="left"/>
        </w:tabs>
        <w:numPr>
          <w:ilvl w:val="0"/>
          <w:numId w:val="1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u w:val="single" w:color="auto"/>
          <w:color w:val="231F20"/>
        </w:rPr>
        <w:t>Additional Security Deposit</w:t>
      </w:r>
      <w:r>
        <w:rPr>
          <w:rFonts w:ascii="Times New Roman" w:cs="Times New Roman" w:eastAsia="Times New Roman" w:hAnsi="Times New Roman"/>
          <w:sz w:val="18"/>
          <w:szCs w:val="18"/>
          <w:color w:val="231F20"/>
        </w:rPr>
        <w:t>. Landlord and Tenant acknowledge and agree that, simultaneously with the execution and delivery of this</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 xml:space="preserve">First Amendment, Tenant shall deliver to Landlord an additional security deposit of $500,000.00 in the form of a letter of credit materially consistent with the form of letter of credit attached hereto as </w:t>
      </w:r>
      <w:r>
        <w:rPr>
          <w:rFonts w:ascii="Times New Roman" w:cs="Times New Roman" w:eastAsia="Times New Roman" w:hAnsi="Times New Roman"/>
          <w:sz w:val="18"/>
          <w:szCs w:val="18"/>
          <w:b w:val="1"/>
          <w:bCs w:val="1"/>
          <w:color w:val="231F20"/>
        </w:rPr>
        <w:t>Exhibit B</w:t>
      </w:r>
      <w:r>
        <w:rPr>
          <w:rFonts w:ascii="Times New Roman" w:cs="Times New Roman" w:eastAsia="Times New Roman" w:hAnsi="Times New Roman"/>
          <w:sz w:val="18"/>
          <w:szCs w:val="18"/>
          <w:color w:val="231F20"/>
        </w:rPr>
        <w:t xml:space="preserve"> and issued by Comerica Bank (the “Additional Security Deposit”). If Tenant fails to pay rent or other charges due, after the expiration of any applicable notice and cure periods, under the Lease or any direct lease between Landlord and Tenant for the sixth (6</w:t>
      </w:r>
      <w:r>
        <w:rPr>
          <w:rFonts w:ascii="Times New Roman" w:cs="Times New Roman" w:eastAsia="Times New Roman" w:hAnsi="Times New Roman"/>
          <w:sz w:val="12"/>
          <w:szCs w:val="12"/>
          <w:color w:val="231F20"/>
        </w:rPr>
        <w:t>th</w:t>
      </w:r>
      <w:r>
        <w:rPr>
          <w:rFonts w:ascii="Times New Roman" w:cs="Times New Roman" w:eastAsia="Times New Roman" w:hAnsi="Times New Roman"/>
          <w:sz w:val="18"/>
          <w:szCs w:val="18"/>
          <w:color w:val="231F20"/>
        </w:rPr>
        <w:t>) and seventh (7</w:t>
      </w:r>
      <w:r>
        <w:rPr>
          <w:rFonts w:ascii="Times New Roman" w:cs="Times New Roman" w:eastAsia="Times New Roman" w:hAnsi="Times New Roman"/>
          <w:sz w:val="12"/>
          <w:szCs w:val="12"/>
          <w:color w:val="231F20"/>
        </w:rPr>
        <w:t>th</w:t>
      </w:r>
      <w:r>
        <w:rPr>
          <w:rFonts w:ascii="Times New Roman" w:cs="Times New Roman" w:eastAsia="Times New Roman" w:hAnsi="Times New Roman"/>
          <w:sz w:val="18"/>
          <w:szCs w:val="18"/>
          <w:color w:val="231F20"/>
        </w:rPr>
        <w:t xml:space="preserve">) floors of the Building (the “Other Lease”), Landlord may, upon three (3) Business Days’ prior written notice to Tenant, draw upon, use, apply or retain all or any portion of the Additional Security Deposit for the payment of any such overdue rent or other charge or for the payment of any other sum to which Landlord becomes obligated by reason of such default, or to compensate Landlord for any out- of-pocket loss or damage actually incurred by Landlord as a result thereof. If Landlord so uses or applies all or any portion of said Additional Security Deposit, Tenant shall, within ten (10) Business Days after written demand therefor, provide to Landlord a replacement letter of credit meeting the requirements set forth above or an amendment to the then-existing letter of credit in an amount sufficient to restore said Additional Security Deposit to the amount above stated. If Tenant performs all of Tenant’s obligations to Landlord under the Lease and the Other Lease (if any), said letter of credit shall be returned to Tenant within fifteen (15) days following the later to expire or sooner terminate of the Lease or the Other Lease (if any). Notwithstanding the foregoing, in the event Landlord determines, in its commercially reasonable discretion, that the financial condition of the issuer of the letter of credit has so declined as to cause concern that such issuer may not honor a draw on the letter of credit, Tenant shall promptly, and in any event, within sixty (60) days of Landlord’s written demand therefor, provide Landlord with a replacement letter of credit in a form substantially similar to the form of letter of credit attached hereto as </w:t>
      </w:r>
      <w:r>
        <w:rPr>
          <w:rFonts w:ascii="Times New Roman" w:cs="Times New Roman" w:eastAsia="Times New Roman" w:hAnsi="Times New Roman"/>
          <w:sz w:val="18"/>
          <w:szCs w:val="18"/>
          <w:b w:val="1"/>
          <w:bCs w:val="1"/>
          <w:color w:val="231F20"/>
        </w:rPr>
        <w:t>Exhibit B</w:t>
      </w:r>
      <w:r>
        <w:rPr>
          <w:rFonts w:ascii="Times New Roman" w:cs="Times New Roman" w:eastAsia="Times New Roman" w:hAnsi="Times New Roman"/>
          <w:sz w:val="18"/>
          <w:szCs w:val="18"/>
          <w:color w:val="231F20"/>
        </w:rPr>
        <w:t xml:space="preserve"> from another financial institution reasonably acceptable to Landlord.</w:t>
      </w:r>
    </w:p>
    <w:p>
      <w:pPr>
        <w:spacing w:after="0" w:line="158" w:lineRule="exact"/>
        <w:rPr>
          <w:rFonts w:ascii="Times New Roman" w:cs="Times New Roman" w:eastAsia="Times New Roman" w:hAnsi="Times New Roman"/>
          <w:sz w:val="18"/>
          <w:szCs w:val="18"/>
          <w:color w:val="231F20"/>
        </w:rPr>
      </w:pPr>
    </w:p>
    <w:p>
      <w:pPr>
        <w:ind w:left="-743" w:right="20" w:firstLine="743"/>
        <w:spacing w:after="0" w:line="283" w:lineRule="auto"/>
        <w:tabs>
          <w:tab w:leader="none" w:pos="278" w:val="left"/>
        </w:tabs>
        <w:numPr>
          <w:ilvl w:val="0"/>
          <w:numId w:val="1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u w:val="single" w:color="auto"/>
          <w:color w:val="231F20"/>
        </w:rPr>
        <w:t>Exhibit I – Right of First Refusal (Affecting 9</w:t>
      </w:r>
      <w:r>
        <w:rPr>
          <w:rFonts w:ascii="Times New Roman" w:cs="Times New Roman" w:eastAsia="Times New Roman" w:hAnsi="Times New Roman"/>
          <w:sz w:val="12"/>
          <w:szCs w:val="12"/>
          <w:b w:val="1"/>
          <w:bCs w:val="1"/>
          <w:u w:val="single" w:color="auto"/>
          <w:color w:val="231F20"/>
        </w:rPr>
        <w:t>th</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b w:val="1"/>
          <w:bCs w:val="1"/>
          <w:u w:val="single" w:color="auto"/>
          <w:color w:val="231F20"/>
        </w:rPr>
        <w:t>and 5</w:t>
      </w:r>
      <w:r>
        <w:rPr>
          <w:rFonts w:ascii="Times New Roman" w:cs="Times New Roman" w:eastAsia="Times New Roman" w:hAnsi="Times New Roman"/>
          <w:sz w:val="12"/>
          <w:szCs w:val="12"/>
          <w:b w:val="1"/>
          <w:bCs w:val="1"/>
          <w:u w:val="single" w:color="auto"/>
          <w:color w:val="231F20"/>
        </w:rPr>
        <w:t>th</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b w:val="1"/>
          <w:bCs w:val="1"/>
          <w:u w:val="single" w:color="auto"/>
          <w:color w:val="231F20"/>
        </w:rPr>
        <w:t>Floors)</w:t>
      </w:r>
      <w:r>
        <w:rPr>
          <w:rFonts w:ascii="Times New Roman" w:cs="Times New Roman" w:eastAsia="Times New Roman" w:hAnsi="Times New Roman"/>
          <w:sz w:val="18"/>
          <w:szCs w:val="18"/>
          <w:color w:val="231F20"/>
        </w:rPr>
        <w:t>. Exhibit I is deleted in its entirety. All references in the Lease to Exhibit</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I are of no further force or effect.</w:t>
      </w:r>
    </w:p>
    <w:p>
      <w:pPr>
        <w:spacing w:after="0" w:line="110" w:lineRule="exact"/>
        <w:rPr>
          <w:rFonts w:ascii="Times New Roman" w:cs="Times New Roman" w:eastAsia="Times New Roman" w:hAnsi="Times New Roman"/>
          <w:sz w:val="18"/>
          <w:szCs w:val="18"/>
          <w:color w:val="231F20"/>
        </w:rPr>
      </w:pPr>
    </w:p>
    <w:p>
      <w:pPr>
        <w:ind w:left="-743" w:firstLine="743"/>
        <w:spacing w:after="0" w:line="283" w:lineRule="auto"/>
        <w:tabs>
          <w:tab w:leader="none" w:pos="278" w:val="left"/>
        </w:tabs>
        <w:numPr>
          <w:ilvl w:val="0"/>
          <w:numId w:val="1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u w:val="single" w:color="auto"/>
          <w:color w:val="231F20"/>
        </w:rPr>
        <w:t>Exhibit J – Expansion Option (As to 9</w:t>
      </w:r>
      <w:r>
        <w:rPr>
          <w:rFonts w:ascii="Times New Roman" w:cs="Times New Roman" w:eastAsia="Times New Roman" w:hAnsi="Times New Roman"/>
          <w:sz w:val="12"/>
          <w:szCs w:val="12"/>
          <w:b w:val="1"/>
          <w:bCs w:val="1"/>
          <w:u w:val="single" w:color="auto"/>
          <w:color w:val="231F20"/>
        </w:rPr>
        <w:t>th</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b w:val="1"/>
          <w:bCs w:val="1"/>
          <w:u w:val="single" w:color="auto"/>
          <w:color w:val="231F20"/>
        </w:rPr>
        <w:t>Floor)</w:t>
      </w:r>
      <w:r>
        <w:rPr>
          <w:rFonts w:ascii="Times New Roman" w:cs="Times New Roman" w:eastAsia="Times New Roman" w:hAnsi="Times New Roman"/>
          <w:sz w:val="18"/>
          <w:szCs w:val="18"/>
          <w:color w:val="231F20"/>
        </w:rPr>
        <w:t>. Exhibit J is deleted in its entirety. All references in the Lease to Exhibit J are of no</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further force and effect.</w:t>
      </w:r>
    </w:p>
    <w:p>
      <w:pPr>
        <w:spacing w:after="0" w:line="200" w:lineRule="exact"/>
        <w:rPr>
          <w:rFonts w:ascii="Times New Roman" w:cs="Times New Roman" w:eastAsia="Times New Roman" w:hAnsi="Times New Roman"/>
          <w:sz w:val="18"/>
          <w:szCs w:val="18"/>
          <w:color w:val="231F20"/>
        </w:rPr>
      </w:pPr>
    </w:p>
    <w:p>
      <w:pPr>
        <w:spacing w:after="0" w:line="275" w:lineRule="exact"/>
        <w:rPr>
          <w:rFonts w:ascii="Times New Roman" w:cs="Times New Roman" w:eastAsia="Times New Roman" w:hAnsi="Times New Roman"/>
          <w:sz w:val="18"/>
          <w:szCs w:val="18"/>
          <w:color w:val="231F20"/>
        </w:rPr>
      </w:pPr>
    </w:p>
    <w:p>
      <w:pPr>
        <w:ind w:left="4837" w:hanging="96"/>
        <w:spacing w:after="0"/>
        <w:tabs>
          <w:tab w:leader="none" w:pos="4837" w:val="left"/>
        </w:tabs>
        <w:numPr>
          <w:ilvl w:val="1"/>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-488950</wp:posOffset>
            </wp:positionH>
            <wp:positionV relativeFrom="paragraph">
              <wp:posOffset>408305</wp:posOffset>
            </wp:positionV>
            <wp:extent cx="7178040" cy="4000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701">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0517"/>
          </w:cols>
          <w:pgMar w:left="1063" w:top="1221" w:right="319" w:bottom="1440" w:gutter="0" w:footer="0" w:header="0"/>
        </w:sectPr>
      </w:pPr>
    </w:p>
    <w:bookmarkStart w:id="234" w:name="page235"/>
    <w:bookmarkEnd w:id="234"/>
    <w:p>
      <w:pPr>
        <w:jc w:val="both"/>
        <w:ind w:right="20" w:firstLine="743"/>
        <w:spacing w:after="0" w:line="254" w:lineRule="auto"/>
        <w:tabs>
          <w:tab w:leader="none" w:pos="1021" w:val="left"/>
        </w:tabs>
        <w:numPr>
          <w:ilvl w:val="0"/>
          <w:numId w:val="13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u w:val="single" w:color="auto"/>
          <w:color w:val="231F20"/>
        </w:rPr>
        <w:t>Counterparts</w:t>
      </w:r>
      <w:r>
        <w:rPr>
          <w:rFonts w:ascii="Times New Roman" w:cs="Times New Roman" w:eastAsia="Times New Roman" w:hAnsi="Times New Roman"/>
          <w:sz w:val="18"/>
          <w:szCs w:val="18"/>
          <w:color w:val="231F20"/>
        </w:rPr>
        <w:t>. This First Amendment may be executed in multiple counterparts, all of which together shall constitute one and the same</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original instrument. Electronic signatures to this First Amendment, whether digital or encrypted (including, without limitation, .pdf scan copies, DocuSign signatures and similar formats) as executed by the parties, and regardless of the form of delivery (including but not limited to electronic delivery), shall be deemed and treated as executed originals for all purposes.</w:t>
      </w:r>
    </w:p>
    <w:p>
      <w:pPr>
        <w:spacing w:after="0" w:line="136" w:lineRule="exact"/>
        <w:rPr>
          <w:rFonts w:ascii="Times New Roman" w:cs="Times New Roman" w:eastAsia="Times New Roman" w:hAnsi="Times New Roman"/>
          <w:sz w:val="18"/>
          <w:szCs w:val="18"/>
          <w:color w:val="231F20"/>
        </w:rPr>
      </w:pPr>
    </w:p>
    <w:p>
      <w:pPr>
        <w:ind w:right="20" w:firstLine="743"/>
        <w:spacing w:after="0" w:line="283" w:lineRule="auto"/>
        <w:tabs>
          <w:tab w:leader="none" w:pos="1021" w:val="left"/>
        </w:tabs>
        <w:numPr>
          <w:ilvl w:val="0"/>
          <w:numId w:val="13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u w:val="single" w:color="auto"/>
          <w:color w:val="231F20"/>
        </w:rPr>
        <w:t>Ratification</w:t>
      </w:r>
      <w:r>
        <w:rPr>
          <w:rFonts w:ascii="Times New Roman" w:cs="Times New Roman" w:eastAsia="Times New Roman" w:hAnsi="Times New Roman"/>
          <w:sz w:val="18"/>
          <w:szCs w:val="18"/>
          <w:color w:val="231F20"/>
        </w:rPr>
        <w:t>. Except as amended by this First Amendment, all other terms, conditions, covenants and provisions as appear in the Lease are</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hereby ratified and confirmed and shall remain unchanged.</w:t>
      </w:r>
    </w:p>
    <w:p>
      <w:pPr>
        <w:spacing w:after="0" w:line="110" w:lineRule="exact"/>
        <w:rPr>
          <w:rFonts w:ascii="Times New Roman" w:cs="Times New Roman" w:eastAsia="Times New Roman" w:hAnsi="Times New Roman"/>
          <w:sz w:val="18"/>
          <w:szCs w:val="18"/>
          <w:color w:val="231F20"/>
        </w:rPr>
      </w:pPr>
    </w:p>
    <w:p>
      <w:pPr>
        <w:ind w:firstLine="743"/>
        <w:spacing w:after="0" w:line="283" w:lineRule="auto"/>
        <w:tabs>
          <w:tab w:leader="none" w:pos="1021" w:val="left"/>
        </w:tabs>
        <w:numPr>
          <w:ilvl w:val="0"/>
          <w:numId w:val="13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b w:val="1"/>
          <w:bCs w:val="1"/>
          <w:u w:val="single" w:color="auto"/>
          <w:color w:val="231F20"/>
        </w:rPr>
        <w:t>Successors and Assigns</w:t>
      </w:r>
      <w:r>
        <w:rPr>
          <w:rFonts w:ascii="Times New Roman" w:cs="Times New Roman" w:eastAsia="Times New Roman" w:hAnsi="Times New Roman"/>
          <w:sz w:val="18"/>
          <w:szCs w:val="18"/>
          <w:color w:val="231F20"/>
        </w:rPr>
        <w:t>. This First Amendment shall be binding upon and inure to the benefit of the parties hereto and their heirs,</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successors and permitted assigns.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[REMAINDER OF PAGE INTENTIONALLY LEFT BLANK]</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408305</wp:posOffset>
            </wp:positionV>
            <wp:extent cx="7178040" cy="4000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702">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17" w:right="319" w:bottom="1440" w:gutter="0" w:footer="0" w:header="0"/>
        </w:sectPr>
      </w:pPr>
    </w:p>
    <w:bookmarkStart w:id="235" w:name="page236"/>
    <w:bookmarkEnd w:id="235"/>
    <w:p>
      <w:pPr>
        <w:ind w:left="740"/>
        <w:spacing w:after="0"/>
        <w:rPr>
          <w:sz w:val="20"/>
          <w:szCs w:val="20"/>
          <w:color w:val="auto"/>
        </w:rPr>
      </w:pPr>
      <w:r>
        <w:rPr>
          <w:rFonts w:ascii="Times New Roman" w:cs="Times New Roman" w:eastAsia="Times New Roman" w:hAnsi="Times New Roman"/>
          <w:sz w:val="18"/>
          <w:szCs w:val="18"/>
          <w:b w:val="1"/>
          <w:bCs w:val="1"/>
          <w:color w:val="231F20"/>
        </w:rPr>
        <w:t xml:space="preserve">IN WITNESS WHEREOF, </w:t>
      </w:r>
      <w:r>
        <w:rPr>
          <w:rFonts w:ascii="Times New Roman" w:cs="Times New Roman" w:eastAsia="Times New Roman" w:hAnsi="Times New Roman"/>
          <w:sz w:val="18"/>
          <w:szCs w:val="18"/>
          <w:color w:val="231F20"/>
        </w:rPr>
        <w:t>the parties have caused this First Amendment to be duly executed under seal as of the date first written above.</w:t>
      </w:r>
    </w:p>
    <w:p>
      <w:pPr>
        <w:spacing w:after="0" w:line="22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LANDLORD:</w:t>
      </w:r>
    </w:p>
    <w:p>
      <w:pPr>
        <w:spacing w:after="0" w:line="25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FSP ADDISON CIRCLE LIMITED</w:t>
      </w:r>
    </w:p>
    <w:p>
      <w:pPr>
        <w:spacing w:after="0" w:line="3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PARTNERSHIP, a Texas limited partnership</w:t>
      </w:r>
    </w:p>
    <w:p>
      <w:pPr>
        <w:spacing w:after="0" w:line="243" w:lineRule="exact"/>
        <w:rPr>
          <w:sz w:val="20"/>
          <w:szCs w:val="20"/>
          <w:color w:val="auto"/>
        </w:rPr>
      </w:pPr>
    </w:p>
    <w:p>
      <w:pPr>
        <w:ind w:left="5080"/>
        <w:spacing w:after="0"/>
        <w:tabs>
          <w:tab w:leader="none" w:pos="5860" w:val="left"/>
        </w:tabs>
        <w:rPr>
          <w:sz w:val="20"/>
          <w:szCs w:val="20"/>
          <w:color w:val="auto"/>
        </w:rPr>
      </w:pPr>
      <w:r>
        <w:rPr>
          <w:rFonts w:ascii="Times New Roman" w:cs="Times New Roman" w:eastAsia="Times New Roman" w:hAnsi="Times New Roman"/>
          <w:sz w:val="18"/>
          <w:szCs w:val="18"/>
          <w:color w:val="231F20"/>
        </w:rPr>
        <w:t>By:</w:t>
      </w:r>
      <w:r>
        <w:rPr>
          <w:sz w:val="20"/>
          <w:szCs w:val="20"/>
          <w:color w:val="auto"/>
        </w:rPr>
        <w:tab/>
      </w:r>
      <w:r>
        <w:rPr>
          <w:rFonts w:ascii="Times New Roman" w:cs="Times New Roman" w:eastAsia="Times New Roman" w:hAnsi="Times New Roman"/>
          <w:sz w:val="18"/>
          <w:szCs w:val="18"/>
          <w:color w:val="231F20"/>
        </w:rPr>
        <w:t>FSP Property Management, LLC, a</w:t>
      </w:r>
    </w:p>
    <w:p>
      <w:pPr>
        <w:spacing w:after="0" w:line="33"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Massachusetts limited liability company, its asset manager</w:t>
      </w:r>
    </w:p>
    <w:p>
      <w:pPr>
        <w:spacing w:after="0" w:line="243" w:lineRule="exact"/>
        <w:rPr>
          <w:sz w:val="20"/>
          <w:szCs w:val="20"/>
          <w:color w:val="auto"/>
        </w:rPr>
      </w:pPr>
    </w:p>
    <w:tbl>
      <w:tblPr>
        <w:tblLayout w:type="fixed"/>
        <w:tblInd w:w="5880" w:type="dxa"/>
        <w:tblCellMar>
          <w:top w:w="0" w:type="dxa"/>
          <w:left w:w="0" w:type="dxa"/>
          <w:bottom w:w="0" w:type="dxa"/>
          <w:right w:w="0" w:type="dxa"/>
        </w:tblCellMar>
      </w:tblPr>
      <w:tr>
        <w:trPr>
          <w:trHeight w:val="24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231F20"/>
              </w:rPr>
              <w:t>By:</w:t>
            </w:r>
          </w:p>
        </w:tc>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231F20"/>
              </w:rPr>
              <w:t>/s/ Judith Waugh</w:t>
            </w:r>
          </w:p>
        </w:tc>
      </w:tr>
      <w:tr>
        <w:trPr>
          <w:trHeight w:val="21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231F20"/>
              </w:rPr>
              <w:t>Name:</w:t>
            </w: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231F20"/>
              </w:rPr>
              <w:t>Judith Waugh</w:t>
            </w:r>
          </w:p>
        </w:tc>
      </w:tr>
      <w:tr>
        <w:trPr>
          <w:trHeight w:val="24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231F20"/>
              </w:rPr>
              <w:t>Title:</w:t>
            </w: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 Asset Manager</w:t>
            </w:r>
          </w:p>
        </w:tc>
      </w:tr>
    </w:tbl>
    <w:p>
      <w:pPr>
        <w:spacing w:after="0" w:line="22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TENANT:</w:t>
      </w:r>
    </w:p>
    <w:p>
      <w:pPr>
        <w:spacing w:after="0" w:line="25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CAROFFER, LLC,</w:t>
      </w:r>
    </w:p>
    <w:p>
      <w:pPr>
        <w:spacing w:after="0" w:line="3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243" w:lineRule="exact"/>
        <w:rPr>
          <w:sz w:val="20"/>
          <w:szCs w:val="20"/>
          <w:color w:val="auto"/>
        </w:rPr>
      </w:pPr>
    </w:p>
    <w:tbl>
      <w:tblPr>
        <w:tblLayout w:type="fixed"/>
        <w:tblInd w:w="5080" w:type="dxa"/>
        <w:tblCellMar>
          <w:top w:w="0" w:type="dxa"/>
          <w:left w:w="0" w:type="dxa"/>
          <w:bottom w:w="0" w:type="dxa"/>
          <w:right w:w="0" w:type="dxa"/>
        </w:tblCellMar>
      </w:tblPr>
      <w:tr>
        <w:trPr>
          <w:trHeight w:val="24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231F20"/>
              </w:rPr>
              <w:t>By:</w:t>
            </w:r>
          </w:p>
        </w:tc>
        <w:tc>
          <w:tcPr>
            <w:tcW w:w="5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Bruce Thompson</w:t>
            </w:r>
          </w:p>
        </w:tc>
      </w:tr>
      <w:tr>
        <w:trPr>
          <w:trHeight w:val="2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231F20"/>
              </w:rPr>
              <w:t>Name:</w:t>
            </w: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Bruce Thompson</w:t>
            </w:r>
          </w:p>
        </w:tc>
      </w:tr>
      <w:tr>
        <w:trPr>
          <w:trHeight w:val="24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231F20"/>
              </w:rPr>
              <w:t>Title:</w:t>
            </w: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231F20"/>
        </w:rPr>
        <w:t>ACKNOWLEDGEMENT AND CONSENT OF GUARANTOR</w:t>
      </w:r>
    </w:p>
    <w:p>
      <w:pPr>
        <w:spacing w:after="0" w:line="184"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8"/>
          <w:szCs w:val="18"/>
          <w:color w:val="231F20"/>
        </w:rPr>
        <w:t>Effective as of the date first set forth above, the undersigned, CarGurus, Inc., a Delaware corporation, the guarantor of the above referenced Lease pursuant to that certain Guaranty of Lease dated as of April 28, 2022 (the “Guaranty”) hereby acknowledges and consents to this First Amendment to Office Lease Agreement and agrees that the Guaranty shall remain in full force and effect.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CARGURUS, INC.,</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231F20"/>
              </w:rPr>
              <w:t>By:</w:t>
            </w:r>
          </w:p>
        </w:tc>
        <w:tc>
          <w:tcPr>
            <w:tcW w:w="3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Jason Trevisan</w:t>
            </w:r>
          </w:p>
        </w:tc>
      </w:tr>
      <w:tr>
        <w:trPr>
          <w:trHeight w:val="21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231F20"/>
              </w:rPr>
              <w:t>Name:</w:t>
            </w:r>
          </w:p>
        </w:tc>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Jason Trevisan</w:t>
            </w:r>
          </w:p>
        </w:tc>
      </w:tr>
      <w:tr>
        <w:trPr>
          <w:trHeight w:val="240"/>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231F20"/>
              </w:rPr>
              <w:t>Title:</w:t>
            </w:r>
          </w:p>
        </w:tc>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CEO</w:t>
            </w:r>
          </w:p>
        </w:tc>
      </w:tr>
    </w:tbl>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408305</wp:posOffset>
            </wp:positionV>
            <wp:extent cx="7178040" cy="4000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703">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17" w:right="319" w:bottom="1440" w:gutter="0" w:footer="0" w:header="0"/>
        </w:sectPr>
      </w:pPr>
    </w:p>
    <w:bookmarkStart w:id="236" w:name="page237"/>
    <w:bookmarkEnd w:id="236"/>
    <w:p>
      <w:pPr>
        <w:jc w:val="center"/>
        <w:ind w:right="59"/>
        <w:spacing w:after="0"/>
        <w:rPr>
          <w:sz w:val="20"/>
          <w:szCs w:val="20"/>
          <w:color w:val="auto"/>
        </w:rPr>
      </w:pPr>
      <w:r>
        <w:rPr>
          <w:rFonts w:ascii="Times New Roman" w:cs="Times New Roman" w:eastAsia="Times New Roman" w:hAnsi="Times New Roman"/>
          <w:sz w:val="18"/>
          <w:szCs w:val="18"/>
          <w:color w:val="auto"/>
        </w:rPr>
        <w:t>EXHIBIT A</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RELOCATION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6679565</wp:posOffset>
            </wp:positionV>
            <wp:extent cx="7178040" cy="4000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704">
                      <a:extLst>
                        <a:ext uri="{28A0092B-C50C-407E-A947-70E740481C1C}"/>
                      </a:extLst>
                    </a:blip>
                    <a:srcRect/>
                    <a:stretch>
                      <a:fillRect/>
                    </a:stretch>
                  </pic:blipFill>
                  <pic:spPr bwMode="auto">
                    <a:xfrm>
                      <a:off x="0" y="0"/>
                      <a:ext cx="7178040" cy="40005"/>
                    </a:xfrm>
                    <a:prstGeom prst="rect">
                      <a:avLst/>
                    </a:prstGeom>
                    <a:noFill/>
                  </pic:spPr>
                </pic:pic>
              </a:graphicData>
            </a:graphic>
          </wp:anchor>
        </w:drawing>
        <w:drawing>
          <wp:anchor simplePos="0" relativeHeight="251657728" behindDoc="1" locked="0" layoutInCell="0" allowOverlap="1">
            <wp:simplePos x="0" y="0"/>
            <wp:positionH relativeFrom="column">
              <wp:posOffset>606425</wp:posOffset>
            </wp:positionH>
            <wp:positionV relativeFrom="paragraph">
              <wp:posOffset>131445</wp:posOffset>
            </wp:positionV>
            <wp:extent cx="4485640" cy="58883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705">
                      <a:extLst>
                        <a:ext uri="{28A0092B-C50C-407E-A947-70E740481C1C}"/>
                      </a:extLst>
                    </a:blip>
                    <a:srcRect/>
                    <a:stretch>
                      <a:fillRect/>
                    </a:stretch>
                  </pic:blipFill>
                  <pic:spPr bwMode="auto">
                    <a:xfrm>
                      <a:off x="0" y="0"/>
                      <a:ext cx="4485640" cy="5888355"/>
                    </a:xfrm>
                    <a:prstGeom prst="rect">
                      <a:avLst/>
                    </a:prstGeom>
                    <a:noFill/>
                  </pic:spPr>
                </pic:pic>
              </a:graphicData>
            </a:graphic>
          </wp:anchor>
        </w:drawing>
      </w:r>
    </w:p>
    <w:p>
      <w:pPr>
        <w:sectPr>
          <w:pgSz w:w="11900" w:h="16838" w:orient="portrait"/>
          <w:cols w:equalWidth="0" w:num="1">
            <w:col w:w="9019"/>
          </w:cols>
          <w:pgMar w:left="1440" w:top="876" w:right="1440" w:bottom="1440" w:gutter="0" w:footer="0" w:header="0"/>
        </w:sectPr>
      </w:pPr>
    </w:p>
    <w:bookmarkStart w:id="237" w:name="page238"/>
    <w:bookmarkEnd w:id="237"/>
    <w:p>
      <w:pPr>
        <w:jc w:val="center"/>
        <w:ind w:right="240"/>
        <w:spacing w:after="0"/>
        <w:rPr>
          <w:sz w:val="20"/>
          <w:szCs w:val="20"/>
          <w:color w:val="auto"/>
        </w:rPr>
      </w:pPr>
      <w:r>
        <w:rPr>
          <w:rFonts w:ascii="Times New Roman" w:cs="Times New Roman" w:eastAsia="Times New Roman" w:hAnsi="Times New Roman"/>
          <w:sz w:val="18"/>
          <w:szCs w:val="18"/>
          <w:color w:val="231F20"/>
        </w:rPr>
        <w:t>EXHIBIT B</w:t>
      </w:r>
    </w:p>
    <w:p>
      <w:pPr>
        <w:spacing w:after="0" w:line="20"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231F20"/>
        </w:rPr>
        <w:t>FORM OF LETTER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264795</wp:posOffset>
            </wp:positionV>
            <wp:extent cx="7165340" cy="190690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706">
                      <a:extLst>
                        <a:ext uri="{28A0092B-C50C-407E-A947-70E740481C1C}"/>
                      </a:extLst>
                    </a:blip>
                    <a:srcRect/>
                    <a:stretch>
                      <a:fillRect/>
                    </a:stretch>
                  </pic:blipFill>
                  <pic:spPr bwMode="auto">
                    <a:xfrm>
                      <a:off x="0" y="0"/>
                      <a:ext cx="7165340" cy="190690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SPECIMEN LANGUAGE ONLY</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EXHIBIT A</w:t>
      </w:r>
    </w:p>
    <w:p>
      <w:pPr>
        <w:spacing w:after="0" w:line="157" w:lineRule="exact"/>
        <w:rPr>
          <w:sz w:val="20"/>
          <w:szCs w:val="20"/>
          <w:color w:val="auto"/>
        </w:rPr>
      </w:pPr>
    </w:p>
    <w:p>
      <w:pPr>
        <w:jc w:val="center"/>
        <w:ind w:right="60"/>
        <w:spacing w:after="0"/>
        <w:rPr>
          <w:sz w:val="20"/>
          <w:szCs w:val="20"/>
          <w:color w:val="auto"/>
        </w:rPr>
      </w:pPr>
      <w:r>
        <w:rPr>
          <w:rFonts w:ascii="Arial" w:cs="Arial" w:eastAsia="Arial" w:hAnsi="Arial"/>
          <w:sz w:val="15"/>
          <w:szCs w:val="15"/>
          <w:b w:val="1"/>
          <w:bCs w:val="1"/>
          <w:color w:val="auto"/>
        </w:rPr>
        <w:t>COMERICA BANK HAS PREPARED THIS SPECIMEN UPON THE REQUEST OF APPLICANT AND IS FOR INFORMATIONAL PURPOSES ONLY. NO</w:t>
      </w:r>
    </w:p>
    <w:p>
      <w:pPr>
        <w:spacing w:after="0" w:line="16" w:lineRule="exact"/>
        <w:rPr>
          <w:sz w:val="20"/>
          <w:szCs w:val="20"/>
          <w:color w:val="auto"/>
        </w:rPr>
      </w:pPr>
    </w:p>
    <w:p>
      <w:pPr>
        <w:ind w:left="260" w:right="60" w:hanging="250"/>
        <w:spacing w:after="0" w:line="271" w:lineRule="auto"/>
        <w:rPr>
          <w:sz w:val="20"/>
          <w:szCs w:val="20"/>
          <w:color w:val="auto"/>
        </w:rPr>
      </w:pPr>
      <w:r>
        <w:rPr>
          <w:rFonts w:ascii="Arial" w:cs="Arial" w:eastAsia="Arial" w:hAnsi="Arial"/>
          <w:sz w:val="15"/>
          <w:szCs w:val="15"/>
          <w:b w:val="1"/>
          <w:bCs w:val="1"/>
          <w:color w:val="auto"/>
        </w:rPr>
        <w:t>REPRESENTATION OR WARRANTY IS MADE BY COMERICA BANK TO ISSUE THIS LETTER OF CREDIT IN THIS OR ANY OTHER FORM. WHEN SIGNED, THIS EXHIBIT A WILL BECOME AN INTEGRAL PART OF THE CORRESPONDING STANDBY LETTER OF CREDIT APPLICATION AND AGREEMENT.</w:t>
      </w:r>
    </w:p>
    <w:p>
      <w:pPr>
        <w:spacing w:after="0" w:line="11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WE HEREBY AGREE WITH THE LANGUAGE OF THE BELOW SPECIMEN.</w:t>
      </w:r>
    </w:p>
    <w:p>
      <w:pPr>
        <w:spacing w:after="0" w:line="9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APPROVED BY: CAROFFER, LLC</w:t>
      </w:r>
    </w:p>
    <w:p>
      <w:pPr>
        <w:spacing w:after="0" w:line="207" w:lineRule="exact"/>
        <w:rPr>
          <w:sz w:val="20"/>
          <w:szCs w:val="20"/>
          <w:color w:val="auto"/>
        </w:rPr>
      </w:pPr>
    </w:p>
    <w:p>
      <w:pPr>
        <w:ind w:left="2440"/>
        <w:spacing w:after="0"/>
        <w:tabs>
          <w:tab w:leader="none" w:pos="7420" w:val="left"/>
        </w:tabs>
        <w:rPr>
          <w:sz w:val="20"/>
          <w:szCs w:val="20"/>
          <w:color w:val="auto"/>
        </w:rPr>
      </w:pPr>
      <w:r>
        <w:rPr>
          <w:rFonts w:ascii="Arial" w:cs="Arial" w:eastAsia="Arial" w:hAnsi="Arial"/>
          <w:sz w:val="15"/>
          <w:szCs w:val="15"/>
          <w:b w:val="1"/>
          <w:bCs w:val="1"/>
          <w:color w:val="auto"/>
        </w:rPr>
        <w:t>AUTHORIZED SIGNATURE OF APPLICANT</w:t>
      </w:r>
      <w:r>
        <w:rPr>
          <w:sz w:val="20"/>
          <w:szCs w:val="20"/>
          <w:color w:val="auto"/>
        </w:rPr>
        <w:tab/>
      </w:r>
      <w:r>
        <w:rPr>
          <w:rFonts w:ascii="Arial" w:cs="Arial" w:eastAsia="Arial" w:hAnsi="Arial"/>
          <w:sz w:val="15"/>
          <w:szCs w:val="15"/>
          <w:b w:val="1"/>
          <w:bCs w:val="1"/>
          <w:color w:val="auto"/>
        </w:rPr>
        <w:t>DATE</w:t>
      </w:r>
    </w:p>
    <w:p>
      <w:pPr>
        <w:spacing w:after="0" w:line="196"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**SPECIMEN CREATED BY: RDD on 09/29/23</w:t>
      </w:r>
    </w:p>
    <w:p>
      <w:pPr>
        <w:spacing w:after="0" w:line="9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**THIS DISCLAIMER WILL BE REMOVED AT TIME OF ISSUANCE**</w:t>
      </w:r>
    </w:p>
    <w:p>
      <w:pPr>
        <w:sectPr>
          <w:pgSz w:w="11900" w:h="16838" w:orient="portrait"/>
          <w:cols w:equalWidth="0" w:num="1">
            <w:col w:w="11140"/>
          </w:cols>
          <w:pgMar w:left="380" w:top="853"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00"/>
        <w:spacing w:after="0"/>
        <w:rPr>
          <w:sz w:val="20"/>
          <w:szCs w:val="20"/>
          <w:color w:val="auto"/>
        </w:rPr>
      </w:pPr>
      <w:r>
        <w:rPr>
          <w:rFonts w:ascii="Arial" w:cs="Arial" w:eastAsia="Arial" w:hAnsi="Arial"/>
          <w:sz w:val="15"/>
          <w:szCs w:val="15"/>
          <w:b w:val="1"/>
          <w:bCs w:val="1"/>
          <w:color w:val="auto"/>
        </w:rPr>
        <w:t>Beneficiary:</w:t>
      </w:r>
    </w:p>
    <w:p>
      <w:pPr>
        <w:spacing w:after="0" w:line="28" w:lineRule="exact"/>
        <w:rPr>
          <w:sz w:val="20"/>
          <w:szCs w:val="20"/>
          <w:color w:val="auto"/>
        </w:rPr>
      </w:pPr>
    </w:p>
    <w:p>
      <w:pPr>
        <w:ind w:left="500"/>
        <w:spacing w:after="0"/>
        <w:rPr>
          <w:sz w:val="20"/>
          <w:szCs w:val="20"/>
          <w:color w:val="auto"/>
        </w:rPr>
      </w:pPr>
      <w:r>
        <w:rPr>
          <w:rFonts w:ascii="Arial" w:cs="Arial" w:eastAsia="Arial" w:hAnsi="Arial"/>
          <w:sz w:val="15"/>
          <w:szCs w:val="15"/>
          <w:color w:val="auto"/>
        </w:rPr>
        <w:t>FSP Addison Circle Limited Partnership</w:t>
      </w:r>
    </w:p>
    <w:p>
      <w:pPr>
        <w:spacing w:after="0" w:line="12" w:lineRule="exact"/>
        <w:rPr>
          <w:sz w:val="20"/>
          <w:szCs w:val="20"/>
          <w:color w:val="auto"/>
        </w:rPr>
      </w:pPr>
    </w:p>
    <w:p>
      <w:pPr>
        <w:ind w:left="500"/>
        <w:spacing w:after="0"/>
        <w:rPr>
          <w:sz w:val="20"/>
          <w:szCs w:val="20"/>
          <w:color w:val="auto"/>
        </w:rPr>
      </w:pPr>
      <w:r>
        <w:rPr>
          <w:rFonts w:ascii="Arial" w:cs="Arial" w:eastAsia="Arial" w:hAnsi="Arial"/>
          <w:sz w:val="15"/>
          <w:szCs w:val="15"/>
          <w:color w:val="auto"/>
        </w:rPr>
        <w:t>c/o Franklin Street Properties Corp.</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5"/>
          <w:szCs w:val="15"/>
          <w:color w:val="auto"/>
        </w:rPr>
        <w:t>401 Edgewater Place - Suite 200</w:t>
      </w:r>
    </w:p>
    <w:p>
      <w:pPr>
        <w:spacing w:after="0" w:line="26" w:lineRule="exact"/>
        <w:rPr>
          <w:sz w:val="20"/>
          <w:szCs w:val="20"/>
          <w:color w:val="auto"/>
        </w:rPr>
      </w:pPr>
    </w:p>
    <w:p>
      <w:pPr>
        <w:ind w:left="500"/>
        <w:spacing w:after="0"/>
        <w:rPr>
          <w:sz w:val="20"/>
          <w:szCs w:val="20"/>
          <w:color w:val="auto"/>
        </w:rPr>
      </w:pPr>
      <w:r>
        <w:rPr>
          <w:rFonts w:ascii="Arial" w:cs="Arial" w:eastAsia="Arial" w:hAnsi="Arial"/>
          <w:sz w:val="15"/>
          <w:szCs w:val="15"/>
          <w:color w:val="auto"/>
        </w:rPr>
        <w:t>Wakefield, MA 01880-6210</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5"/>
          <w:szCs w:val="15"/>
          <w:b w:val="1"/>
          <w:bCs w:val="1"/>
          <w:color w:val="auto"/>
        </w:rPr>
        <w:t>Specimen Date:</w:t>
      </w:r>
    </w:p>
    <w:p>
      <w:pPr>
        <w:spacing w:after="0" w:line="28" w:lineRule="exact"/>
        <w:rPr>
          <w:sz w:val="20"/>
          <w:szCs w:val="20"/>
          <w:color w:val="auto"/>
        </w:rPr>
      </w:pPr>
    </w:p>
    <w:p>
      <w:pPr>
        <w:ind w:left="500"/>
        <w:spacing w:after="0"/>
        <w:rPr>
          <w:sz w:val="20"/>
          <w:szCs w:val="20"/>
          <w:color w:val="auto"/>
        </w:rPr>
      </w:pPr>
      <w:r>
        <w:rPr>
          <w:rFonts w:ascii="Arial" w:cs="Arial" w:eastAsia="Arial" w:hAnsi="Arial"/>
          <w:sz w:val="15"/>
          <w:szCs w:val="15"/>
          <w:b w:val="1"/>
          <w:bCs w:val="1"/>
          <w:color w:val="auto"/>
        </w:rPr>
        <w:t>September 29, 2023</w:t>
      </w:r>
    </w:p>
    <w:p>
      <w:pPr>
        <w:spacing w:after="0" w:line="200" w:lineRule="exact"/>
        <w:rPr>
          <w:sz w:val="20"/>
          <w:szCs w:val="20"/>
          <w:color w:val="auto"/>
        </w:rPr>
      </w:pPr>
    </w:p>
    <w:p>
      <w:pPr>
        <w:spacing w:after="0" w:line="313" w:lineRule="exact"/>
        <w:rPr>
          <w:sz w:val="20"/>
          <w:szCs w:val="20"/>
          <w:color w:val="auto"/>
        </w:rPr>
      </w:pPr>
    </w:p>
    <w:p>
      <w:pPr>
        <w:ind w:left="500"/>
        <w:spacing w:after="0"/>
        <w:rPr>
          <w:sz w:val="20"/>
          <w:szCs w:val="20"/>
          <w:color w:val="auto"/>
        </w:rPr>
      </w:pPr>
      <w:r>
        <w:rPr>
          <w:rFonts w:ascii="Arial" w:cs="Arial" w:eastAsia="Arial" w:hAnsi="Arial"/>
          <w:sz w:val="15"/>
          <w:szCs w:val="15"/>
          <w:b w:val="1"/>
          <w:bCs w:val="1"/>
          <w:color w:val="auto"/>
        </w:rPr>
        <w:t>Amount:</w:t>
      </w:r>
    </w:p>
    <w:p>
      <w:pPr>
        <w:spacing w:after="0" w:line="60" w:lineRule="exact"/>
        <w:rPr>
          <w:sz w:val="20"/>
          <w:szCs w:val="20"/>
          <w:color w:val="auto"/>
        </w:rPr>
      </w:pPr>
    </w:p>
    <w:p>
      <w:pPr>
        <w:ind w:left="500"/>
        <w:spacing w:after="0"/>
        <w:rPr>
          <w:sz w:val="20"/>
          <w:szCs w:val="20"/>
          <w:color w:val="auto"/>
        </w:rPr>
      </w:pPr>
      <w:r>
        <w:rPr>
          <w:rFonts w:ascii="Arial" w:cs="Arial" w:eastAsia="Arial" w:hAnsi="Arial"/>
          <w:sz w:val="15"/>
          <w:szCs w:val="15"/>
          <w:color w:val="auto"/>
        </w:rPr>
        <w:t>USD 500,000.00 Five Hundred Thousand Only U.S. Dollars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Applicant:</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CAROFFER, LLC</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color w:val="auto"/>
        </w:rPr>
        <w:t>15601 Dallas Parkway, Suite 600</w:t>
      </w:r>
    </w:p>
    <w:p>
      <w:pPr>
        <w:spacing w:after="0"/>
        <w:rPr>
          <w:sz w:val="20"/>
          <w:szCs w:val="20"/>
          <w:color w:val="auto"/>
        </w:rPr>
      </w:pPr>
      <w:r>
        <w:rPr>
          <w:rFonts w:ascii="Arial" w:cs="Arial" w:eastAsia="Arial" w:hAnsi="Arial"/>
          <w:sz w:val="15"/>
          <w:szCs w:val="15"/>
          <w:color w:val="auto"/>
        </w:rPr>
        <w:t>Addison, TX 75001</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Date and Place of Expiry:</w:t>
      </w:r>
    </w:p>
    <w:p>
      <w:pPr>
        <w:spacing w:after="0" w:line="4" w:lineRule="exact"/>
        <w:rPr>
          <w:sz w:val="20"/>
          <w:szCs w:val="20"/>
          <w:color w:val="auto"/>
        </w:rPr>
      </w:pPr>
    </w:p>
    <w:p>
      <w:pPr>
        <w:ind w:right="200"/>
        <w:spacing w:after="0" w:line="219" w:lineRule="auto"/>
        <w:rPr>
          <w:sz w:val="20"/>
          <w:szCs w:val="20"/>
          <w:color w:val="auto"/>
        </w:rPr>
      </w:pPr>
      <w:r>
        <w:rPr>
          <w:rFonts w:ascii="Arial" w:cs="Arial" w:eastAsia="Arial" w:hAnsi="Arial"/>
          <w:sz w:val="15"/>
          <w:szCs w:val="15"/>
          <w:color w:val="auto"/>
        </w:rPr>
        <w:t>&lt;&lt;JANUARY 31</w:t>
      </w:r>
      <w:r>
        <w:rPr>
          <w:rFonts w:ascii="Arial" w:cs="Arial" w:eastAsia="Arial" w:hAnsi="Arial"/>
          <w:sz w:val="20"/>
          <w:szCs w:val="20"/>
          <w:color w:val="auto"/>
          <w:vertAlign w:val="superscript"/>
        </w:rPr>
        <w:t>ST</w:t>
      </w:r>
      <w:r>
        <w:rPr>
          <w:rFonts w:ascii="Arial" w:cs="Arial" w:eastAsia="Arial" w:hAnsi="Arial"/>
          <w:sz w:val="15"/>
          <w:szCs w:val="15"/>
          <w:color w:val="auto"/>
        </w:rPr>
        <w:t>, 2025 Expiry Date in mm/dd/yyyy format&gt;&gt; office of Issuing Bank</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(or any automatically extended date,</w:t>
      </w:r>
    </w:p>
    <w:p>
      <w:pPr>
        <w:spacing w:after="0"/>
        <w:rPr>
          <w:sz w:val="20"/>
          <w:szCs w:val="20"/>
          <w:color w:val="auto"/>
        </w:rPr>
      </w:pPr>
      <w:r>
        <w:rPr>
          <w:rFonts w:ascii="Arial" w:cs="Arial" w:eastAsia="Arial" w:hAnsi="Arial"/>
          <w:sz w:val="15"/>
          <w:szCs w:val="15"/>
          <w:b w:val="1"/>
          <w:bCs w:val="1"/>
          <w:color w:val="auto"/>
        </w:rPr>
        <w:t>as herein defined)</w:t>
      </w:r>
    </w:p>
    <w:p>
      <w:pPr>
        <w:spacing w:after="0" w:line="600" w:lineRule="exact"/>
        <w:rPr>
          <w:sz w:val="20"/>
          <w:szCs w:val="20"/>
          <w:color w:val="auto"/>
        </w:rPr>
      </w:pPr>
    </w:p>
    <w:p>
      <w:pPr>
        <w:sectPr>
          <w:pgSz w:w="11900" w:h="16838" w:orient="portrait"/>
          <w:cols w:equalWidth="0" w:num="2">
            <w:col w:w="6700" w:space="720"/>
            <w:col w:w="3720"/>
          </w:cols>
          <w:pgMar w:left="380" w:top="853" w:right="379" w:bottom="1440" w:gutter="0" w:footer="0" w:header="0"/>
          <w:type w:val="continuous"/>
        </w:sectPr>
      </w:pPr>
    </w:p>
    <w:p>
      <w:pPr>
        <w:spacing w:after="0" w:line="111" w:lineRule="exact"/>
        <w:rPr>
          <w:sz w:val="20"/>
          <w:szCs w:val="20"/>
          <w:color w:val="auto"/>
        </w:rPr>
      </w:pPr>
    </w:p>
    <w:p>
      <w:pPr>
        <w:ind w:left="300"/>
        <w:spacing w:after="0" w:line="279" w:lineRule="auto"/>
        <w:rPr>
          <w:sz w:val="20"/>
          <w:szCs w:val="20"/>
          <w:color w:val="auto"/>
        </w:rPr>
      </w:pPr>
      <w:r>
        <w:rPr>
          <w:rFonts w:ascii="Arial" w:cs="Arial" w:eastAsia="Arial" w:hAnsi="Arial"/>
          <w:sz w:val="15"/>
          <w:szCs w:val="15"/>
          <w:color w:val="auto"/>
        </w:rPr>
        <w:t>We hereby open our Irrevocable Standby Letter of Credit no. &lt;&lt;Instrument ID&gt;&gt; in your favor, for account of CAROFFER, LLC available by your draft(s) at sight on Comerica Bank when accompanied by:</w:t>
      </w:r>
    </w:p>
    <w:p>
      <w:pPr>
        <w:spacing w:after="0" w:line="36" w:lineRule="exact"/>
        <w:rPr>
          <w:sz w:val="20"/>
          <w:szCs w:val="20"/>
          <w:color w:val="auto"/>
        </w:rPr>
      </w:pPr>
    </w:p>
    <w:p>
      <w:pPr>
        <w:ind w:left="480" w:hanging="173"/>
        <w:spacing w:after="0"/>
        <w:tabs>
          <w:tab w:leader="none" w:pos="480" w:val="left"/>
        </w:tabs>
        <w:numPr>
          <w:ilvl w:val="0"/>
          <w:numId w:val="136"/>
        </w:numPr>
        <w:rPr>
          <w:rFonts w:ascii="Arial" w:cs="Arial" w:eastAsia="Arial" w:hAnsi="Arial"/>
          <w:sz w:val="15"/>
          <w:szCs w:val="15"/>
          <w:color w:val="auto"/>
        </w:rPr>
      </w:pPr>
      <w:r>
        <w:rPr>
          <w:rFonts w:ascii="Arial" w:cs="Arial" w:eastAsia="Arial" w:hAnsi="Arial"/>
          <w:sz w:val="15"/>
          <w:szCs w:val="15"/>
          <w:color w:val="auto"/>
        </w:rPr>
        <w:t>The original of this Irrevocable Standby Letter of Credit and Amendment(s) if any.</w:t>
      </w:r>
    </w:p>
    <w:p>
      <w:pPr>
        <w:spacing w:after="0" w:line="92" w:lineRule="exact"/>
        <w:rPr>
          <w:rFonts w:ascii="Arial" w:cs="Arial" w:eastAsia="Arial" w:hAnsi="Arial"/>
          <w:sz w:val="15"/>
          <w:szCs w:val="15"/>
          <w:color w:val="auto"/>
        </w:rPr>
      </w:pPr>
    </w:p>
    <w:p>
      <w:pPr>
        <w:ind w:left="300" w:right="420" w:firstLine="7"/>
        <w:spacing w:after="0" w:line="279" w:lineRule="auto"/>
        <w:tabs>
          <w:tab w:leader="none" w:pos="471" w:val="left"/>
        </w:tabs>
        <w:numPr>
          <w:ilvl w:val="0"/>
          <w:numId w:val="136"/>
        </w:numPr>
        <w:rPr>
          <w:rFonts w:ascii="Arial" w:cs="Arial" w:eastAsia="Arial" w:hAnsi="Arial"/>
          <w:sz w:val="15"/>
          <w:szCs w:val="15"/>
          <w:color w:val="auto"/>
        </w:rPr>
      </w:pPr>
      <w:r>
        <w:rPr>
          <w:rFonts w:ascii="Arial" w:cs="Arial" w:eastAsia="Arial" w:hAnsi="Arial"/>
          <w:sz w:val="15"/>
          <w:szCs w:val="15"/>
          <w:color w:val="auto"/>
        </w:rPr>
        <w:t>A written and dated statement on the beneficiary's letterhead signed by the beneficiary indicating name and title of the signer with either of the following wording:</w:t>
      </w:r>
    </w:p>
    <w:p>
      <w:pPr>
        <w:spacing w:after="0" w:line="36" w:lineRule="exact"/>
        <w:rPr>
          <w:sz w:val="20"/>
          <w:szCs w:val="20"/>
          <w:color w:val="auto"/>
        </w:rPr>
      </w:pPr>
    </w:p>
    <w:p>
      <w:pPr>
        <w:jc w:val="both"/>
        <w:ind w:left="300" w:right="60"/>
        <w:spacing w:after="0" w:line="259" w:lineRule="auto"/>
        <w:rPr>
          <w:sz w:val="20"/>
          <w:szCs w:val="20"/>
          <w:color w:val="auto"/>
        </w:rPr>
      </w:pPr>
      <w:r>
        <w:rPr>
          <w:rFonts w:ascii="Arial" w:cs="Arial" w:eastAsia="Arial" w:hAnsi="Arial"/>
          <w:sz w:val="15"/>
          <w:szCs w:val="15"/>
          <w:color w:val="auto"/>
        </w:rPr>
        <w:t>A. "The undersigned hereby certifies that: (1) the undersigned is an authorized representative of beneficiary; (II) beneficiary is the beneficiary of Standby Letter of Credit no. &lt;&lt;Instrument ID&gt;&gt; issued by Comerica Bank; and (III) beneficiary is authorized to draw down on the Standby Letter of Credit. The amount of USD (amount) is being drawn under Comerica Bank's Standby Letter of Credit no.</w:t>
      </w:r>
    </w:p>
    <w:p>
      <w:pPr>
        <w:spacing w:after="0" w:line="51" w:lineRule="exact"/>
        <w:rPr>
          <w:sz w:val="20"/>
          <w:szCs w:val="20"/>
          <w:color w:val="auto"/>
        </w:rPr>
      </w:pPr>
    </w:p>
    <w:p>
      <w:pPr>
        <w:ind w:left="300"/>
        <w:spacing w:after="0"/>
        <w:rPr>
          <w:sz w:val="20"/>
          <w:szCs w:val="20"/>
          <w:color w:val="auto"/>
        </w:rPr>
      </w:pPr>
      <w:r>
        <w:rPr>
          <w:rFonts w:ascii="Arial" w:cs="Arial" w:eastAsia="Arial" w:hAnsi="Arial"/>
          <w:sz w:val="15"/>
          <w:szCs w:val="15"/>
          <w:color w:val="auto"/>
        </w:rPr>
        <w:t>or</w:t>
      </w:r>
    </w:p>
    <w:p>
      <w:pPr>
        <w:spacing w:after="0" w:line="92" w:lineRule="exact"/>
        <w:rPr>
          <w:sz w:val="20"/>
          <w:szCs w:val="20"/>
          <w:color w:val="auto"/>
        </w:rPr>
      </w:pPr>
    </w:p>
    <w:p>
      <w:pPr>
        <w:ind w:left="300" w:right="620"/>
        <w:spacing w:after="0" w:line="279" w:lineRule="auto"/>
        <w:rPr>
          <w:sz w:val="20"/>
          <w:szCs w:val="20"/>
          <w:color w:val="auto"/>
        </w:rPr>
      </w:pPr>
      <w:r>
        <w:rPr>
          <w:rFonts w:ascii="Arial" w:cs="Arial" w:eastAsia="Arial" w:hAnsi="Arial"/>
          <w:sz w:val="15"/>
          <w:szCs w:val="15"/>
          <w:color w:val="auto"/>
        </w:rPr>
        <w:t>B. "The undersigned hereby certifies that we have received a written notice of Comerica Bank's election not to extend their Standby Letter of Credit no. &lt;&lt;Instrument ID&gt;&gt; and have not received a replacement Letter of Credit or any other financial assurance satisfactory to us from CAROFFER,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487045</wp:posOffset>
            </wp:positionV>
            <wp:extent cx="7178040" cy="4000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707">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140"/>
          </w:cols>
          <w:pgMar w:left="380" w:top="853" w:right="379" w:bottom="1440" w:gutter="0" w:footer="0" w:header="0"/>
          <w:type w:val="continuous"/>
        </w:sectPr>
      </w:pPr>
    </w:p>
    <w:bookmarkStart w:id="238" w:name="page239"/>
    <w:bookmarkEnd w:id="238"/>
    <w:p>
      <w:pPr>
        <w:spacing w:after="0"/>
        <w:rPr>
          <w:sz w:val="20"/>
          <w:szCs w:val="20"/>
          <w:color w:val="auto"/>
        </w:rPr>
      </w:pPr>
      <w:r>
        <w:rPr>
          <w:rFonts w:ascii="Arial" w:cs="Arial" w:eastAsia="Arial" w:hAnsi="Arial"/>
          <w:sz w:val="15"/>
          <w:szCs w:val="15"/>
          <w:color w:val="auto"/>
        </w:rPr>
        <w:t>Special Conditions:</w:t>
      </w:r>
    </w:p>
    <w:p>
      <w:pPr>
        <w:spacing w:after="0" w:line="92" w:lineRule="exact"/>
        <w:rPr>
          <w:sz w:val="20"/>
          <w:szCs w:val="20"/>
          <w:color w:val="auto"/>
        </w:rPr>
      </w:pPr>
    </w:p>
    <w:p>
      <w:pPr>
        <w:spacing w:after="0"/>
        <w:rPr>
          <w:sz w:val="20"/>
          <w:szCs w:val="20"/>
          <w:color w:val="auto"/>
        </w:rPr>
      </w:pPr>
      <w:r>
        <w:rPr>
          <w:rFonts w:ascii="Arial" w:cs="Arial" w:eastAsia="Arial" w:hAnsi="Arial"/>
          <w:sz w:val="15"/>
          <w:szCs w:val="15"/>
          <w:color w:val="auto"/>
        </w:rPr>
        <w:t>All signatures must be manually executed in original.</w:t>
      </w:r>
    </w:p>
    <w:p>
      <w:pPr>
        <w:spacing w:after="0" w:line="92" w:lineRule="exact"/>
        <w:rPr>
          <w:sz w:val="20"/>
          <w:szCs w:val="20"/>
          <w:color w:val="auto"/>
        </w:rPr>
      </w:pPr>
    </w:p>
    <w:p>
      <w:pPr>
        <w:spacing w:after="0"/>
        <w:rPr>
          <w:sz w:val="20"/>
          <w:szCs w:val="20"/>
          <w:color w:val="auto"/>
        </w:rPr>
      </w:pPr>
      <w:r>
        <w:rPr>
          <w:rFonts w:ascii="Arial" w:cs="Arial" w:eastAsia="Arial" w:hAnsi="Arial"/>
          <w:sz w:val="15"/>
          <w:szCs w:val="15"/>
          <w:color w:val="auto"/>
        </w:rPr>
        <w:t>All information required whether indicated by blanks, brackets or otherwise, must be completed at the time of drawing.</w:t>
      </w:r>
    </w:p>
    <w:p>
      <w:pPr>
        <w:spacing w:after="0" w:line="92" w:lineRule="exact"/>
        <w:rPr>
          <w:sz w:val="20"/>
          <w:szCs w:val="20"/>
          <w:color w:val="auto"/>
        </w:rPr>
      </w:pPr>
    </w:p>
    <w:p>
      <w:pPr>
        <w:spacing w:after="0" w:line="279" w:lineRule="auto"/>
        <w:rPr>
          <w:sz w:val="20"/>
          <w:szCs w:val="20"/>
          <w:color w:val="auto"/>
        </w:rPr>
      </w:pPr>
      <w:r>
        <w:rPr>
          <w:rFonts w:ascii="Arial" w:cs="Arial" w:eastAsia="Arial" w:hAnsi="Arial"/>
          <w:sz w:val="15"/>
          <w:szCs w:val="15"/>
          <w:color w:val="auto"/>
        </w:rPr>
        <w:t>Partial drawings and multiple presentations may be made under this Irrevocable Standby Letter of Credit, provided, however, that each such demand that is paid by us shall reduce the amount available under this Irrevocable Standby Letter of Credit.</w:t>
      </w:r>
    </w:p>
    <w:p>
      <w:pPr>
        <w:spacing w:after="0" w:line="36" w:lineRule="exact"/>
        <w:rPr>
          <w:sz w:val="20"/>
          <w:szCs w:val="20"/>
          <w:color w:val="auto"/>
        </w:rPr>
      </w:pPr>
    </w:p>
    <w:p>
      <w:pPr>
        <w:spacing w:after="0" w:line="253" w:lineRule="auto"/>
        <w:rPr>
          <w:sz w:val="20"/>
          <w:szCs w:val="20"/>
          <w:color w:val="auto"/>
        </w:rPr>
      </w:pPr>
      <w:r>
        <w:rPr>
          <w:rFonts w:ascii="Arial" w:cs="Arial" w:eastAsia="Arial" w:hAnsi="Arial"/>
          <w:sz w:val="15"/>
          <w:szCs w:val="15"/>
          <w:color w:val="auto"/>
        </w:rPr>
        <w:t>It is a condition of this Letter of Credit that it shall be deemed automatically extended without amendment for a period of one year from the present or any future expiration date, unless at least sixty (60) days prior to the expiration date we send notice to you by courier that we elect not to extend this credit for any such additional period. Said notice will be sent to the Beneficiary's address indicated above, unless a change of address is otherwise notified by you to us in writing by receipted mail or courier, quoting our Letter of Credit number. Any notice to us will be deemed effective only upon actual receipt by us at our designated office.</w:t>
      </w: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color w:val="auto"/>
        </w:rPr>
        <w:t>In no event, and without further notice from ourselves, shall the expiration date be extended beyond a final expiration date of January 31, 2030.</w:t>
      </w:r>
    </w:p>
    <w:p>
      <w:pPr>
        <w:spacing w:after="0" w:line="92" w:lineRule="exact"/>
        <w:rPr>
          <w:sz w:val="20"/>
          <w:szCs w:val="20"/>
          <w:color w:val="auto"/>
        </w:rPr>
      </w:pPr>
    </w:p>
    <w:p>
      <w:pPr>
        <w:spacing w:after="0" w:line="245" w:lineRule="auto"/>
        <w:rPr>
          <w:sz w:val="20"/>
          <w:szCs w:val="20"/>
          <w:color w:val="auto"/>
        </w:rPr>
      </w:pPr>
      <w:r>
        <w:rPr>
          <w:rFonts w:ascii="Arial" w:cs="Arial" w:eastAsia="Arial" w:hAnsi="Arial"/>
          <w:sz w:val="15"/>
          <w:szCs w:val="15"/>
          <w:color w:val="auto"/>
        </w:rPr>
        <w:t>This Standby Letter of Credit may be successively transferred in its entirety (but not in part) up to the then available amount in favor of a nominated Transferee ("Transferee"), assuming such transfer to such Transferee is in compliance with all applicable U.S. laws and regulations. If transferred, this Standby Letter of Credit must be returned to us together with our transfer form (available upon request), duly executed. We are under no obligation to transfer this Standby Letter of Credit, except to the extent and in the manner expressly consented to by us, and until all charges for the transfer are paid. In case of any transfer, the draft and any required statement must be executed by the Transferee and where the Beneficiary's name appears within this Standby Letter of Credit, the Transferee's name is automatically substituted therefore. At the time of the transfer request, the original of this Standby Letter of Credit and any amendment(s) thereto must be provided. Comerica Bank will not assume or undertake any liability or responsibility for verifying, validating or authenticating the authority or rights of any party(ies) requesting the transfer of this Letter of Credit or executing any document(s) in connection therewith. Transfer of this Letter of Credit will be effected by means of an endorsement on the reverse of the original of the Letter of Credit.</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color w:val="auto"/>
        </w:rPr>
        <w:t>All fees relating to this Letter of Credit, including any and all transfer related costs shall be paid by the Applicant.</w:t>
      </w:r>
    </w:p>
    <w:p>
      <w:pPr>
        <w:spacing w:after="0" w:line="92" w:lineRule="exact"/>
        <w:rPr>
          <w:sz w:val="20"/>
          <w:szCs w:val="20"/>
          <w:color w:val="auto"/>
        </w:rPr>
      </w:pPr>
    </w:p>
    <w:p>
      <w:pPr>
        <w:spacing w:after="0"/>
        <w:rPr>
          <w:sz w:val="20"/>
          <w:szCs w:val="20"/>
          <w:color w:val="auto"/>
        </w:rPr>
      </w:pPr>
      <w:r>
        <w:rPr>
          <w:rFonts w:ascii="Arial" w:cs="Arial" w:eastAsia="Arial" w:hAnsi="Arial"/>
          <w:sz w:val="15"/>
          <w:szCs w:val="15"/>
          <w:color w:val="auto"/>
        </w:rPr>
        <w:t>Payment of any transfer fees and/or any transfer related costs shall not be a condition precedent to transfer.</w:t>
      </w:r>
    </w:p>
    <w:p>
      <w:pPr>
        <w:spacing w:after="0" w:line="92" w:lineRule="exact"/>
        <w:rPr>
          <w:sz w:val="20"/>
          <w:szCs w:val="20"/>
          <w:color w:val="auto"/>
        </w:rPr>
      </w:pPr>
    </w:p>
    <w:p>
      <w:pPr>
        <w:spacing w:after="0"/>
        <w:rPr>
          <w:sz w:val="20"/>
          <w:szCs w:val="20"/>
          <w:color w:val="auto"/>
        </w:rPr>
      </w:pPr>
      <w:r>
        <w:rPr>
          <w:rFonts w:ascii="Arial" w:cs="Arial" w:eastAsia="Arial" w:hAnsi="Arial"/>
          <w:sz w:val="15"/>
          <w:szCs w:val="15"/>
          <w:color w:val="auto"/>
        </w:rPr>
        <w:t>Notwithstanding any preprinted wording to the contrary on our standard transfer form, payment of all transfer fees are for the Applicants account.</w:t>
      </w:r>
    </w:p>
    <w:p>
      <w:pPr>
        <w:spacing w:after="0" w:line="92" w:lineRule="exact"/>
        <w:rPr>
          <w:sz w:val="20"/>
          <w:szCs w:val="20"/>
          <w:color w:val="auto"/>
        </w:rPr>
      </w:pPr>
    </w:p>
    <w:p>
      <w:pPr>
        <w:ind w:right="520"/>
        <w:spacing w:after="0" w:line="279" w:lineRule="auto"/>
        <w:rPr>
          <w:sz w:val="20"/>
          <w:szCs w:val="20"/>
          <w:color w:val="auto"/>
        </w:rPr>
      </w:pPr>
      <w:r>
        <w:rPr>
          <w:rFonts w:ascii="Arial" w:cs="Arial" w:eastAsia="Arial" w:hAnsi="Arial"/>
          <w:sz w:val="15"/>
          <w:szCs w:val="15"/>
          <w:color w:val="auto"/>
        </w:rPr>
        <w:t>All drafts required under this Irrevocable Standby Letter of Credit must be marked: "Drawn under Comerica Bank Irrevocable Standby Letter of Credit no. &lt;&lt;Instrument ID&gt;&gt;."</w:t>
      </w:r>
    </w:p>
    <w:p>
      <w:pPr>
        <w:spacing w:after="0" w:line="36" w:lineRule="exact"/>
        <w:rPr>
          <w:sz w:val="20"/>
          <w:szCs w:val="20"/>
          <w:color w:val="auto"/>
        </w:rPr>
      </w:pPr>
    </w:p>
    <w:p>
      <w:pPr>
        <w:ind w:right="620"/>
        <w:spacing w:after="0" w:line="279" w:lineRule="auto"/>
        <w:rPr>
          <w:sz w:val="20"/>
          <w:szCs w:val="20"/>
          <w:color w:val="auto"/>
        </w:rPr>
      </w:pPr>
      <w:r>
        <w:rPr>
          <w:rFonts w:ascii="Arial" w:cs="Arial" w:eastAsia="Arial" w:hAnsi="Arial"/>
          <w:sz w:val="15"/>
          <w:szCs w:val="15"/>
          <w:color w:val="auto"/>
        </w:rPr>
        <w:t>In the case of cancellation, the original Standby Letter of Credit and all Amendments thereto must be returned to us together with a written request from Beneficiary referencing this Standby Letter of Credit number and authorizing its cancellation.</w:t>
      </w:r>
    </w:p>
    <w:p>
      <w:pPr>
        <w:spacing w:after="0" w:line="36" w:lineRule="exact"/>
        <w:rPr>
          <w:sz w:val="20"/>
          <w:szCs w:val="20"/>
          <w:color w:val="auto"/>
        </w:rPr>
      </w:pPr>
    </w:p>
    <w:p>
      <w:pPr>
        <w:spacing w:after="0" w:line="253" w:lineRule="auto"/>
        <w:rPr>
          <w:sz w:val="20"/>
          <w:szCs w:val="20"/>
          <w:color w:val="auto"/>
        </w:rPr>
      </w:pPr>
      <w:r>
        <w:rPr>
          <w:rFonts w:ascii="Arial" w:cs="Arial" w:eastAsia="Arial" w:hAnsi="Arial"/>
          <w:sz w:val="15"/>
          <w:szCs w:val="15"/>
          <w:color w:val="auto"/>
        </w:rPr>
        <w:t>This Irrevocable Standby Letter of Credit sets forth in full the terms of our undertaking and such undertaking shall not be in any way modified, amended or amplified by reference to any document, instrument or agreement referred to herein or in which this Irrevocable Standby Letter of Credit is referred to or to which this Irrevocable Standby Letter of Credit relates, and any such reference shall not be deemed to incorporate herein by reference any document, instrument 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wp:posOffset>
            </wp:positionH>
            <wp:positionV relativeFrom="paragraph">
              <wp:posOffset>499110</wp:posOffset>
            </wp:positionV>
            <wp:extent cx="7178040" cy="4000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708">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0880"/>
          </w:cols>
          <w:pgMar w:left="680" w:top="953" w:right="339" w:bottom="1440" w:gutter="0" w:footer="0" w:header="0"/>
        </w:sectPr>
      </w:pPr>
    </w:p>
    <w:bookmarkStart w:id="239" w:name="page240"/>
    <w:bookmarkEnd w:id="239"/>
    <w:p>
      <w:pPr>
        <w:spacing w:after="0" w:line="245" w:lineRule="auto"/>
        <w:rPr>
          <w:sz w:val="20"/>
          <w:szCs w:val="20"/>
          <w:color w:val="auto"/>
        </w:rPr>
      </w:pPr>
      <w:r>
        <w:rPr>
          <w:rFonts w:ascii="Arial" w:cs="Arial" w:eastAsia="Arial" w:hAnsi="Arial"/>
          <w:sz w:val="15"/>
          <w:szCs w:val="15"/>
          <w:color w:val="auto"/>
        </w:rPr>
        <w:t>We hereby engage with you that drawing(s) made under and in compliance with this Standby Letter of Credit will be duly honored upon presentation to us in person or via courier service to our address: Comerica Bank, International Trade Services, 2321 Rosecrans Ave., 5th floor, El Segundo, CA 90245, Attn: Standby Letter of Credit Dept. on or before the current or any automatically extended date. Presentation may also be effected by facsimile to Comerica Bank fax number 310 297-2885 confirmed by phone call at 310 297-2858. When presentation is made by facsimile, in lieu of presentation of the original Letter of Credit, the Beneficiary must present Beneficiary's statement that Beneficiary is in possession of the original Letter of Credit, and that the amount and date of this presentation has been noted on the back of such original. In the event of facsimile drawing, the draft(s) required hereunder will be considered to have been presented to Comerica Bank if copies of such draft(s) are received by Comerica Bank by means of a facsimile at the fax number noted above. However, the draft must include the front and back of the draft in order to evidence endorsement thereof.</w:t>
      </w:r>
    </w:p>
    <w:p>
      <w:pPr>
        <w:spacing w:after="0" w:line="156" w:lineRule="exact"/>
        <w:rPr>
          <w:sz w:val="20"/>
          <w:szCs w:val="20"/>
          <w:color w:val="auto"/>
        </w:rPr>
      </w:pPr>
    </w:p>
    <w:p>
      <w:pPr>
        <w:ind w:right="580"/>
        <w:spacing w:after="0" w:line="279" w:lineRule="auto"/>
        <w:rPr>
          <w:sz w:val="20"/>
          <w:szCs w:val="20"/>
          <w:color w:val="auto"/>
        </w:rPr>
      </w:pPr>
      <w:r>
        <w:rPr>
          <w:rFonts w:ascii="Arial" w:cs="Arial" w:eastAsia="Arial" w:hAnsi="Arial"/>
          <w:sz w:val="15"/>
          <w:szCs w:val="15"/>
          <w:color w:val="auto"/>
        </w:rPr>
        <w:t>Except so far as otherwise expressly stated herein, this Standby Letter of Credit is subject to the "International Standby Practices" (ISP 98) International Chamber of Commerce (Publication No. 590).</w:t>
      </w: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END OF SPECIMEN FORMAT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wp:posOffset>
            </wp:positionH>
            <wp:positionV relativeFrom="paragraph">
              <wp:posOffset>640715</wp:posOffset>
            </wp:positionV>
            <wp:extent cx="7178040" cy="4000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709">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0860"/>
          </w:cols>
          <w:pgMar w:left="680" w:top="1046" w:right="359" w:bottom="1440" w:gutter="0" w:footer="0" w:header="0"/>
        </w:sectPr>
      </w:pPr>
    </w:p>
    <w:bookmarkStart w:id="240" w:name="page241"/>
    <w:bookmarkEnd w:id="240"/>
    <w:p>
      <w:pPr>
        <w:jc w:val="center"/>
        <w:ind w:right="240"/>
        <w:spacing w:after="0"/>
        <w:rPr>
          <w:sz w:val="20"/>
          <w:szCs w:val="20"/>
          <w:color w:val="auto"/>
        </w:rPr>
      </w:pPr>
      <w:r>
        <w:rPr>
          <w:rFonts w:ascii="Times New Roman" w:cs="Times New Roman" w:eastAsia="Times New Roman" w:hAnsi="Times New Roman"/>
          <w:sz w:val="18"/>
          <w:szCs w:val="18"/>
          <w:b w:val="1"/>
          <w:bCs w:val="1"/>
          <w:color w:val="231F20"/>
        </w:rPr>
        <w:t>EXHIBIT B-1</w:t>
      </w:r>
    </w:p>
    <w:p>
      <w:pPr>
        <w:spacing w:after="0" w:line="24"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231F20"/>
        </w:rPr>
        <w:t>TO COMERICA LETTER OF CREDIT ATTACHED AS EXHIBIT B</w:t>
      </w:r>
    </w:p>
    <w:p>
      <w:pPr>
        <w:spacing w:after="0" w:line="183"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231F20"/>
        </w:rPr>
        <w:t>FORM OF TRANSFER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1219835" cy="262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710">
                      <a:extLst>
                        <a:ext uri="{28A0092B-C50C-407E-A947-70E740481C1C}"/>
                      </a:extLst>
                    </a:blip>
                    <a:srcRect/>
                    <a:stretch>
                      <a:fillRect/>
                    </a:stretch>
                  </pic:blipFill>
                  <pic:spPr bwMode="auto">
                    <a:xfrm>
                      <a:off x="0" y="0"/>
                      <a:ext cx="1219835" cy="262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231F20"/>
        </w:rPr>
        <w:t>Request for Full Transfer of a Standby Letter of Credit</w:t>
      </w:r>
    </w:p>
    <w:p>
      <w:pPr>
        <w:sectPr>
          <w:pgSz w:w="11900" w:h="16838" w:orient="portrait"/>
          <w:cols w:equalWidth="0" w:num="1">
            <w:col w:w="11260"/>
          </w:cols>
          <w:pgMar w:left="320" w:top="849" w:right="319" w:bottom="1440" w:gutter="0" w:footer="0" w:header="0"/>
        </w:sectPr>
      </w:pPr>
    </w:p>
    <w:p>
      <w:pPr>
        <w:spacing w:after="0" w:line="200" w:lineRule="exact"/>
        <w:rPr>
          <w:sz w:val="20"/>
          <w:szCs w:val="20"/>
          <w:color w:val="auto"/>
        </w:rPr>
      </w:pPr>
    </w:p>
    <w:p>
      <w:pPr>
        <w:spacing w:after="0" w:line="235" w:lineRule="exact"/>
        <w:rPr>
          <w:sz w:val="20"/>
          <w:szCs w:val="20"/>
          <w:color w:val="auto"/>
        </w:rPr>
      </w:pPr>
    </w:p>
    <w:p>
      <w:pPr>
        <w:spacing w:after="0"/>
        <w:tabs>
          <w:tab w:leader="none" w:pos="4500" w:val="left"/>
        </w:tabs>
        <w:rPr>
          <w:sz w:val="20"/>
          <w:szCs w:val="20"/>
          <w:color w:val="auto"/>
        </w:rPr>
      </w:pPr>
      <w:r>
        <w:rPr>
          <w:rFonts w:ascii="Times New Roman" w:cs="Times New Roman" w:eastAsia="Times New Roman" w:hAnsi="Times New Roman"/>
          <w:sz w:val="15"/>
          <w:szCs w:val="15"/>
          <w:color w:val="231F20"/>
        </w:rPr>
        <w:t>Beneficiary Name:</w:t>
      </w:r>
      <w:r>
        <w:rPr>
          <w:sz w:val="20"/>
          <w:szCs w:val="20"/>
          <w:color w:val="auto"/>
        </w:rPr>
        <w:tab/>
      </w:r>
      <w:r>
        <w:rPr>
          <w:rFonts w:ascii="Times New Roman" w:cs="Times New Roman" w:eastAsia="Times New Roman" w:hAnsi="Times New Roman"/>
          <w:sz w:val="15"/>
          <w:szCs w:val="15"/>
          <w:color w:val="231F20"/>
        </w:rPr>
        <w:t>(“Beneficiary”)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24130</wp:posOffset>
            </wp:positionV>
            <wp:extent cx="1775460" cy="762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711">
                      <a:extLst>
                        <a:ext uri="{28A0092B-C50C-407E-A947-70E740481C1C}"/>
                      </a:extLst>
                    </a:blip>
                    <a:srcRect/>
                    <a:stretch>
                      <a:fillRect/>
                    </a:stretch>
                  </pic:blipFill>
                  <pic:spPr bwMode="auto">
                    <a:xfrm>
                      <a:off x="0" y="0"/>
                      <a:ext cx="1775460" cy="762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231F20"/>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24130</wp:posOffset>
            </wp:positionV>
            <wp:extent cx="1775460" cy="762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712">
                      <a:extLst>
                        <a:ext uri="{28A0092B-C50C-407E-A947-70E740481C1C}"/>
                      </a:extLst>
                    </a:blip>
                    <a:srcRect/>
                    <a:stretch>
                      <a:fillRect/>
                    </a:stretch>
                  </pic:blipFill>
                  <pic:spPr bwMode="auto">
                    <a:xfrm>
                      <a:off x="0" y="0"/>
                      <a:ext cx="1775460" cy="7620"/>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162560</wp:posOffset>
            </wp:positionV>
            <wp:extent cx="1775460" cy="762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713">
                      <a:extLst>
                        <a:ext uri="{28A0092B-C50C-407E-A947-70E740481C1C}"/>
                      </a:extLst>
                    </a:blip>
                    <a:srcRect/>
                    <a:stretch>
                      <a:fillRect/>
                    </a:stretch>
                  </pic:blipFill>
                  <pic:spPr bwMode="auto">
                    <a:xfrm>
                      <a:off x="0" y="0"/>
                      <a:ext cx="1775460" cy="762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231F20"/>
        </w:rPr>
        <w:t>To Comerica Bank (“Comerica”)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231F20"/>
        </w:rPr>
        <w:t>International Trade Services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231F20"/>
        </w:rPr>
        <w:t>Re: Comerica Bank Standby Letter of Credit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2654300</wp:posOffset>
            </wp:positionH>
            <wp:positionV relativeFrom="paragraph">
              <wp:posOffset>24130</wp:posOffset>
            </wp:positionV>
            <wp:extent cx="2060575" cy="762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714">
                      <a:extLst>
                        <a:ext uri="{28A0092B-C50C-407E-A947-70E740481C1C}"/>
                      </a:extLst>
                    </a:blip>
                    <a:srcRect/>
                    <a:stretch>
                      <a:fillRect/>
                    </a:stretch>
                  </pic:blipFill>
                  <pic:spPr bwMode="auto">
                    <a:xfrm>
                      <a:off x="0" y="0"/>
                      <a:ext cx="2060575" cy="7620"/>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231F20"/>
        </w:rPr>
        <w:t>Dear Sir/Madam:</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231F20"/>
        </w:rPr>
        <w:t>For value received the undersigned beneficiary hereby irrevocably transfers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177165</wp:posOffset>
            </wp:positionV>
            <wp:extent cx="7138035" cy="762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715">
                      <a:extLst>
                        <a:ext uri="{28A0092B-C50C-407E-A947-70E740481C1C}"/>
                      </a:extLst>
                    </a:blip>
                    <a:srcRect/>
                    <a:stretch>
                      <a:fillRect/>
                    </a:stretch>
                  </pic:blipFill>
                  <pic:spPr bwMode="auto">
                    <a:xfrm>
                      <a:off x="0" y="0"/>
                      <a:ext cx="713803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231F20"/>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24130</wp:posOffset>
            </wp:positionV>
            <wp:extent cx="1767840" cy="762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716">
                      <a:extLst>
                        <a:ext uri="{28A0092B-C50C-407E-A947-70E740481C1C}"/>
                      </a:extLst>
                    </a:blip>
                    <a:srcRect/>
                    <a:stretch>
                      <a:fillRect/>
                    </a:stretch>
                  </pic:blipFill>
                  <pic:spPr bwMode="auto">
                    <a:xfrm>
                      <a:off x="0" y="0"/>
                      <a:ext cx="176784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080"/>
        <w:spacing w:after="0"/>
        <w:rPr>
          <w:sz w:val="20"/>
          <w:szCs w:val="20"/>
          <w:color w:val="auto"/>
        </w:rPr>
      </w:pPr>
      <w:r>
        <w:rPr>
          <w:rFonts w:ascii="Times New Roman" w:cs="Times New Roman" w:eastAsia="Times New Roman" w:hAnsi="Times New Roman"/>
          <w:sz w:val="15"/>
          <w:szCs w:val="15"/>
          <w:color w:val="231F20"/>
        </w:rPr>
        <w:t>(herein called the "Credit").</w:t>
      </w:r>
    </w:p>
    <w:p>
      <w:pPr>
        <w:spacing w:after="0" w:line="1051" w:lineRule="exact"/>
        <w:rPr>
          <w:sz w:val="20"/>
          <w:szCs w:val="20"/>
          <w:color w:val="auto"/>
        </w:rPr>
      </w:pPr>
    </w:p>
    <w:p>
      <w:pPr>
        <w:sectPr>
          <w:pgSz w:w="11900" w:h="16838" w:orient="portrait"/>
          <w:cols w:equalWidth="0" w:num="2">
            <w:col w:w="6760" w:space="720"/>
            <w:col w:w="3780"/>
          </w:cols>
          <w:pgMar w:left="320" w:top="849" w:right="319" w:bottom="1440" w:gutter="0" w:footer="0" w:header="0"/>
          <w:type w:val="continuous"/>
        </w:sectPr>
      </w:pPr>
    </w:p>
    <w:p>
      <w:pPr>
        <w:spacing w:after="0" w:line="8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231F20"/>
        </w:rPr>
        <w:t>(Name of Second Beneficiary)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147955</wp:posOffset>
            </wp:positionV>
            <wp:extent cx="2995295" cy="762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717">
                      <a:extLst>
                        <a:ext uri="{28A0092B-C50C-407E-A947-70E740481C1C}"/>
                      </a:extLst>
                    </a:blip>
                    <a:srcRect/>
                    <a:stretch>
                      <a:fillRect/>
                    </a:stretch>
                  </pic:blipFill>
                  <pic:spPr bwMode="auto">
                    <a:xfrm>
                      <a:off x="0" y="0"/>
                      <a:ext cx="2995295" cy="7620"/>
                    </a:xfrm>
                    <a:prstGeom prst="rect">
                      <a:avLst/>
                    </a:prstGeom>
                    <a:noFill/>
                  </pic:spPr>
                </pic:pic>
              </a:graphicData>
            </a:graphic>
          </wp:anchor>
        </w:drawing>
      </w:r>
    </w:p>
    <w:p>
      <w:pPr>
        <w:spacing w:after="0" w:line="222"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5"/>
          <w:szCs w:val="15"/>
          <w:color w:val="231F20"/>
        </w:rPr>
        <w:t>(Address)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231F20"/>
        </w:rPr>
        <w:t>all rights of the undersigned beneficiary to draw under the above Credit in its entirety.</w:t>
      </w:r>
    </w:p>
    <w:p>
      <w:pPr>
        <w:spacing w:after="0" w:line="21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5"/>
          <w:szCs w:val="15"/>
          <w:color w:val="231F20"/>
        </w:rPr>
        <w:t>By this transfer, all rights of the undersigned beneficiary in such Credit are transferred to the Second Beneficiary and the Second Beneficiary shall have the sole rights as beneficiary under the Credit, including sole rights relating to any increases, extensions, or other amendments. All amendments are to be advised directly to the Second Beneficiary without necessity of any consent of or notice to the undersigned beneficiary.</w:t>
      </w:r>
    </w:p>
    <w:p>
      <w:pPr>
        <w:spacing w:after="0" w:line="169"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5"/>
          <w:szCs w:val="15"/>
          <w:color w:val="231F20"/>
        </w:rPr>
        <w:t>The original of such Credit is returned herewith together with any and all amendments, and we ask that you record evidence of this transfer on the reverse of the original Credit, add your endorsement, and forward it directly to the Second Beneficiary with your customary notice of transfer.</w:t>
      </w:r>
    </w:p>
    <w:p>
      <w:pPr>
        <w:spacing w:after="0" w:line="15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5"/>
          <w:szCs w:val="15"/>
          <w:color w:val="231F20"/>
        </w:rPr>
        <w:t>The undersigned beneficiary understands and agrees that upon transfer of the Credit, we shall cease to be the beneficiary of the Credit and we represent and warrant to you that we shall not attempt to draw on the Credit or otherwise attempt to exercise our former rights under the Credit.</w:t>
      </w:r>
    </w:p>
    <w:p>
      <w:pPr>
        <w:spacing w:after="0" w:line="156"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5"/>
          <w:szCs w:val="15"/>
          <w:color w:val="231F20"/>
        </w:rPr>
        <w:t>Comerica’s transfer fees will be wired to its office, in accordance with its instructions. It is understood that this request to transfer the Credit will not be processed until such fees are paid in full, in immediately available funds, and are in Comerica’s possession.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231F20"/>
        </w:rPr>
        <w:t>By signing below, the undersigned Beneficiary agrees the instructions provided above to Comerica are binding on the Beneficiary.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647065</wp:posOffset>
            </wp:positionV>
            <wp:extent cx="7178040" cy="4000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718">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849" w:right="319" w:bottom="1440" w:gutter="0" w:footer="0" w:header="0"/>
          <w:type w:val="continuous"/>
        </w:sectPr>
      </w:pPr>
    </w:p>
    <w:bookmarkStart w:id="241" w:name="page242"/>
    <w:bookmarkEnd w:id="241"/>
    <w:p>
      <w:pPr>
        <w:jc w:val="both"/>
        <w:spacing w:after="0" w:line="268" w:lineRule="auto"/>
        <w:rPr>
          <w:sz w:val="20"/>
          <w:szCs w:val="20"/>
          <w:color w:val="auto"/>
        </w:rPr>
      </w:pPr>
      <w:r>
        <w:rPr>
          <w:rFonts w:ascii="Times New Roman" w:cs="Times New Roman" w:eastAsia="Times New Roman" w:hAnsi="Times New Roman"/>
          <w:sz w:val="15"/>
          <w:szCs w:val="15"/>
          <w:color w:val="231F20"/>
        </w:rPr>
        <w:t>The undersigned Beneficiary further represents, warrants and certifies to Comerica that the undersigned Beneficiary has the power and authority to so transfer the Credit and to execute and deliver this Transfer Form unto Comerica, and the person(s) executing this Transfer Form for and on behalf of the undersigned has/have the requisite power, authority and capacity to do so. The undersigned Beneficiary further acknowledges and agrees that Comerica has no obligation to verify the authenticity of any signature(s) nor the power, authority or capacity of the person(s) executing this Transfer Form, and Comerica shall be permitted to act upon the instructions as provided in this Transfer Form.</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231F20"/>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287020</wp:posOffset>
            </wp:positionV>
            <wp:extent cx="3557905" cy="762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719">
                      <a:extLst>
                        <a:ext uri="{28A0092B-C50C-407E-A947-70E740481C1C}"/>
                      </a:extLst>
                    </a:blip>
                    <a:srcRect/>
                    <a:stretch>
                      <a:fillRect/>
                    </a:stretch>
                  </pic:blipFill>
                  <pic:spPr bwMode="auto">
                    <a:xfrm>
                      <a:off x="0" y="0"/>
                      <a:ext cx="3557905" cy="762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231F20"/>
        </w:rPr>
        <w:t>Name of Beneficiary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155575</wp:posOffset>
            </wp:positionV>
            <wp:extent cx="3557905" cy="762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720">
                      <a:extLst>
                        <a:ext uri="{28A0092B-C50C-407E-A947-70E740481C1C}"/>
                      </a:extLst>
                    </a:blip>
                    <a:srcRect/>
                    <a:stretch>
                      <a:fillRect/>
                    </a:stretch>
                  </pic:blipFill>
                  <pic:spPr bwMode="auto">
                    <a:xfrm>
                      <a:off x="0" y="0"/>
                      <a:ext cx="3557905" cy="7620"/>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231F20"/>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155575</wp:posOffset>
            </wp:positionV>
            <wp:extent cx="3557905" cy="762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721">
                      <a:extLst>
                        <a:ext uri="{28A0092B-C50C-407E-A947-70E740481C1C}"/>
                      </a:extLst>
                    </a:blip>
                    <a:srcRect/>
                    <a:stretch>
                      <a:fillRect/>
                    </a:stretch>
                  </pic:blipFill>
                  <pic:spPr bwMode="auto">
                    <a:xfrm>
                      <a:off x="0" y="0"/>
                      <a:ext cx="3557905" cy="7620"/>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231F20"/>
        </w:rPr>
        <w:t>Print Name and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155575</wp:posOffset>
            </wp:positionV>
            <wp:extent cx="3557905" cy="762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722">
                      <a:extLst>
                        <a:ext uri="{28A0092B-C50C-407E-A947-70E740481C1C}"/>
                      </a:extLst>
                    </a:blip>
                    <a:srcRect/>
                    <a:stretch>
                      <a:fillRect/>
                    </a:stretch>
                  </pic:blipFill>
                  <pic:spPr bwMode="auto">
                    <a:xfrm>
                      <a:off x="0" y="0"/>
                      <a:ext cx="3557905" cy="7620"/>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231F20"/>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676275</wp:posOffset>
            </wp:positionV>
            <wp:extent cx="7178040" cy="4000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723">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861" w:right="319" w:bottom="1440" w:gutter="0" w:footer="0" w:header="0"/>
        </w:sectPr>
      </w:pPr>
    </w:p>
    <w:bookmarkStart w:id="242" w:name="page243"/>
    <w:bookmarkEnd w:id="242"/>
    <w:p>
      <w:pPr>
        <w:ind w:left="1167"/>
        <w:spacing w:after="0"/>
        <w:rPr>
          <w:sz w:val="20"/>
          <w:szCs w:val="20"/>
          <w:color w:val="auto"/>
        </w:rPr>
      </w:pPr>
      <w:r>
        <w:rPr>
          <w:rFonts w:ascii="Arial" w:cs="Arial" w:eastAsia="Arial" w:hAnsi="Arial"/>
          <w:sz w:val="15"/>
          <w:szCs w:val="15"/>
          <w:b w:val="1"/>
          <w:bCs w:val="1"/>
          <w:color w:val="4D4D4D"/>
        </w:rPr>
        <w:t>Comerica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-98425</wp:posOffset>
            </wp:positionV>
            <wp:extent cx="810895" cy="49657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724">
                      <a:extLst>
                        <a:ext uri="{28A0092B-C50C-407E-A947-70E740481C1C}"/>
                      </a:extLst>
                    </a:blip>
                    <a:srcRect/>
                    <a:stretch>
                      <a:fillRect/>
                    </a:stretch>
                  </pic:blipFill>
                  <pic:spPr bwMode="auto">
                    <a:xfrm>
                      <a:off x="0" y="0"/>
                      <a:ext cx="810895" cy="496570"/>
                    </a:xfrm>
                    <a:prstGeom prst="rect">
                      <a:avLst/>
                    </a:prstGeom>
                    <a:noFill/>
                  </pic:spPr>
                </pic:pic>
              </a:graphicData>
            </a:graphic>
          </wp:anchor>
        </w:drawing>
      </w:r>
    </w:p>
    <w:p>
      <w:pPr>
        <w:spacing w:after="0" w:line="3" w:lineRule="exact"/>
        <w:rPr>
          <w:sz w:val="20"/>
          <w:szCs w:val="20"/>
          <w:color w:val="auto"/>
        </w:rPr>
      </w:pPr>
    </w:p>
    <w:p>
      <w:pPr>
        <w:ind w:left="1167"/>
        <w:spacing w:after="0"/>
        <w:rPr>
          <w:sz w:val="20"/>
          <w:szCs w:val="20"/>
          <w:color w:val="auto"/>
        </w:rPr>
      </w:pPr>
      <w:r>
        <w:rPr>
          <w:rFonts w:ascii="Arial" w:cs="Arial" w:eastAsia="Arial" w:hAnsi="Arial"/>
          <w:sz w:val="14"/>
          <w:szCs w:val="14"/>
          <w:color w:val="333333"/>
        </w:rPr>
        <w:t>Letters of Credit and Trade Service</w:t>
      </w:r>
    </w:p>
    <w:p>
      <w:pPr>
        <w:ind w:left="1167"/>
        <w:spacing w:after="0"/>
        <w:rPr>
          <w:sz w:val="20"/>
          <w:szCs w:val="20"/>
          <w:color w:val="auto"/>
        </w:rPr>
      </w:pPr>
      <w:r>
        <w:rPr>
          <w:rFonts w:ascii="Arial" w:cs="Arial" w:eastAsia="Arial" w:hAnsi="Arial"/>
          <w:sz w:val="15"/>
          <w:szCs w:val="15"/>
          <w:color w:val="333333"/>
        </w:rPr>
        <w:t>2321 Rosecrans Ave. 5th Fl.</w:t>
      </w:r>
    </w:p>
    <w:p>
      <w:pPr>
        <w:ind w:left="1167"/>
        <w:spacing w:after="0" w:line="224" w:lineRule="auto"/>
        <w:rPr>
          <w:sz w:val="20"/>
          <w:szCs w:val="20"/>
          <w:color w:val="auto"/>
        </w:rPr>
      </w:pPr>
      <w:r>
        <w:rPr>
          <w:rFonts w:ascii="Arial" w:cs="Arial" w:eastAsia="Arial" w:hAnsi="Arial"/>
          <w:sz w:val="15"/>
          <w:szCs w:val="15"/>
          <w:color w:val="333333"/>
        </w:rPr>
        <w:t>El Segundo, CA 90245</w:t>
      </w:r>
    </w:p>
    <w:p>
      <w:pPr>
        <w:ind w:left="1167"/>
        <w:spacing w:after="0" w:line="224" w:lineRule="auto"/>
        <w:rPr>
          <w:sz w:val="20"/>
          <w:szCs w:val="20"/>
          <w:color w:val="auto"/>
        </w:rPr>
      </w:pPr>
      <w:r>
        <w:rPr>
          <w:rFonts w:ascii="Arial" w:cs="Arial" w:eastAsia="Arial" w:hAnsi="Arial"/>
          <w:sz w:val="15"/>
          <w:szCs w:val="15"/>
          <w:color w:val="333333"/>
        </w:rPr>
        <w:t>Tel: 310</w:t>
      </w:r>
      <w:r>
        <w:rPr>
          <w:rFonts w:ascii="Arial" w:cs="Arial" w:eastAsia="Arial" w:hAnsi="Arial"/>
          <w:sz w:val="15"/>
          <w:szCs w:val="15"/>
          <w:color w:val="757575"/>
        </w:rPr>
        <w:t>-</w:t>
      </w:r>
      <w:r>
        <w:rPr>
          <w:rFonts w:ascii="Arial" w:cs="Arial" w:eastAsia="Arial" w:hAnsi="Arial"/>
          <w:sz w:val="15"/>
          <w:szCs w:val="15"/>
          <w:color w:val="333333"/>
        </w:rPr>
        <w:t>297-2858</w:t>
      </w:r>
    </w:p>
    <w:p>
      <w:pPr>
        <w:ind w:left="1167"/>
        <w:spacing w:after="0" w:line="224" w:lineRule="auto"/>
        <w:rPr>
          <w:sz w:val="20"/>
          <w:szCs w:val="20"/>
          <w:color w:val="auto"/>
        </w:rPr>
      </w:pPr>
      <w:r>
        <w:rPr>
          <w:rFonts w:ascii="Arial" w:cs="Arial" w:eastAsia="Arial" w:hAnsi="Arial"/>
          <w:sz w:val="15"/>
          <w:szCs w:val="15"/>
          <w:color w:val="333333"/>
        </w:rPr>
        <w:t>Fax: 310-297-2885</w:t>
      </w:r>
    </w:p>
    <w:p>
      <w:pPr>
        <w:ind w:left="1167"/>
        <w:spacing w:after="0"/>
        <w:rPr>
          <w:sz w:val="20"/>
          <w:szCs w:val="20"/>
          <w:color w:val="auto"/>
        </w:rPr>
      </w:pPr>
      <w:r>
        <w:rPr>
          <w:rFonts w:ascii="Arial" w:cs="Arial" w:eastAsia="Arial" w:hAnsi="Arial"/>
          <w:sz w:val="15"/>
          <w:szCs w:val="15"/>
          <w:color w:val="333333"/>
        </w:rPr>
        <w:t>SWIFT: [SWIFT Number]</w:t>
      </w:r>
    </w:p>
    <w:p>
      <w:pPr>
        <w:spacing w:after="0" w:line="178" w:lineRule="exact"/>
        <w:rPr>
          <w:sz w:val="20"/>
          <w:szCs w:val="20"/>
          <w:color w:val="auto"/>
        </w:rPr>
      </w:pPr>
    </w:p>
    <w:p>
      <w:pPr>
        <w:ind w:left="7"/>
        <w:spacing w:after="0"/>
        <w:rPr>
          <w:sz w:val="20"/>
          <w:szCs w:val="20"/>
          <w:color w:val="auto"/>
        </w:rPr>
      </w:pPr>
      <w:r>
        <w:rPr>
          <w:rFonts w:ascii="Arial" w:cs="Arial" w:eastAsia="Arial" w:hAnsi="Arial"/>
          <w:sz w:val="21"/>
          <w:szCs w:val="21"/>
          <w:b w:val="1"/>
          <w:bCs w:val="1"/>
          <w:color w:val="333333"/>
        </w:rPr>
        <w:t>Irrevocable</w:t>
      </w:r>
    </w:p>
    <w:p>
      <w:pPr>
        <w:spacing w:after="0" w:line="20" w:lineRule="exact"/>
        <w:rPr>
          <w:sz w:val="20"/>
          <w:szCs w:val="20"/>
          <w:color w:val="auto"/>
        </w:rPr>
      </w:pPr>
    </w:p>
    <w:p>
      <w:pPr>
        <w:ind w:left="7"/>
        <w:spacing w:after="0"/>
        <w:rPr>
          <w:sz w:val="20"/>
          <w:szCs w:val="20"/>
          <w:color w:val="auto"/>
        </w:rPr>
      </w:pPr>
      <w:r>
        <w:rPr>
          <w:rFonts w:ascii="Arial" w:cs="Arial" w:eastAsia="Arial" w:hAnsi="Arial"/>
          <w:sz w:val="21"/>
          <w:szCs w:val="21"/>
          <w:b w:val="1"/>
          <w:bCs w:val="1"/>
          <w:color w:val="333333"/>
        </w:rPr>
        <w:t>Standby Letter of Credit No.:</w:t>
      </w:r>
    </w:p>
    <w:p>
      <w:pPr>
        <w:ind w:left="7"/>
        <w:spacing w:after="0"/>
        <w:rPr>
          <w:sz w:val="20"/>
          <w:szCs w:val="20"/>
          <w:color w:val="auto"/>
        </w:rPr>
      </w:pPr>
      <w:r>
        <w:rPr>
          <w:rFonts w:ascii="Arial" w:cs="Arial" w:eastAsia="Arial" w:hAnsi="Arial"/>
          <w:sz w:val="21"/>
          <w:szCs w:val="21"/>
          <w:b w:val="1"/>
          <w:bCs w:val="1"/>
          <w:color w:val="333333"/>
        </w:rPr>
        <w:t>[Letter of Credit Number]</w:t>
      </w:r>
    </w:p>
    <w:p>
      <w:pPr>
        <w:spacing w:after="0" w:line="329" w:lineRule="exact"/>
        <w:rPr>
          <w:sz w:val="20"/>
          <w:szCs w:val="20"/>
          <w:color w:val="auto"/>
        </w:rPr>
      </w:pPr>
    </w:p>
    <w:p>
      <w:pPr>
        <w:ind w:left="27"/>
        <w:spacing w:after="0"/>
        <w:rPr>
          <w:sz w:val="20"/>
          <w:szCs w:val="20"/>
          <w:color w:val="auto"/>
        </w:rPr>
      </w:pPr>
      <w:r>
        <w:rPr>
          <w:rFonts w:ascii="Arial" w:cs="Arial" w:eastAsia="Arial" w:hAnsi="Arial"/>
          <w:sz w:val="15"/>
          <w:szCs w:val="15"/>
          <w:b w:val="1"/>
          <w:bCs w:val="1"/>
          <w:color w:val="333333"/>
        </w:rPr>
        <w:t>Beneficiary:</w:t>
      </w:r>
    </w:p>
    <w:p>
      <w:pPr>
        <w:spacing w:after="0" w:line="14" w:lineRule="exact"/>
        <w:rPr>
          <w:sz w:val="20"/>
          <w:szCs w:val="20"/>
          <w:color w:val="auto"/>
        </w:rPr>
      </w:pPr>
    </w:p>
    <w:p>
      <w:pPr>
        <w:ind w:left="27"/>
        <w:spacing w:after="0"/>
        <w:rPr>
          <w:sz w:val="20"/>
          <w:szCs w:val="20"/>
          <w:color w:val="auto"/>
        </w:rPr>
      </w:pPr>
      <w:r>
        <w:rPr>
          <w:rFonts w:ascii="Arial" w:cs="Arial" w:eastAsia="Arial" w:hAnsi="Arial"/>
          <w:sz w:val="15"/>
          <w:szCs w:val="15"/>
          <w:color w:val="333333"/>
        </w:rPr>
        <w:t>FSP Addison Circle Limited</w:t>
      </w:r>
    </w:p>
    <w:p>
      <w:pPr>
        <w:spacing w:after="0" w:line="9" w:lineRule="exact"/>
        <w:rPr>
          <w:sz w:val="20"/>
          <w:szCs w:val="20"/>
          <w:color w:val="auto"/>
        </w:rPr>
      </w:pPr>
    </w:p>
    <w:p>
      <w:pPr>
        <w:ind w:left="27"/>
        <w:spacing w:after="0"/>
        <w:rPr>
          <w:sz w:val="20"/>
          <w:szCs w:val="20"/>
          <w:color w:val="auto"/>
        </w:rPr>
      </w:pPr>
      <w:r>
        <w:rPr>
          <w:rFonts w:ascii="Arial" w:cs="Arial" w:eastAsia="Arial" w:hAnsi="Arial"/>
          <w:sz w:val="15"/>
          <w:szCs w:val="15"/>
          <w:color w:val="333333"/>
        </w:rPr>
        <w:t>Partnership</w:t>
      </w:r>
    </w:p>
    <w:p>
      <w:pPr>
        <w:spacing w:after="0" w:line="23" w:lineRule="exact"/>
        <w:rPr>
          <w:sz w:val="20"/>
          <w:szCs w:val="20"/>
          <w:color w:val="auto"/>
        </w:rPr>
      </w:pPr>
    </w:p>
    <w:p>
      <w:pPr>
        <w:ind w:left="27"/>
        <w:spacing w:after="0"/>
        <w:rPr>
          <w:sz w:val="20"/>
          <w:szCs w:val="20"/>
          <w:color w:val="auto"/>
        </w:rPr>
      </w:pPr>
      <w:r>
        <w:rPr>
          <w:rFonts w:ascii="Arial" w:cs="Arial" w:eastAsia="Arial" w:hAnsi="Arial"/>
          <w:sz w:val="15"/>
          <w:szCs w:val="15"/>
          <w:color w:val="333333"/>
        </w:rPr>
        <w:t>c/o Franklin Street Properties Corp</w:t>
      </w:r>
    </w:p>
    <w:p>
      <w:pPr>
        <w:sectPr>
          <w:pgSz w:w="11900" w:h="16838" w:orient="portrait"/>
          <w:cols w:equalWidth="0" w:num="1">
            <w:col w:w="10607"/>
          </w:cols>
          <w:pgMar w:left="973" w:top="1009" w:right="319" w:bottom="1440" w:gutter="0" w:footer="0" w:header="0"/>
        </w:sectPr>
      </w:pPr>
    </w:p>
    <w:p>
      <w:pPr>
        <w:spacing w:after="0" w:line="23" w:lineRule="exact"/>
        <w:rPr>
          <w:sz w:val="20"/>
          <w:szCs w:val="20"/>
          <w:color w:val="auto"/>
        </w:rPr>
      </w:pPr>
    </w:p>
    <w:p>
      <w:pPr>
        <w:ind w:left="27"/>
        <w:spacing w:after="0"/>
        <w:rPr>
          <w:sz w:val="20"/>
          <w:szCs w:val="20"/>
          <w:color w:val="auto"/>
        </w:rPr>
      </w:pPr>
      <w:r>
        <w:rPr>
          <w:rFonts w:ascii="Arial" w:cs="Arial" w:eastAsia="Arial" w:hAnsi="Arial"/>
          <w:sz w:val="14"/>
          <w:szCs w:val="14"/>
          <w:color w:val="333333"/>
        </w:rPr>
        <w:t>401 Edgewater Place - Suite 200</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b w:val="1"/>
          <w:bCs w:val="1"/>
          <w:color w:val="333333"/>
        </w:rPr>
        <w:t>Applicant:</w:t>
      </w:r>
    </w:p>
    <w:p>
      <w:pPr>
        <w:spacing w:after="0" w:line="37" w:lineRule="exact"/>
        <w:rPr>
          <w:sz w:val="20"/>
          <w:szCs w:val="20"/>
          <w:color w:val="auto"/>
        </w:rPr>
      </w:pPr>
    </w:p>
    <w:p>
      <w:pPr>
        <w:sectPr>
          <w:pgSz w:w="11900" w:h="16838" w:orient="portrait"/>
          <w:cols w:equalWidth="0" w:num="2">
            <w:col w:w="6147" w:space="720"/>
            <w:col w:w="3740"/>
          </w:cols>
          <w:pgMar w:left="973" w:top="1009" w:right="319" w:bottom="1440" w:gutter="0" w:footer="0" w:header="0"/>
          <w:type w:val="continuous"/>
        </w:sectPr>
      </w:pPr>
    </w:p>
    <w:p>
      <w:pPr>
        <w:spacing w:after="0" w:line="2" w:lineRule="exact"/>
        <w:rPr>
          <w:sz w:val="20"/>
          <w:szCs w:val="20"/>
          <w:color w:val="auto"/>
        </w:rPr>
      </w:pPr>
    </w:p>
    <w:p>
      <w:pPr>
        <w:ind w:left="27"/>
        <w:spacing w:after="0"/>
        <w:rPr>
          <w:sz w:val="20"/>
          <w:szCs w:val="20"/>
          <w:color w:val="auto"/>
        </w:rPr>
      </w:pPr>
      <w:r>
        <w:rPr>
          <w:rFonts w:ascii="Arial" w:cs="Arial" w:eastAsia="Arial" w:hAnsi="Arial"/>
          <w:sz w:val="14"/>
          <w:szCs w:val="14"/>
          <w:color w:val="333333"/>
        </w:rPr>
        <w:t>Wakefield, MA 01880-6210, United States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333333"/>
        </w:rPr>
        <w:t>CarOffer, LLC</w:t>
      </w:r>
    </w:p>
    <w:p>
      <w:pPr>
        <w:spacing w:after="0"/>
        <w:rPr>
          <w:sz w:val="20"/>
          <w:szCs w:val="20"/>
          <w:color w:val="auto"/>
        </w:rPr>
      </w:pPr>
      <w:r>
        <w:rPr>
          <w:rFonts w:ascii="Arial" w:cs="Arial" w:eastAsia="Arial" w:hAnsi="Arial"/>
          <w:sz w:val="14"/>
          <w:szCs w:val="14"/>
          <w:color w:val="333333"/>
        </w:rPr>
        <w:t>15601 Dallas Parkway</w:t>
      </w:r>
    </w:p>
    <w:p>
      <w:pPr>
        <w:spacing w:after="0" w:line="17" w:lineRule="exact"/>
        <w:rPr>
          <w:sz w:val="20"/>
          <w:szCs w:val="20"/>
          <w:color w:val="auto"/>
        </w:rPr>
      </w:pPr>
    </w:p>
    <w:p>
      <w:pPr>
        <w:sectPr>
          <w:pgSz w:w="11900" w:h="16838" w:orient="portrait"/>
          <w:cols w:equalWidth="0" w:num="2">
            <w:col w:w="6147" w:space="720"/>
            <w:col w:w="3740"/>
          </w:cols>
          <w:pgMar w:left="973" w:top="1009" w:right="319" w:bottom="1440" w:gutter="0" w:footer="0" w:header="0"/>
          <w:type w:val="continuous"/>
        </w:sectPr>
      </w:pPr>
    </w:p>
    <w:p>
      <w:pPr>
        <w:ind w:left="6867"/>
        <w:spacing w:after="0"/>
        <w:rPr>
          <w:sz w:val="20"/>
          <w:szCs w:val="20"/>
          <w:color w:val="auto"/>
        </w:rPr>
      </w:pPr>
      <w:r>
        <w:rPr>
          <w:rFonts w:ascii="Arial" w:cs="Arial" w:eastAsia="Arial" w:hAnsi="Arial"/>
          <w:sz w:val="15"/>
          <w:szCs w:val="15"/>
          <w:color w:val="333333"/>
        </w:rPr>
        <w:t>Suite 600</w:t>
      </w:r>
    </w:p>
    <w:p>
      <w:pPr>
        <w:spacing w:after="0" w:line="6" w:lineRule="exact"/>
        <w:rPr>
          <w:sz w:val="20"/>
          <w:szCs w:val="20"/>
          <w:color w:val="auto"/>
        </w:rPr>
      </w:pPr>
    </w:p>
    <w:p>
      <w:pPr>
        <w:ind w:left="6867"/>
        <w:spacing w:after="0"/>
        <w:rPr>
          <w:sz w:val="20"/>
          <w:szCs w:val="20"/>
          <w:color w:val="auto"/>
        </w:rPr>
      </w:pPr>
      <w:r>
        <w:rPr>
          <w:rFonts w:ascii="Arial" w:cs="Arial" w:eastAsia="Arial" w:hAnsi="Arial"/>
          <w:sz w:val="14"/>
          <w:szCs w:val="14"/>
          <w:color w:val="333333"/>
        </w:rPr>
        <w:t xml:space="preserve">Addison, </w:t>
      </w:r>
      <w:r>
        <w:rPr>
          <w:rFonts w:ascii="Arial" w:cs="Arial" w:eastAsia="Arial" w:hAnsi="Arial"/>
          <w:sz w:val="14"/>
          <w:szCs w:val="14"/>
          <w:color w:val="4D4D4D"/>
        </w:rPr>
        <w:t>TX 75001 United</w:t>
      </w:r>
      <w:r>
        <w:rPr>
          <w:rFonts w:ascii="Arial" w:cs="Arial" w:eastAsia="Arial" w:hAnsi="Arial"/>
          <w:sz w:val="14"/>
          <w:szCs w:val="14"/>
          <w:color w:val="333333"/>
        </w:rPr>
        <w:t xml:space="preserve"> States</w:t>
      </w:r>
    </w:p>
    <w:p>
      <w:pPr>
        <w:sectPr>
          <w:pgSz w:w="11900" w:h="16838" w:orient="portrait"/>
          <w:cols w:equalWidth="0" w:num="1">
            <w:col w:w="10607"/>
          </w:cols>
          <w:pgMar w:left="973" w:top="1009" w:right="319" w:bottom="1440" w:gutter="0" w:footer="0" w:header="0"/>
          <w:type w:val="continuous"/>
        </w:sectPr>
      </w:pPr>
    </w:p>
    <w:p>
      <w:pPr>
        <w:spacing w:after="0" w:line="239" w:lineRule="exact"/>
        <w:rPr>
          <w:sz w:val="20"/>
          <w:szCs w:val="20"/>
          <w:color w:val="auto"/>
        </w:rPr>
      </w:pPr>
    </w:p>
    <w:p>
      <w:pPr>
        <w:ind w:left="27"/>
        <w:spacing w:after="0"/>
        <w:rPr>
          <w:sz w:val="20"/>
          <w:szCs w:val="20"/>
          <w:color w:val="auto"/>
        </w:rPr>
      </w:pPr>
      <w:r>
        <w:rPr>
          <w:rFonts w:ascii="Arial" w:cs="Arial" w:eastAsia="Arial" w:hAnsi="Arial"/>
          <w:sz w:val="14"/>
          <w:szCs w:val="14"/>
          <w:b w:val="1"/>
          <w:bCs w:val="1"/>
          <w:color w:val="333333"/>
        </w:rPr>
        <w:t>Date of Issue:</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color w:val="333333"/>
        </w:rPr>
        <w:t xml:space="preserve">Date </w:t>
      </w:r>
      <w:r>
        <w:rPr>
          <w:rFonts w:ascii="Arial" w:cs="Arial" w:eastAsia="Arial" w:hAnsi="Arial"/>
          <w:sz w:val="14"/>
          <w:szCs w:val="14"/>
          <w:b w:val="1"/>
          <w:bCs w:val="1"/>
          <w:color w:val="4D4D4D"/>
        </w:rPr>
        <w:t>and</w:t>
      </w:r>
      <w:r>
        <w:rPr>
          <w:rFonts w:ascii="Arial" w:cs="Arial" w:eastAsia="Arial" w:hAnsi="Arial"/>
          <w:sz w:val="14"/>
          <w:szCs w:val="14"/>
          <w:b w:val="1"/>
          <w:bCs w:val="1"/>
          <w:color w:val="333333"/>
        </w:rPr>
        <w:t xml:space="preserve"> Place of Expiry:</w:t>
      </w:r>
    </w:p>
    <w:p>
      <w:pPr>
        <w:spacing w:after="0" w:line="39" w:lineRule="exact"/>
        <w:rPr>
          <w:sz w:val="20"/>
          <w:szCs w:val="20"/>
          <w:color w:val="auto"/>
        </w:rPr>
      </w:pPr>
    </w:p>
    <w:p>
      <w:pPr>
        <w:sectPr>
          <w:pgSz w:w="11900" w:h="16838" w:orient="portrait"/>
          <w:cols w:equalWidth="0" w:num="2">
            <w:col w:w="6147" w:space="720"/>
            <w:col w:w="3740"/>
          </w:cols>
          <w:pgMar w:left="973" w:top="1009" w:right="319" w:bottom="1440" w:gutter="0" w:footer="0" w:header="0"/>
          <w:type w:val="continuous"/>
        </w:sectPr>
      </w:pPr>
    </w:p>
    <w:p>
      <w:pPr>
        <w:ind w:left="27"/>
        <w:spacing w:after="0"/>
        <w:rPr>
          <w:sz w:val="20"/>
          <w:szCs w:val="20"/>
          <w:color w:val="auto"/>
        </w:rPr>
      </w:pPr>
      <w:r>
        <w:rPr>
          <w:rFonts w:ascii="Arial" w:cs="Arial" w:eastAsia="Arial" w:hAnsi="Arial"/>
          <w:sz w:val="14"/>
          <w:szCs w:val="14"/>
          <w:color w:val="333333"/>
        </w:rPr>
        <w:t>November 14, 2023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4D4D4D"/>
        </w:rPr>
        <w:t xml:space="preserve">January 31, </w:t>
      </w:r>
      <w:r>
        <w:rPr>
          <w:rFonts w:ascii="Arial" w:cs="Arial" w:eastAsia="Arial" w:hAnsi="Arial"/>
          <w:sz w:val="14"/>
          <w:szCs w:val="14"/>
          <w:color w:val="333333"/>
        </w:rPr>
        <w:t>2025 office of Issuing Bank</w:t>
      </w:r>
    </w:p>
    <w:p>
      <w:pPr>
        <w:spacing w:after="0" w:line="15" w:lineRule="exact"/>
        <w:rPr>
          <w:sz w:val="20"/>
          <w:szCs w:val="20"/>
          <w:color w:val="auto"/>
        </w:rPr>
      </w:pPr>
    </w:p>
    <w:p>
      <w:pPr>
        <w:sectPr>
          <w:pgSz w:w="11900" w:h="16838" w:orient="portrait"/>
          <w:cols w:equalWidth="0" w:num="2">
            <w:col w:w="6147" w:space="720"/>
            <w:col w:w="3740"/>
          </w:cols>
          <w:pgMar w:left="973" w:top="1009" w:right="319" w:bottom="1440" w:gutter="0" w:footer="0" w:header="0"/>
          <w:type w:val="continuous"/>
        </w:sectPr>
      </w:pPr>
    </w:p>
    <w:p>
      <w:pPr>
        <w:ind w:left="6867"/>
        <w:spacing w:after="0"/>
        <w:rPr>
          <w:sz w:val="20"/>
          <w:szCs w:val="20"/>
          <w:color w:val="auto"/>
        </w:rPr>
      </w:pPr>
      <w:r>
        <w:rPr>
          <w:rFonts w:ascii="Arial" w:cs="Arial" w:eastAsia="Arial" w:hAnsi="Arial"/>
          <w:sz w:val="14"/>
          <w:szCs w:val="14"/>
          <w:color w:val="4D4D4D"/>
        </w:rPr>
        <w:t xml:space="preserve">or any </w:t>
      </w:r>
      <w:r>
        <w:rPr>
          <w:rFonts w:ascii="Arial" w:cs="Arial" w:eastAsia="Arial" w:hAnsi="Arial"/>
          <w:sz w:val="14"/>
          <w:szCs w:val="14"/>
          <w:color w:val="333333"/>
        </w:rPr>
        <w:t>automatically extended date, as herein</w:t>
      </w:r>
      <w:r>
        <w:rPr>
          <w:rFonts w:ascii="Arial" w:cs="Arial" w:eastAsia="Arial" w:hAnsi="Arial"/>
          <w:sz w:val="14"/>
          <w:szCs w:val="14"/>
          <w:color w:val="4D4D4D"/>
        </w:rPr>
        <w:t xml:space="preserve"> defined.</w:t>
      </w:r>
    </w:p>
    <w:p>
      <w:pPr>
        <w:spacing w:after="0" w:line="222" w:lineRule="exact"/>
        <w:rPr>
          <w:sz w:val="20"/>
          <w:szCs w:val="20"/>
          <w:color w:val="auto"/>
        </w:rPr>
      </w:pPr>
    </w:p>
    <w:p>
      <w:pPr>
        <w:ind w:left="27"/>
        <w:spacing w:after="0"/>
        <w:rPr>
          <w:sz w:val="20"/>
          <w:szCs w:val="20"/>
          <w:color w:val="auto"/>
        </w:rPr>
      </w:pPr>
      <w:r>
        <w:rPr>
          <w:rFonts w:ascii="Arial" w:cs="Arial" w:eastAsia="Arial" w:hAnsi="Arial"/>
          <w:sz w:val="15"/>
          <w:szCs w:val="15"/>
          <w:b w:val="1"/>
          <w:bCs w:val="1"/>
          <w:color w:val="333333"/>
        </w:rPr>
        <w:t>Amount:</w:t>
      </w:r>
    </w:p>
    <w:p>
      <w:pPr>
        <w:spacing w:after="0" w:line="14" w:lineRule="exact"/>
        <w:rPr>
          <w:sz w:val="20"/>
          <w:szCs w:val="20"/>
          <w:color w:val="auto"/>
        </w:rPr>
      </w:pPr>
    </w:p>
    <w:p>
      <w:pPr>
        <w:ind w:left="27"/>
        <w:spacing w:after="0"/>
        <w:rPr>
          <w:sz w:val="20"/>
          <w:szCs w:val="20"/>
          <w:color w:val="auto"/>
        </w:rPr>
      </w:pPr>
      <w:r>
        <w:rPr>
          <w:rFonts w:ascii="Arial" w:cs="Arial" w:eastAsia="Arial" w:hAnsi="Arial"/>
          <w:sz w:val="15"/>
          <w:szCs w:val="15"/>
          <w:color w:val="333333"/>
        </w:rPr>
        <w:t xml:space="preserve">USD 500,000.00 Five Hundred </w:t>
      </w:r>
      <w:r>
        <w:rPr>
          <w:rFonts w:ascii="Arial" w:cs="Arial" w:eastAsia="Arial" w:hAnsi="Arial"/>
          <w:sz w:val="15"/>
          <w:szCs w:val="15"/>
          <w:color w:val="4D4D4D"/>
        </w:rPr>
        <w:t>Thousand</w:t>
      </w:r>
      <w:r>
        <w:rPr>
          <w:rFonts w:ascii="Arial" w:cs="Arial" w:eastAsia="Arial" w:hAnsi="Arial"/>
          <w:sz w:val="15"/>
          <w:szCs w:val="15"/>
          <w:color w:val="333333"/>
        </w:rPr>
        <w:t xml:space="preserve"> United </w:t>
      </w:r>
      <w:r>
        <w:rPr>
          <w:rFonts w:ascii="Arial" w:cs="Arial" w:eastAsia="Arial" w:hAnsi="Arial"/>
          <w:sz w:val="15"/>
          <w:szCs w:val="15"/>
          <w:color w:val="4D4D4D"/>
        </w:rPr>
        <w:t>States</w:t>
      </w:r>
      <w:r>
        <w:rPr>
          <w:rFonts w:ascii="Arial" w:cs="Arial" w:eastAsia="Arial" w:hAnsi="Arial"/>
          <w:sz w:val="15"/>
          <w:szCs w:val="15"/>
          <w:color w:val="333333"/>
        </w:rPr>
        <w:t xml:space="preserve"> Dollars</w:t>
      </w:r>
    </w:p>
    <w:p>
      <w:pPr>
        <w:sectPr>
          <w:pgSz w:w="11900" w:h="16838" w:orient="portrait"/>
          <w:cols w:equalWidth="0" w:num="1">
            <w:col w:w="10607"/>
          </w:cols>
          <w:pgMar w:left="973" w:top="1009" w:right="319" w:bottom="1440" w:gutter="0" w:footer="0" w:header="0"/>
          <w:type w:val="continuous"/>
        </w:sectPr>
      </w:pPr>
    </w:p>
    <w:p>
      <w:pPr>
        <w:spacing w:after="0" w:line="320" w:lineRule="exact"/>
        <w:rPr>
          <w:sz w:val="20"/>
          <w:szCs w:val="20"/>
          <w:color w:val="auto"/>
        </w:rPr>
      </w:pPr>
    </w:p>
    <w:p>
      <w:pPr>
        <w:ind w:left="7" w:right="40"/>
        <w:spacing w:after="0" w:line="251" w:lineRule="auto"/>
        <w:rPr>
          <w:sz w:val="20"/>
          <w:szCs w:val="20"/>
          <w:color w:val="auto"/>
        </w:rPr>
      </w:pPr>
      <w:r>
        <w:rPr>
          <w:rFonts w:ascii="Arial" w:cs="Arial" w:eastAsia="Arial" w:hAnsi="Arial"/>
          <w:sz w:val="15"/>
          <w:szCs w:val="15"/>
          <w:color w:val="333333"/>
        </w:rPr>
        <w:t xml:space="preserve">We hereby open our </w:t>
      </w:r>
      <w:r>
        <w:rPr>
          <w:rFonts w:ascii="Arial" w:cs="Arial" w:eastAsia="Arial" w:hAnsi="Arial"/>
          <w:sz w:val="15"/>
          <w:szCs w:val="15"/>
          <w:color w:val="131313"/>
        </w:rPr>
        <w:t>I</w:t>
      </w:r>
      <w:r>
        <w:rPr>
          <w:rFonts w:ascii="Arial" w:cs="Arial" w:eastAsia="Arial" w:hAnsi="Arial"/>
          <w:sz w:val="15"/>
          <w:szCs w:val="15"/>
          <w:color w:val="333333"/>
        </w:rPr>
        <w:t>rr</w:t>
      </w:r>
      <w:r>
        <w:rPr>
          <w:rFonts w:ascii="Arial" w:cs="Arial" w:eastAsia="Arial" w:hAnsi="Arial"/>
          <w:sz w:val="15"/>
          <w:szCs w:val="15"/>
          <w:color w:val="4D4D4D"/>
        </w:rPr>
        <w:t>e</w:t>
      </w:r>
      <w:r>
        <w:rPr>
          <w:rFonts w:ascii="Arial" w:cs="Arial" w:eastAsia="Arial" w:hAnsi="Arial"/>
          <w:sz w:val="15"/>
          <w:szCs w:val="15"/>
          <w:color w:val="333333"/>
        </w:rPr>
        <w:t>vo</w:t>
      </w:r>
      <w:r>
        <w:rPr>
          <w:rFonts w:ascii="Arial" w:cs="Arial" w:eastAsia="Arial" w:hAnsi="Arial"/>
          <w:sz w:val="15"/>
          <w:szCs w:val="15"/>
          <w:color w:val="4D4D4D"/>
        </w:rPr>
        <w:t>cab</w:t>
      </w:r>
      <w:r>
        <w:rPr>
          <w:rFonts w:ascii="Arial" w:cs="Arial" w:eastAsia="Arial" w:hAnsi="Arial"/>
          <w:sz w:val="15"/>
          <w:szCs w:val="15"/>
          <w:color w:val="131313"/>
        </w:rPr>
        <w:t>l</w:t>
      </w:r>
      <w:r>
        <w:rPr>
          <w:rFonts w:ascii="Arial" w:cs="Arial" w:eastAsia="Arial" w:hAnsi="Arial"/>
          <w:sz w:val="15"/>
          <w:szCs w:val="15"/>
          <w:color w:val="4D4D4D"/>
        </w:rPr>
        <w:t>e</w:t>
      </w:r>
      <w:r>
        <w:rPr>
          <w:rFonts w:ascii="Arial" w:cs="Arial" w:eastAsia="Arial" w:hAnsi="Arial"/>
          <w:sz w:val="15"/>
          <w:szCs w:val="15"/>
          <w:color w:val="333333"/>
        </w:rPr>
        <w:t xml:space="preserve"> Standby Letter of Credit no. [letter of credit number] in your favor, for account of CAROFFER, LLC available by your draft(s) at sight on Comerica Bank when accompanied by</w:t>
      </w:r>
      <w:r>
        <w:rPr>
          <w:rFonts w:ascii="Arial" w:cs="Arial" w:eastAsia="Arial" w:hAnsi="Arial"/>
          <w:sz w:val="15"/>
          <w:szCs w:val="15"/>
          <w:color w:val="757575"/>
        </w:rPr>
        <w:t>:</w:t>
      </w:r>
    </w:p>
    <w:p>
      <w:pPr>
        <w:spacing w:after="0" w:line="122" w:lineRule="exact"/>
        <w:rPr>
          <w:sz w:val="20"/>
          <w:szCs w:val="20"/>
          <w:color w:val="auto"/>
        </w:rPr>
      </w:pPr>
    </w:p>
    <w:p>
      <w:pPr>
        <w:ind w:left="167" w:hanging="167"/>
        <w:spacing w:after="0"/>
        <w:tabs>
          <w:tab w:leader="none" w:pos="167" w:val="left"/>
        </w:tabs>
        <w:numPr>
          <w:ilvl w:val="0"/>
          <w:numId w:val="137"/>
        </w:numPr>
        <w:rPr>
          <w:rFonts w:ascii="Arial" w:cs="Arial" w:eastAsia="Arial" w:hAnsi="Arial"/>
          <w:sz w:val="15"/>
          <w:szCs w:val="15"/>
          <w:color w:val="333333"/>
        </w:rPr>
      </w:pPr>
      <w:r>
        <w:rPr>
          <w:rFonts w:ascii="Arial" w:cs="Arial" w:eastAsia="Arial" w:hAnsi="Arial"/>
          <w:sz w:val="15"/>
          <w:szCs w:val="15"/>
          <w:color w:val="333333"/>
        </w:rPr>
        <w:t>The original of this Irrevocable Standby Letter of Credit and Amendment(s) if any.</w:t>
      </w:r>
    </w:p>
    <w:p>
      <w:pPr>
        <w:spacing w:after="0" w:line="138" w:lineRule="exact"/>
        <w:rPr>
          <w:rFonts w:ascii="Arial" w:cs="Arial" w:eastAsia="Arial" w:hAnsi="Arial"/>
          <w:sz w:val="15"/>
          <w:szCs w:val="15"/>
          <w:color w:val="333333"/>
        </w:rPr>
      </w:pPr>
    </w:p>
    <w:p>
      <w:pPr>
        <w:ind w:left="167" w:hanging="167"/>
        <w:spacing w:after="0"/>
        <w:tabs>
          <w:tab w:leader="none" w:pos="167" w:val="left"/>
        </w:tabs>
        <w:numPr>
          <w:ilvl w:val="0"/>
          <w:numId w:val="137"/>
        </w:numPr>
        <w:rPr>
          <w:rFonts w:ascii="Arial" w:cs="Arial" w:eastAsia="Arial" w:hAnsi="Arial"/>
          <w:sz w:val="14"/>
          <w:szCs w:val="14"/>
          <w:color w:val="333333"/>
        </w:rPr>
      </w:pPr>
      <w:r>
        <w:rPr>
          <w:rFonts w:ascii="Arial" w:cs="Arial" w:eastAsia="Arial" w:hAnsi="Arial"/>
          <w:sz w:val="14"/>
          <w:szCs w:val="14"/>
          <w:color w:val="333333"/>
        </w:rPr>
        <w:t>A written and dated statement on the beneficiary's letterhead signed by the beneficiary indicating name and title of the signer with either of the following wording:</w:t>
      </w:r>
    </w:p>
    <w:p>
      <w:pPr>
        <w:spacing w:after="0" w:line="150" w:lineRule="exact"/>
        <w:rPr>
          <w:sz w:val="20"/>
          <w:szCs w:val="20"/>
          <w:color w:val="auto"/>
        </w:rPr>
      </w:pPr>
    </w:p>
    <w:p>
      <w:pPr>
        <w:jc w:val="both"/>
        <w:ind w:left="7" w:right="260"/>
        <w:spacing w:after="0" w:line="238" w:lineRule="auto"/>
        <w:rPr>
          <w:sz w:val="20"/>
          <w:szCs w:val="20"/>
          <w:color w:val="auto"/>
        </w:rPr>
      </w:pPr>
      <w:r>
        <w:rPr>
          <w:rFonts w:ascii="Arial" w:cs="Arial" w:eastAsia="Arial" w:hAnsi="Arial"/>
          <w:sz w:val="15"/>
          <w:szCs w:val="15"/>
          <w:color w:val="333333"/>
        </w:rPr>
        <w:t>A. "The undersigned hereby certifies that: (I) the undersigned is an authorized representative of beneficiary; (II) beneficiary is the beneficiary of Standby Letter of Credit no. [letter of credit number] issued by Comerica Bank; and (III) beneficiary is authorized to draw down on the Standby Letter of Credit. The amount of USD (amount) is being drawn under Comerica Bank's Standby Letter of Credit no. [letter of credit number].</w:t>
      </w:r>
    </w:p>
    <w:p>
      <w:pPr>
        <w:spacing w:after="0" w:line="131" w:lineRule="exact"/>
        <w:rPr>
          <w:sz w:val="20"/>
          <w:szCs w:val="20"/>
          <w:color w:val="auto"/>
        </w:rPr>
      </w:pPr>
    </w:p>
    <w:p>
      <w:pPr>
        <w:ind w:left="7"/>
        <w:spacing w:after="0"/>
        <w:rPr>
          <w:sz w:val="20"/>
          <w:szCs w:val="20"/>
          <w:color w:val="auto"/>
        </w:rPr>
      </w:pPr>
      <w:r>
        <w:rPr>
          <w:rFonts w:ascii="Arial" w:cs="Arial" w:eastAsia="Arial" w:hAnsi="Arial"/>
          <w:sz w:val="15"/>
          <w:szCs w:val="15"/>
          <w:color w:val="333333"/>
        </w:rPr>
        <w:t>or</w:t>
      </w:r>
    </w:p>
    <w:p>
      <w:pPr>
        <w:spacing w:after="0" w:line="143" w:lineRule="exact"/>
        <w:rPr>
          <w:sz w:val="20"/>
          <w:szCs w:val="20"/>
          <w:color w:val="auto"/>
        </w:rPr>
      </w:pPr>
    </w:p>
    <w:p>
      <w:pPr>
        <w:ind w:left="7" w:right="380"/>
        <w:spacing w:after="0" w:line="279" w:lineRule="auto"/>
        <w:rPr>
          <w:sz w:val="20"/>
          <w:szCs w:val="20"/>
          <w:color w:val="auto"/>
        </w:rPr>
      </w:pPr>
      <w:r>
        <w:rPr>
          <w:rFonts w:ascii="Arial" w:cs="Arial" w:eastAsia="Arial" w:hAnsi="Arial"/>
          <w:sz w:val="15"/>
          <w:szCs w:val="15"/>
          <w:color w:val="414141"/>
        </w:rPr>
        <w:t xml:space="preserve">B. "The </w:t>
      </w:r>
      <w:r>
        <w:rPr>
          <w:rFonts w:ascii="Arial" w:cs="Arial" w:eastAsia="Arial" w:hAnsi="Arial"/>
          <w:sz w:val="15"/>
          <w:szCs w:val="15"/>
          <w:color w:val="2D2D2D"/>
        </w:rPr>
        <w:t>undersigned hereby certifies that we have received a written notice of Comerica Bank's election not to extend their Standby Letter of Credit no.</w:t>
      </w:r>
      <w:r>
        <w:rPr>
          <w:rFonts w:ascii="Arial" w:cs="Arial" w:eastAsia="Arial" w:hAnsi="Arial"/>
          <w:sz w:val="15"/>
          <w:szCs w:val="15"/>
          <w:color w:val="414141"/>
        </w:rPr>
        <w:t xml:space="preserve"> </w:t>
      </w:r>
      <w:r>
        <w:rPr>
          <w:rFonts w:ascii="Arial" w:cs="Arial" w:eastAsia="Arial" w:hAnsi="Arial"/>
          <w:sz w:val="14"/>
          <w:szCs w:val="14"/>
          <w:color w:val="333333"/>
        </w:rPr>
        <w:t xml:space="preserve">[letter of credit number] </w:t>
      </w:r>
      <w:r>
        <w:rPr>
          <w:rFonts w:ascii="Arial" w:cs="Arial" w:eastAsia="Arial" w:hAnsi="Arial"/>
          <w:sz w:val="15"/>
          <w:szCs w:val="15"/>
          <w:color w:val="2D2D2D"/>
        </w:rPr>
        <w:t>and have not received a replacement Letter of Credit or any other financial assurance satisfactory to us from CAROFFER, LLC."</w:t>
      </w:r>
    </w:p>
    <w:p>
      <w:pPr>
        <w:spacing w:after="0" w:line="94" w:lineRule="exact"/>
        <w:rPr>
          <w:sz w:val="20"/>
          <w:szCs w:val="20"/>
          <w:color w:val="auto"/>
        </w:rPr>
      </w:pPr>
    </w:p>
    <w:p>
      <w:pPr>
        <w:ind w:left="7"/>
        <w:spacing w:after="0"/>
        <w:rPr>
          <w:sz w:val="20"/>
          <w:szCs w:val="20"/>
          <w:color w:val="auto"/>
        </w:rPr>
      </w:pPr>
      <w:r>
        <w:rPr>
          <w:rFonts w:ascii="Arial" w:cs="Arial" w:eastAsia="Arial" w:hAnsi="Arial"/>
          <w:sz w:val="15"/>
          <w:szCs w:val="15"/>
          <w:color w:val="2D2D2D"/>
        </w:rPr>
        <w:t>Special Conditions:</w:t>
      </w:r>
    </w:p>
    <w:p>
      <w:pPr>
        <w:spacing w:after="0" w:line="161" w:lineRule="exact"/>
        <w:rPr>
          <w:sz w:val="20"/>
          <w:szCs w:val="20"/>
          <w:color w:val="auto"/>
        </w:rPr>
      </w:pPr>
    </w:p>
    <w:p>
      <w:pPr>
        <w:ind w:left="7"/>
        <w:spacing w:after="0"/>
        <w:rPr>
          <w:sz w:val="20"/>
          <w:szCs w:val="20"/>
          <w:color w:val="auto"/>
        </w:rPr>
      </w:pPr>
      <w:r>
        <w:rPr>
          <w:rFonts w:ascii="Arial" w:cs="Arial" w:eastAsia="Arial" w:hAnsi="Arial"/>
          <w:sz w:val="15"/>
          <w:szCs w:val="15"/>
          <w:color w:val="2D2D2D"/>
        </w:rPr>
        <w:t>All signatures must be manually executed in original.</w:t>
      </w:r>
    </w:p>
    <w:p>
      <w:pPr>
        <w:spacing w:after="0" w:line="150" w:lineRule="exact"/>
        <w:rPr>
          <w:sz w:val="20"/>
          <w:szCs w:val="20"/>
          <w:color w:val="auto"/>
        </w:rPr>
      </w:pPr>
    </w:p>
    <w:p>
      <w:pPr>
        <w:ind w:left="7"/>
        <w:spacing w:after="0"/>
        <w:rPr>
          <w:sz w:val="20"/>
          <w:szCs w:val="20"/>
          <w:color w:val="auto"/>
        </w:rPr>
      </w:pPr>
      <w:r>
        <w:rPr>
          <w:rFonts w:ascii="Arial" w:cs="Arial" w:eastAsia="Arial" w:hAnsi="Arial"/>
          <w:sz w:val="15"/>
          <w:szCs w:val="15"/>
          <w:color w:val="2D2D2D"/>
        </w:rPr>
        <w:t>All information required whether indicated by blanks, brackets or otherwise, must be completed at the time of drawing</w:t>
      </w:r>
      <w:r>
        <w:rPr>
          <w:rFonts w:ascii="Arial" w:cs="Arial" w:eastAsia="Arial" w:hAnsi="Arial"/>
          <w:sz w:val="15"/>
          <w:szCs w:val="15"/>
          <w:color w:val="646464"/>
        </w:rPr>
        <w:t>.</w:t>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2"/>
          <w:szCs w:val="12"/>
          <w:color w:val="2B2B2B"/>
        </w:rPr>
        <w:t>Page 1 of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wp:posOffset>
            </wp:positionH>
            <wp:positionV relativeFrom="paragraph">
              <wp:posOffset>379730</wp:posOffset>
            </wp:positionV>
            <wp:extent cx="7178040" cy="4000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725">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0607"/>
          </w:cols>
          <w:pgMar w:left="973" w:top="1009" w:right="319" w:bottom="1440" w:gutter="0" w:footer="0" w:header="0"/>
          <w:type w:val="continuous"/>
        </w:sectPr>
      </w:pPr>
    </w:p>
    <w:bookmarkStart w:id="243" w:name="page244"/>
    <w:bookmarkEnd w:id="243"/>
    <w:p>
      <w:pPr>
        <w:ind w:left="1180"/>
        <w:spacing w:after="0"/>
        <w:rPr>
          <w:sz w:val="20"/>
          <w:szCs w:val="20"/>
          <w:color w:val="auto"/>
        </w:rPr>
      </w:pPr>
      <w:r>
        <w:rPr>
          <w:rFonts w:ascii="Arial" w:cs="Arial" w:eastAsia="Arial" w:hAnsi="Arial"/>
          <w:sz w:val="15"/>
          <w:szCs w:val="15"/>
          <w:b w:val="1"/>
          <w:bCs w:val="1"/>
          <w:color w:val="4D4D4D"/>
        </w:rPr>
        <w:t>Comerica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wp:posOffset>
            </wp:positionH>
            <wp:positionV relativeFrom="paragraph">
              <wp:posOffset>-98425</wp:posOffset>
            </wp:positionV>
            <wp:extent cx="810895" cy="49657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726">
                      <a:extLst>
                        <a:ext uri="{28A0092B-C50C-407E-A947-70E740481C1C}"/>
                      </a:extLst>
                    </a:blip>
                    <a:srcRect/>
                    <a:stretch>
                      <a:fillRect/>
                    </a:stretch>
                  </pic:blipFill>
                  <pic:spPr bwMode="auto">
                    <a:xfrm>
                      <a:off x="0" y="0"/>
                      <a:ext cx="810895" cy="496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0" w:right="80"/>
        <w:spacing w:after="0" w:line="279" w:lineRule="auto"/>
        <w:rPr>
          <w:sz w:val="20"/>
          <w:szCs w:val="20"/>
          <w:color w:val="auto"/>
        </w:rPr>
      </w:pPr>
      <w:r>
        <w:rPr>
          <w:rFonts w:ascii="Arial" w:cs="Arial" w:eastAsia="Arial" w:hAnsi="Arial"/>
          <w:sz w:val="15"/>
          <w:szCs w:val="15"/>
          <w:color w:val="2D2D2D"/>
        </w:rPr>
        <w:t>Partial drawings and multiple presentations may be made under this Irrevocable Standby Letter of Credit, provided, however, that each such demand that is paid by us shall reduce the amount available under this Irrevocable Standby Letter of Credit.</w:t>
      </w:r>
    </w:p>
    <w:p>
      <w:pPr>
        <w:spacing w:after="0" w:line="105" w:lineRule="exact"/>
        <w:rPr>
          <w:sz w:val="20"/>
          <w:szCs w:val="20"/>
          <w:color w:val="auto"/>
        </w:rPr>
      </w:pPr>
    </w:p>
    <w:p>
      <w:pPr>
        <w:ind w:left="20" w:right="100"/>
        <w:spacing w:after="0" w:line="249" w:lineRule="auto"/>
        <w:rPr>
          <w:sz w:val="20"/>
          <w:szCs w:val="20"/>
          <w:color w:val="auto"/>
        </w:rPr>
      </w:pPr>
      <w:r>
        <w:rPr>
          <w:rFonts w:ascii="Arial" w:cs="Arial" w:eastAsia="Arial" w:hAnsi="Arial"/>
          <w:sz w:val="15"/>
          <w:szCs w:val="15"/>
          <w:color w:val="2D2D2D"/>
        </w:rPr>
        <w:t xml:space="preserve">It is a condition of this Letter of Credit that </w:t>
      </w:r>
      <w:r>
        <w:rPr>
          <w:rFonts w:ascii="Arial" w:cs="Arial" w:eastAsia="Arial" w:hAnsi="Arial"/>
          <w:sz w:val="15"/>
          <w:szCs w:val="15"/>
          <w:i w:val="1"/>
          <w:iCs w:val="1"/>
          <w:color w:val="2D2D2D"/>
        </w:rPr>
        <w:t>it</w:t>
      </w:r>
      <w:r>
        <w:rPr>
          <w:rFonts w:ascii="Arial" w:cs="Arial" w:eastAsia="Arial" w:hAnsi="Arial"/>
          <w:sz w:val="15"/>
          <w:szCs w:val="15"/>
          <w:color w:val="2D2D2D"/>
        </w:rPr>
        <w:t xml:space="preserve"> shall be deemed automatically extended without amendment for a period of one year from the present or any future expiration date, unless at least sixty (60) days prior to the expiration date we send notice to you by courier that we elect not to extend this credit for any such additional period. Said notice will be sent to the Beneficiary's address indicated above, unless a change of address is otherwise notified by you to us in writing by receipted mail or courier, quoting our Letter of Credit number. Any notice to us will be deemed effective only upon actual receipt by us at our designated office.</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5"/>
          <w:szCs w:val="15"/>
          <w:color w:val="2D2D2D"/>
        </w:rPr>
        <w:t>In no event, and without further notice from ourselves, shall the expiration date be extended beyond a final expiration date of January 31, 2030.</w:t>
      </w:r>
    </w:p>
    <w:p>
      <w:pPr>
        <w:spacing w:after="0" w:line="150" w:lineRule="exact"/>
        <w:rPr>
          <w:sz w:val="20"/>
          <w:szCs w:val="20"/>
          <w:color w:val="auto"/>
        </w:rPr>
      </w:pPr>
    </w:p>
    <w:p>
      <w:pPr>
        <w:ind w:right="40" w:firstLine="4"/>
        <w:spacing w:after="0" w:line="245" w:lineRule="auto"/>
        <w:rPr>
          <w:sz w:val="20"/>
          <w:szCs w:val="20"/>
          <w:color w:val="auto"/>
        </w:rPr>
      </w:pPr>
      <w:r>
        <w:rPr>
          <w:rFonts w:ascii="Arial" w:cs="Arial" w:eastAsia="Arial" w:hAnsi="Arial"/>
          <w:sz w:val="15"/>
          <w:szCs w:val="15"/>
          <w:color w:val="2D2D2D"/>
        </w:rPr>
        <w:t>This Standby Letter of Credit may be successively transferred in its entirety (but not in part) up to the then available amount in favor of a nominated Transferee ("Transferee"), assuming such transfer to such Transferee is in compliance with all applicable U.S. laws and regulations. If transferred, this Standby Letter of Credit must be returned to us together with our transfer form (available upon request), duly executed. We are under no obligation to transfer this Standby Letter of Credit, except to the extent and in the manner expressly consented to by us, and until all charges for the transfer are paid. In case of any transfer, the draft and any required statement must be executed by the Transferee and where the Beneficiary's name appears within this Standby Letter of Credit, the Transferee's name is automatically substituted therefore. At the time of the transfer request, the original of this Standby Letter of Credit and any amendment(s) thereto must be provided</w:t>
      </w:r>
      <w:r>
        <w:rPr>
          <w:rFonts w:ascii="Arial" w:cs="Arial" w:eastAsia="Arial" w:hAnsi="Arial"/>
          <w:sz w:val="15"/>
          <w:szCs w:val="15"/>
          <w:color w:val="646464"/>
        </w:rPr>
        <w:t>.</w:t>
      </w:r>
      <w:r>
        <w:rPr>
          <w:rFonts w:ascii="Arial" w:cs="Arial" w:eastAsia="Arial" w:hAnsi="Arial"/>
          <w:sz w:val="15"/>
          <w:szCs w:val="15"/>
          <w:color w:val="2D2D2D"/>
        </w:rPr>
        <w:t xml:space="preserve"> Comerica Bank will not assume or undertake any liability or responsibility for verifying, validating or authenticating the authority or rights of any party(ies) requesting the transfer of this Letter of Credit or executing any document(s) in connection therewith. Transfer of this Letter of Credit will be effected by means of an endorsement on the reverse of the original of the Letter of Credit.</w:t>
      </w:r>
    </w:p>
    <w:p>
      <w:pPr>
        <w:spacing w:after="0" w:line="130" w:lineRule="exact"/>
        <w:rPr>
          <w:sz w:val="20"/>
          <w:szCs w:val="20"/>
          <w:color w:val="auto"/>
        </w:rPr>
      </w:pPr>
    </w:p>
    <w:p>
      <w:pPr>
        <w:ind w:left="20" w:right="240" w:firstLine="6"/>
        <w:spacing w:after="0" w:line="249" w:lineRule="auto"/>
        <w:rPr>
          <w:sz w:val="20"/>
          <w:szCs w:val="20"/>
          <w:color w:val="auto"/>
        </w:rPr>
      </w:pPr>
      <w:r>
        <w:rPr>
          <w:rFonts w:ascii="Arial" w:cs="Arial" w:eastAsia="Arial" w:hAnsi="Arial"/>
          <w:sz w:val="15"/>
          <w:szCs w:val="15"/>
          <w:color w:val="2D2D2D"/>
        </w:rPr>
        <w:t xml:space="preserve">All </w:t>
      </w:r>
      <w:r>
        <w:rPr>
          <w:rFonts w:ascii="Arial" w:cs="Arial" w:eastAsia="Arial" w:hAnsi="Arial"/>
          <w:sz w:val="15"/>
          <w:szCs w:val="15"/>
          <w:color w:val="414141"/>
        </w:rPr>
        <w:t>fees</w:t>
      </w:r>
      <w:r>
        <w:rPr>
          <w:rFonts w:ascii="Arial" w:cs="Arial" w:eastAsia="Arial" w:hAnsi="Arial"/>
          <w:sz w:val="15"/>
          <w:szCs w:val="15"/>
          <w:color w:val="2D2D2D"/>
        </w:rPr>
        <w:t xml:space="preserve"> relating to this Letter of Credit, including any and all transfer related costs shall </w:t>
      </w:r>
      <w:r>
        <w:rPr>
          <w:rFonts w:ascii="Arial" w:cs="Arial" w:eastAsia="Arial" w:hAnsi="Arial"/>
          <w:sz w:val="15"/>
          <w:szCs w:val="15"/>
          <w:color w:val="414141"/>
        </w:rPr>
        <w:t>be</w:t>
      </w:r>
      <w:r>
        <w:rPr>
          <w:rFonts w:ascii="Arial" w:cs="Arial" w:eastAsia="Arial" w:hAnsi="Arial"/>
          <w:sz w:val="15"/>
          <w:szCs w:val="15"/>
          <w:color w:val="2D2D2D"/>
        </w:rPr>
        <w:t xml:space="preserve"> paid by the Applicant. Payment of any transfer fees and/or any transfer related costs shall not be a condition precedent to transfer.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5"/>
          <w:szCs w:val="15"/>
          <w:color w:val="2B2B2B"/>
        </w:rPr>
        <w:t>Notwithstanding any preprinted wording to the contrary on our standard transfer form, payment of all transfer fees are for the Applicants account.</w:t>
      </w:r>
    </w:p>
    <w:p>
      <w:pPr>
        <w:spacing w:after="0" w:line="159" w:lineRule="exact"/>
        <w:rPr>
          <w:sz w:val="20"/>
          <w:szCs w:val="20"/>
          <w:color w:val="auto"/>
        </w:rPr>
      </w:pPr>
    </w:p>
    <w:p>
      <w:pPr>
        <w:ind w:left="20" w:right="260" w:firstLine="4"/>
        <w:spacing w:after="0" w:line="249" w:lineRule="auto"/>
        <w:rPr>
          <w:sz w:val="20"/>
          <w:szCs w:val="20"/>
          <w:color w:val="auto"/>
        </w:rPr>
      </w:pPr>
      <w:r>
        <w:rPr>
          <w:rFonts w:ascii="Arial" w:cs="Arial" w:eastAsia="Arial" w:hAnsi="Arial"/>
          <w:sz w:val="15"/>
          <w:szCs w:val="15"/>
          <w:color w:val="2B2B2B"/>
        </w:rPr>
        <w:t>All drafts required under this Irrevocable Standby Letter of Credit must be marked: "Drawn under Comerica Bank Irrevocable Standby Letter of Credit no. [letter of credit number]."</w:t>
      </w:r>
    </w:p>
    <w:p>
      <w:pPr>
        <w:spacing w:after="0" w:line="1" w:lineRule="exact"/>
        <w:rPr>
          <w:sz w:val="20"/>
          <w:szCs w:val="20"/>
          <w:color w:val="auto"/>
        </w:rPr>
      </w:pPr>
    </w:p>
    <w:p>
      <w:pPr>
        <w:ind w:left="20" w:right="360" w:hanging="1"/>
        <w:spacing w:after="0" w:line="260" w:lineRule="auto"/>
        <w:rPr>
          <w:sz w:val="20"/>
          <w:szCs w:val="20"/>
          <w:color w:val="auto"/>
        </w:rPr>
      </w:pPr>
      <w:r>
        <w:rPr>
          <w:rFonts w:ascii="Arial" w:cs="Arial" w:eastAsia="Arial" w:hAnsi="Arial"/>
          <w:sz w:val="15"/>
          <w:szCs w:val="15"/>
          <w:color w:val="2B2B2B"/>
        </w:rPr>
        <w:t>In the case of cancellation, the original Standby Letter of Credit and all Amendments thereto must be returned to us together with a written request from Beneficiary referencing this Standby Letter of Credit number and authorizing its cancellation.</w:t>
      </w:r>
    </w:p>
    <w:p>
      <w:pPr>
        <w:spacing w:after="0" w:line="130" w:lineRule="exact"/>
        <w:rPr>
          <w:sz w:val="20"/>
          <w:szCs w:val="20"/>
          <w:color w:val="auto"/>
        </w:rPr>
      </w:pPr>
    </w:p>
    <w:p>
      <w:pPr>
        <w:ind w:left="20" w:right="180" w:firstLine="4"/>
        <w:spacing w:after="0" w:line="253" w:lineRule="auto"/>
        <w:rPr>
          <w:sz w:val="20"/>
          <w:szCs w:val="20"/>
          <w:color w:val="auto"/>
        </w:rPr>
      </w:pPr>
      <w:r>
        <w:rPr>
          <w:rFonts w:ascii="Arial" w:cs="Arial" w:eastAsia="Arial" w:hAnsi="Arial"/>
          <w:sz w:val="15"/>
          <w:szCs w:val="15"/>
          <w:color w:val="2B2B2B"/>
        </w:rPr>
        <w:t>This Irrevocable Standby Letter of Credit sets forth in full the terms of our undertaking and such undertaking shall not be in any way modified</w:t>
      </w:r>
      <w:r>
        <w:rPr>
          <w:rFonts w:ascii="Arial" w:cs="Arial" w:eastAsia="Arial" w:hAnsi="Arial"/>
          <w:sz w:val="15"/>
          <w:szCs w:val="15"/>
          <w:color w:val="595959"/>
        </w:rPr>
        <w:t>,</w:t>
      </w:r>
      <w:r>
        <w:rPr>
          <w:rFonts w:ascii="Arial" w:cs="Arial" w:eastAsia="Arial" w:hAnsi="Arial"/>
          <w:sz w:val="15"/>
          <w:szCs w:val="15"/>
          <w:color w:val="2B2B2B"/>
        </w:rPr>
        <w:t xml:space="preserve"> amended or amplified by reference to any document, instrument or agreement referred to herein or in which this Irrevocable Standby Letter of Credit is referred to or to which this Irrevocable Standby Letter of Credit relates, and any such reference shall not be deemed to incorporate herein by reference any document, instrument or agreement.</w:t>
      </w:r>
    </w:p>
    <w:p>
      <w:pPr>
        <w:spacing w:after="0" w:line="136" w:lineRule="exact"/>
        <w:rPr>
          <w:sz w:val="20"/>
          <w:szCs w:val="20"/>
          <w:color w:val="auto"/>
        </w:rPr>
      </w:pPr>
    </w:p>
    <w:p>
      <w:pPr>
        <w:ind w:left="20" w:firstLine="6"/>
        <w:spacing w:after="0" w:line="248" w:lineRule="auto"/>
        <w:rPr>
          <w:sz w:val="20"/>
          <w:szCs w:val="20"/>
          <w:color w:val="auto"/>
        </w:rPr>
      </w:pPr>
      <w:r>
        <w:rPr>
          <w:rFonts w:ascii="Arial" w:cs="Arial" w:eastAsia="Arial" w:hAnsi="Arial"/>
          <w:sz w:val="15"/>
          <w:szCs w:val="15"/>
          <w:color w:val="2B2B2B"/>
        </w:rPr>
        <w:t>We hereby engage with you that drawing(s) made under and in compliance with this Standby Letter of Credit will be duly honored upon presentation to us in person or via courier service to our address: Comerica Bank, International Trade Services, 2321 Rosecrans Ave., 5th floor, El Segundo, CA 90245, Attn: Standby Letter of Credit Dept. on or before the current or any automatically extended date. Presentation may also be effected by facsimile to Comerica Bank fax number 310 297-2885 confirmed by phone call at 310 297-2858. When presentation is made by facsimile, in lieu of presentation of the original Letter of Credit, the Beneficiary must present Beneficiary's statement that Beneficiary is in possession of the original Letter of Credit, and that the amount and date of this presentation has been noted on the back of such original. In the event of facsimile drawing, the draft(s) required hereunder will be</w:t>
      </w:r>
    </w:p>
    <w:p>
      <w:pPr>
        <w:spacing w:after="0" w:line="364" w:lineRule="exact"/>
        <w:rPr>
          <w:sz w:val="20"/>
          <w:szCs w:val="20"/>
          <w:color w:val="auto"/>
        </w:rPr>
      </w:pPr>
    </w:p>
    <w:p>
      <w:pPr>
        <w:jc w:val="right"/>
        <w:spacing w:after="0"/>
        <w:rPr>
          <w:sz w:val="20"/>
          <w:szCs w:val="20"/>
          <w:color w:val="auto"/>
        </w:rPr>
      </w:pPr>
      <w:r>
        <w:rPr>
          <w:rFonts w:ascii="Arial" w:cs="Arial" w:eastAsia="Arial" w:hAnsi="Arial"/>
          <w:sz w:val="12"/>
          <w:szCs w:val="12"/>
          <w:color w:val="2B2B2B"/>
        </w:rPr>
        <w:t>Page 2 of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379730</wp:posOffset>
            </wp:positionV>
            <wp:extent cx="7178040" cy="4000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727">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0620"/>
          </w:cols>
          <w:pgMar w:left="960" w:top="629" w:right="319" w:bottom="1440" w:gutter="0" w:footer="0" w:header="0"/>
        </w:sectPr>
      </w:pPr>
    </w:p>
    <w:bookmarkStart w:id="244" w:name="page245"/>
    <w:bookmarkEnd w:id="244"/>
    <w:p>
      <w:pPr>
        <w:ind w:left="1160"/>
        <w:spacing w:after="0"/>
        <w:rPr>
          <w:sz w:val="20"/>
          <w:szCs w:val="20"/>
          <w:color w:val="auto"/>
        </w:rPr>
      </w:pPr>
      <w:r>
        <w:rPr>
          <w:rFonts w:ascii="Arial" w:cs="Arial" w:eastAsia="Arial" w:hAnsi="Arial"/>
          <w:sz w:val="15"/>
          <w:szCs w:val="15"/>
          <w:b w:val="1"/>
          <w:bCs w:val="1"/>
          <w:color w:val="4D4D4D"/>
        </w:rPr>
        <w:t>Comerica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wp:posOffset>
            </wp:positionH>
            <wp:positionV relativeFrom="paragraph">
              <wp:posOffset>-98425</wp:posOffset>
            </wp:positionV>
            <wp:extent cx="810895" cy="49657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728">
                      <a:extLst>
                        <a:ext uri="{28A0092B-C50C-407E-A947-70E740481C1C}"/>
                      </a:extLst>
                    </a:blip>
                    <a:srcRect/>
                    <a:stretch>
                      <a:fillRect/>
                    </a:stretch>
                  </pic:blipFill>
                  <pic:spPr bwMode="auto">
                    <a:xfrm>
                      <a:off x="0" y="0"/>
                      <a:ext cx="810895" cy="496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00"/>
        <w:spacing w:after="0" w:line="279" w:lineRule="auto"/>
        <w:rPr>
          <w:sz w:val="20"/>
          <w:szCs w:val="20"/>
          <w:color w:val="auto"/>
        </w:rPr>
      </w:pPr>
      <w:r>
        <w:rPr>
          <w:rFonts w:ascii="Arial" w:cs="Arial" w:eastAsia="Arial" w:hAnsi="Arial"/>
          <w:sz w:val="15"/>
          <w:szCs w:val="15"/>
          <w:color w:val="2B2B2B"/>
        </w:rPr>
        <w:t>considered to have been presented to Comerica Bank if copies of such draft(s) are received by Comerica Bank by means of a facsimile at the fax number noted above. However, the draft must include the front and back of the draft in order to evidence endorsement thereof.</w:t>
      </w:r>
    </w:p>
    <w:p>
      <w:pPr>
        <w:spacing w:after="0" w:line="117" w:lineRule="exact"/>
        <w:rPr>
          <w:sz w:val="20"/>
          <w:szCs w:val="20"/>
          <w:color w:val="auto"/>
        </w:rPr>
      </w:pPr>
    </w:p>
    <w:p>
      <w:pPr>
        <w:ind w:right="340" w:hanging="1"/>
        <w:spacing w:after="0" w:line="279" w:lineRule="auto"/>
        <w:rPr>
          <w:sz w:val="20"/>
          <w:szCs w:val="20"/>
          <w:color w:val="auto"/>
        </w:rPr>
      </w:pPr>
      <w:r>
        <w:rPr>
          <w:rFonts w:ascii="Arial" w:cs="Arial" w:eastAsia="Arial" w:hAnsi="Arial"/>
          <w:sz w:val="15"/>
          <w:szCs w:val="15"/>
          <w:color w:val="2B2B2B"/>
        </w:rPr>
        <w:t>Except so far as otherwise expressly stated herein, this Standby Letter of Credit is subject to the "International Standby Practices" (ISP 98) International Chamber of Commerce (Publication No. 590)</w:t>
      </w:r>
      <w:r>
        <w:rPr>
          <w:rFonts w:ascii="Arial" w:cs="Arial" w:eastAsia="Arial" w:hAnsi="Arial"/>
          <w:sz w:val="15"/>
          <w:szCs w:val="15"/>
          <w:color w:val="595959"/>
        </w:rPr>
        <w:t>.</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color w:val="2B2B2B"/>
        </w:rPr>
        <w:t>Regards,</w:t>
      </w:r>
    </w:p>
    <w:p>
      <w:pPr>
        <w:spacing w:after="0" w:line="173" w:lineRule="exact"/>
        <w:rPr>
          <w:sz w:val="20"/>
          <w:szCs w:val="20"/>
          <w:color w:val="auto"/>
        </w:rPr>
      </w:pPr>
    </w:p>
    <w:p>
      <w:pPr>
        <w:ind w:left="20"/>
        <w:spacing w:after="0"/>
        <w:tabs>
          <w:tab w:leader="none" w:pos="1340" w:val="left"/>
        </w:tabs>
        <w:rPr>
          <w:sz w:val="20"/>
          <w:szCs w:val="20"/>
          <w:color w:val="auto"/>
        </w:rPr>
      </w:pPr>
      <w:r>
        <w:rPr>
          <w:rFonts w:ascii="Arial" w:cs="Arial" w:eastAsia="Arial" w:hAnsi="Arial"/>
          <w:sz w:val="15"/>
          <w:szCs w:val="15"/>
          <w:color w:val="2B2B2B"/>
        </w:rPr>
        <w:t>/s/ Delisha Glenn</w:t>
        <w:tab/>
        <w:t>Delisha Glenn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16510</wp:posOffset>
            </wp:positionV>
            <wp:extent cx="6721475" cy="762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729">
                      <a:extLst>
                        <a:ext uri="{28A0092B-C50C-407E-A947-70E740481C1C}"/>
                      </a:extLst>
                    </a:blip>
                    <a:srcRect/>
                    <a:stretch>
                      <a:fillRect/>
                    </a:stretch>
                  </pic:blipFill>
                  <pic:spPr bwMode="auto">
                    <a:xfrm>
                      <a:off x="0" y="0"/>
                      <a:ext cx="6721475" cy="762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jc w:val="right"/>
        <w:spacing w:after="0"/>
        <w:rPr>
          <w:sz w:val="20"/>
          <w:szCs w:val="20"/>
          <w:color w:val="auto"/>
        </w:rPr>
      </w:pPr>
      <w:r>
        <w:rPr>
          <w:rFonts w:ascii="Arial" w:cs="Arial" w:eastAsia="Arial" w:hAnsi="Arial"/>
          <w:sz w:val="12"/>
          <w:szCs w:val="12"/>
          <w:color w:val="2B2B2B"/>
        </w:rPr>
        <w:t>Page 3 of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379730</wp:posOffset>
            </wp:positionV>
            <wp:extent cx="7178040" cy="4000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730">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0600"/>
          </w:cols>
          <w:pgMar w:left="980" w:top="629" w:right="319" w:bottom="1440" w:gutter="0" w:footer="0" w:header="0"/>
        </w:sectPr>
      </w:pPr>
    </w:p>
    <w:bookmarkStart w:id="245" w:name="page246"/>
    <w:bookmarkEnd w:id="245"/>
    <w:p>
      <w:pPr>
        <w:jc w:val="right"/>
        <w:spacing w:after="0"/>
        <w:rPr>
          <w:sz w:val="20"/>
          <w:szCs w:val="20"/>
          <w:color w:val="auto"/>
        </w:rPr>
      </w:pPr>
      <w:r>
        <w:rPr>
          <w:rFonts w:ascii="Calibri" w:cs="Calibri" w:eastAsia="Calibri" w:hAnsi="Calibri"/>
          <w:sz w:val="15"/>
          <w:szCs w:val="15"/>
          <w:b w:val="1"/>
          <w:bCs w:val="1"/>
          <w:color w:val="auto"/>
        </w:rPr>
        <w:t>Exhibit 21.1</w:t>
      </w:r>
    </w:p>
    <w:p>
      <w:pPr>
        <w:spacing w:after="0" w:line="185" w:lineRule="exact"/>
        <w:rPr>
          <w:sz w:val="20"/>
          <w:szCs w:val="20"/>
          <w:color w:val="auto"/>
        </w:rPr>
      </w:pPr>
    </w:p>
    <w:p>
      <w:pPr>
        <w:jc w:val="center"/>
        <w:spacing w:after="0"/>
        <w:rPr>
          <w:sz w:val="20"/>
          <w:szCs w:val="20"/>
          <w:color w:val="auto"/>
        </w:rPr>
      </w:pPr>
      <w:r>
        <w:rPr>
          <w:rFonts w:ascii="Calibri" w:cs="Calibri" w:eastAsia="Calibri" w:hAnsi="Calibri"/>
          <w:sz w:val="15"/>
          <w:szCs w:val="15"/>
          <w:b w:val="1"/>
          <w:bCs w:val="1"/>
          <w:color w:val="auto"/>
        </w:rPr>
        <w:t>Subsidiaries of CarGurus, Inc.</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color w:val="auto"/>
        </w:rPr>
        <w:t>CarGurus Canada, Inc., a company incorporated under the laws of the Province of Britsh Columbia</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color w:val="auto"/>
        </w:rPr>
        <w:t>CarGurus Ireland Limited, an Irish Private Company Limited by Shares</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color w:val="auto"/>
        </w:rPr>
        <w:t>CarGurus Securites Corp., a Massachusets corporaton</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color w:val="auto"/>
        </w:rPr>
        <w:t>CarGurus UK Limited, a U.K. Private Limited Company</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color w:val="auto"/>
        </w:rPr>
        <w:t>CarOfer, LLC, a Delaware limited liability company</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color w:val="auto"/>
        </w:rPr>
        <w:t>WPLE, Inc., a Delaware corporaton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759460</wp:posOffset>
            </wp:positionV>
            <wp:extent cx="7178040" cy="4000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31">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26" w:right="319" w:bottom="1440" w:gutter="0" w:footer="0" w:header="0"/>
        </w:sectPr>
      </w:pPr>
    </w:p>
    <w:bookmarkStart w:id="246" w:name="page247"/>
    <w:bookmarkEnd w:id="246"/>
    <w:p>
      <w:pPr>
        <w:jc w:val="right"/>
        <w:spacing w:after="0"/>
        <w:rPr>
          <w:sz w:val="20"/>
          <w:szCs w:val="20"/>
          <w:color w:val="auto"/>
        </w:rPr>
      </w:pPr>
      <w:r>
        <w:rPr>
          <w:rFonts w:ascii="Calibri" w:cs="Calibri" w:eastAsia="Calibri" w:hAnsi="Calibri"/>
          <w:sz w:val="15"/>
          <w:szCs w:val="15"/>
          <w:b w:val="1"/>
          <w:bCs w:val="1"/>
          <w:color w:val="auto"/>
        </w:rPr>
        <w:t>Exhibit 23.1</w:t>
      </w:r>
    </w:p>
    <w:p>
      <w:pPr>
        <w:spacing w:after="0" w:line="185" w:lineRule="exact"/>
        <w:rPr>
          <w:sz w:val="20"/>
          <w:szCs w:val="20"/>
          <w:color w:val="auto"/>
        </w:rPr>
      </w:pPr>
    </w:p>
    <w:p>
      <w:pPr>
        <w:jc w:val="center"/>
        <w:spacing w:after="0"/>
        <w:rPr>
          <w:sz w:val="20"/>
          <w:szCs w:val="20"/>
          <w:color w:val="auto"/>
        </w:rPr>
      </w:pPr>
      <w:r>
        <w:rPr>
          <w:rFonts w:ascii="Calibri" w:cs="Calibri" w:eastAsia="Calibri" w:hAnsi="Calibri"/>
          <w:sz w:val="15"/>
          <w:szCs w:val="15"/>
          <w:b w:val="1"/>
          <w:bCs w:val="1"/>
          <w:color w:val="auto"/>
        </w:rPr>
        <w:t>Consent of Independent Registered Public Accountng Firm</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color w:val="auto"/>
        </w:rPr>
        <w:t>We consent to the incorporaton by reference in the following Registraton Statements:</w:t>
      </w:r>
    </w:p>
    <w:p>
      <w:pPr>
        <w:spacing w:after="0" w:line="185" w:lineRule="exact"/>
        <w:rPr>
          <w:sz w:val="20"/>
          <w:szCs w:val="20"/>
          <w:color w:val="auto"/>
        </w:rPr>
      </w:pPr>
    </w:p>
    <w:p>
      <w:pPr>
        <w:ind w:left="1020" w:hanging="518"/>
        <w:spacing w:after="0" w:line="241" w:lineRule="auto"/>
        <w:tabs>
          <w:tab w:leader="none" w:pos="1020" w:val="left"/>
        </w:tabs>
        <w:numPr>
          <w:ilvl w:val="0"/>
          <w:numId w:val="138"/>
        </w:numPr>
        <w:rPr>
          <w:rFonts w:ascii="Calibri" w:cs="Calibri" w:eastAsia="Calibri" w:hAnsi="Calibri"/>
          <w:sz w:val="15"/>
          <w:szCs w:val="15"/>
          <w:color w:val="auto"/>
        </w:rPr>
      </w:pPr>
      <w:r>
        <w:rPr>
          <w:rFonts w:ascii="Calibri" w:cs="Calibri" w:eastAsia="Calibri" w:hAnsi="Calibri"/>
          <w:sz w:val="15"/>
          <w:szCs w:val="15"/>
          <w:color w:val="auto"/>
        </w:rPr>
        <w:t>Registraton Statement (Form S-8 No. 333-221090) pertaining to the Omnibus Incentve Compensaton Plan and the Amended and Restated 2015 Equity Incentve Plan of CarGurus, Inc.;</w:t>
      </w:r>
    </w:p>
    <w:p>
      <w:pPr>
        <w:spacing w:after="0" w:line="184" w:lineRule="exact"/>
        <w:rPr>
          <w:rFonts w:ascii="Calibri" w:cs="Calibri" w:eastAsia="Calibri" w:hAnsi="Calibri"/>
          <w:sz w:val="15"/>
          <w:szCs w:val="15"/>
          <w:color w:val="auto"/>
        </w:rPr>
      </w:pPr>
    </w:p>
    <w:p>
      <w:pPr>
        <w:ind w:left="1020" w:hanging="518"/>
        <w:spacing w:after="0"/>
        <w:tabs>
          <w:tab w:leader="none" w:pos="1020" w:val="left"/>
        </w:tabs>
        <w:numPr>
          <w:ilvl w:val="0"/>
          <w:numId w:val="138"/>
        </w:numPr>
        <w:rPr>
          <w:rFonts w:ascii="Calibri" w:cs="Calibri" w:eastAsia="Calibri" w:hAnsi="Calibri"/>
          <w:sz w:val="15"/>
          <w:szCs w:val="15"/>
          <w:color w:val="auto"/>
        </w:rPr>
      </w:pPr>
      <w:r>
        <w:rPr>
          <w:rFonts w:ascii="Calibri" w:cs="Calibri" w:eastAsia="Calibri" w:hAnsi="Calibri"/>
          <w:sz w:val="15"/>
          <w:szCs w:val="15"/>
          <w:color w:val="auto"/>
        </w:rPr>
        <w:t>Registraton Statement (Form S-8 No. 333-263031) pertaining to the Omnibus Incentve Compensaton Plan of CarGurus, Inc.; and</w:t>
      </w:r>
    </w:p>
    <w:p>
      <w:pPr>
        <w:spacing w:after="0" w:line="185" w:lineRule="exact"/>
        <w:rPr>
          <w:rFonts w:ascii="Calibri" w:cs="Calibri" w:eastAsia="Calibri" w:hAnsi="Calibri"/>
          <w:sz w:val="15"/>
          <w:szCs w:val="15"/>
          <w:color w:val="auto"/>
        </w:rPr>
      </w:pPr>
    </w:p>
    <w:p>
      <w:pPr>
        <w:ind w:left="1020" w:hanging="518"/>
        <w:spacing w:after="0"/>
        <w:tabs>
          <w:tab w:leader="none" w:pos="1020" w:val="left"/>
        </w:tabs>
        <w:numPr>
          <w:ilvl w:val="0"/>
          <w:numId w:val="138"/>
        </w:numPr>
        <w:rPr>
          <w:rFonts w:ascii="Calibri" w:cs="Calibri" w:eastAsia="Calibri" w:hAnsi="Calibri"/>
          <w:sz w:val="15"/>
          <w:szCs w:val="15"/>
          <w:color w:val="auto"/>
        </w:rPr>
      </w:pPr>
      <w:r>
        <w:rPr>
          <w:rFonts w:ascii="Calibri" w:cs="Calibri" w:eastAsia="Calibri" w:hAnsi="Calibri"/>
          <w:sz w:val="15"/>
          <w:szCs w:val="15"/>
          <w:color w:val="auto"/>
        </w:rPr>
        <w:t>Registraton Statement (Form S-8 No. 333-270169) pertaining to the Omnibus Incentve Compensaton Plan of CarGurus, Inc.;</w:t>
      </w:r>
    </w:p>
    <w:p>
      <w:pPr>
        <w:spacing w:after="0" w:line="185" w:lineRule="exact"/>
        <w:rPr>
          <w:sz w:val="20"/>
          <w:szCs w:val="20"/>
          <w:color w:val="auto"/>
        </w:rPr>
      </w:pPr>
    </w:p>
    <w:p>
      <w:pPr>
        <w:ind w:right="500"/>
        <w:spacing w:after="0" w:line="241" w:lineRule="auto"/>
        <w:rPr>
          <w:sz w:val="20"/>
          <w:szCs w:val="20"/>
          <w:color w:val="auto"/>
        </w:rPr>
      </w:pPr>
      <w:r>
        <w:rPr>
          <w:rFonts w:ascii="Calibri" w:cs="Calibri" w:eastAsia="Calibri" w:hAnsi="Calibri"/>
          <w:sz w:val="15"/>
          <w:szCs w:val="15"/>
          <w:color w:val="auto"/>
        </w:rPr>
        <w:t>of our reports dated February 26, 2024, with respect to the consolidated fnancial statements of CarGurus, Inc. and the efectveness of internal control over fnancial reportng of CarGurus, Inc. included in this Annual Report (Form 10-K) of CarGurus, Inc. for the year ended December 31, 2023.</w:t>
      </w:r>
    </w:p>
    <w:p>
      <w:pPr>
        <w:spacing w:after="0" w:line="184" w:lineRule="exact"/>
        <w:rPr>
          <w:sz w:val="20"/>
          <w:szCs w:val="20"/>
          <w:color w:val="auto"/>
        </w:rPr>
      </w:pPr>
    </w:p>
    <w:p>
      <w:pPr>
        <w:spacing w:after="0"/>
        <w:rPr>
          <w:sz w:val="20"/>
          <w:szCs w:val="20"/>
          <w:color w:val="auto"/>
        </w:rPr>
      </w:pPr>
      <w:r>
        <w:rPr>
          <w:rFonts w:ascii="Calibri" w:cs="Calibri" w:eastAsia="Calibri" w:hAnsi="Calibri"/>
          <w:sz w:val="15"/>
          <w:szCs w:val="15"/>
          <w:color w:val="auto"/>
        </w:rPr>
        <w:t>/s/ Ernst &amp; Young LLP</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color w:val="auto"/>
        </w:rPr>
        <w:t>Boston, Massachusets</w:t>
      </w:r>
    </w:p>
    <w:p>
      <w:pPr>
        <w:spacing w:after="0" w:line="185" w:lineRule="exact"/>
        <w:rPr>
          <w:sz w:val="20"/>
          <w:szCs w:val="20"/>
          <w:color w:val="auto"/>
        </w:rPr>
      </w:pPr>
    </w:p>
    <w:p>
      <w:pPr>
        <w:spacing w:after="0"/>
        <w:rPr>
          <w:sz w:val="20"/>
          <w:szCs w:val="20"/>
          <w:color w:val="auto"/>
        </w:rPr>
      </w:pPr>
      <w:r>
        <w:rPr>
          <w:rFonts w:ascii="Calibri" w:cs="Calibri" w:eastAsia="Calibri" w:hAnsi="Calibri"/>
          <w:sz w:val="15"/>
          <w:szCs w:val="15"/>
          <w:color w:val="auto"/>
        </w:rPr>
        <w:t>February 26,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956945</wp:posOffset>
            </wp:positionV>
            <wp:extent cx="7178040" cy="4000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32">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0"/>
          </w:cols>
          <w:pgMar w:left="320" w:top="1226" w:right="319" w:bottom="1440" w:gutter="0" w:footer="0" w:header="0"/>
        </w:sectPr>
      </w:pPr>
    </w:p>
    <w:bookmarkStart w:id="247" w:name="page248"/>
    <w:bookmarkEnd w:id="247"/>
    <w:p>
      <w:pPr>
        <w:jc w:val="right"/>
        <w:spacing w:after="0"/>
        <w:rPr>
          <w:sz w:val="20"/>
          <w:szCs w:val="20"/>
          <w:color w:val="auto"/>
        </w:rPr>
      </w:pPr>
      <w:r>
        <w:rPr>
          <w:rFonts w:ascii="Calibri" w:cs="Calibri" w:eastAsia="Calibri" w:hAnsi="Calibri"/>
          <w:sz w:val="15"/>
          <w:szCs w:val="15"/>
          <w:b w:val="1"/>
          <w:bCs w:val="1"/>
          <w:color w:val="auto"/>
        </w:rPr>
        <w:t>Exhibit 31.1</w:t>
      </w:r>
    </w:p>
    <w:p>
      <w:pPr>
        <w:spacing w:after="0" w:line="277" w:lineRule="exact"/>
        <w:rPr>
          <w:sz w:val="20"/>
          <w:szCs w:val="20"/>
          <w:color w:val="auto"/>
        </w:rPr>
      </w:pPr>
    </w:p>
    <w:p>
      <w:pPr>
        <w:jc w:val="center"/>
        <w:ind w:right="-7"/>
        <w:spacing w:after="0"/>
        <w:rPr>
          <w:sz w:val="20"/>
          <w:szCs w:val="20"/>
          <w:color w:val="auto"/>
        </w:rPr>
      </w:pPr>
      <w:r>
        <w:rPr>
          <w:rFonts w:ascii="Calibri" w:cs="Calibri" w:eastAsia="Calibri" w:hAnsi="Calibri"/>
          <w:sz w:val="15"/>
          <w:szCs w:val="15"/>
          <w:b w:val="1"/>
          <w:bCs w:val="1"/>
          <w:color w:val="auto"/>
        </w:rPr>
        <w:t>CERTIFICATION PURSUANT TO</w:t>
      </w:r>
    </w:p>
    <w:p>
      <w:pPr>
        <w:spacing w:after="0" w:line="1" w:lineRule="exact"/>
        <w:rPr>
          <w:sz w:val="20"/>
          <w:szCs w:val="20"/>
          <w:color w:val="auto"/>
        </w:rPr>
      </w:pPr>
    </w:p>
    <w:p>
      <w:pPr>
        <w:jc w:val="center"/>
        <w:ind w:right="-7"/>
        <w:spacing w:after="0"/>
        <w:rPr>
          <w:sz w:val="20"/>
          <w:szCs w:val="20"/>
          <w:color w:val="auto"/>
        </w:rPr>
      </w:pPr>
      <w:r>
        <w:rPr>
          <w:rFonts w:ascii="Calibri" w:cs="Calibri" w:eastAsia="Calibri" w:hAnsi="Calibri"/>
          <w:sz w:val="15"/>
          <w:szCs w:val="15"/>
          <w:b w:val="1"/>
          <w:bCs w:val="1"/>
          <w:color w:val="auto"/>
        </w:rPr>
        <w:t>RULES 13a-14(a) AND 15d-14(a) UNDER THE SECURITIES EXCHANGE ACT OF 1934,</w:t>
      </w:r>
    </w:p>
    <w:p>
      <w:pPr>
        <w:spacing w:after="0" w:line="1" w:lineRule="exact"/>
        <w:rPr>
          <w:sz w:val="20"/>
          <w:szCs w:val="20"/>
          <w:color w:val="auto"/>
        </w:rPr>
      </w:pPr>
    </w:p>
    <w:p>
      <w:pPr>
        <w:jc w:val="center"/>
        <w:ind w:right="-7"/>
        <w:spacing w:after="0"/>
        <w:rPr>
          <w:sz w:val="20"/>
          <w:szCs w:val="20"/>
          <w:color w:val="auto"/>
        </w:rPr>
      </w:pPr>
      <w:r>
        <w:rPr>
          <w:rFonts w:ascii="Calibri" w:cs="Calibri" w:eastAsia="Calibri" w:hAnsi="Calibri"/>
          <w:sz w:val="15"/>
          <w:szCs w:val="15"/>
          <w:b w:val="1"/>
          <w:bCs w:val="1"/>
          <w:color w:val="auto"/>
        </w:rPr>
        <w:t>AS ADOPTED PURSUANT TO SECTION 302 OF THE SARBANES-OXLEY ACT OF 2002</w:t>
      </w:r>
    </w:p>
    <w:p>
      <w:pPr>
        <w:spacing w:after="0" w:line="185" w:lineRule="exact"/>
        <w:rPr>
          <w:sz w:val="20"/>
          <w:szCs w:val="20"/>
          <w:color w:val="auto"/>
        </w:rPr>
      </w:pPr>
    </w:p>
    <w:p>
      <w:pPr>
        <w:ind w:left="8"/>
        <w:spacing w:after="0"/>
        <w:rPr>
          <w:sz w:val="20"/>
          <w:szCs w:val="20"/>
          <w:color w:val="auto"/>
        </w:rPr>
      </w:pPr>
      <w:r>
        <w:rPr>
          <w:rFonts w:ascii="Calibri" w:cs="Calibri" w:eastAsia="Calibri" w:hAnsi="Calibri"/>
          <w:sz w:val="15"/>
          <w:szCs w:val="15"/>
          <w:color w:val="auto"/>
        </w:rPr>
        <w:t>I, Jason Trevisan, certfy that:</w:t>
      </w:r>
    </w:p>
    <w:p>
      <w:pPr>
        <w:spacing w:after="0" w:line="185" w:lineRule="exact"/>
        <w:rPr>
          <w:sz w:val="20"/>
          <w:szCs w:val="20"/>
          <w:color w:val="auto"/>
        </w:rPr>
      </w:pPr>
    </w:p>
    <w:p>
      <w:pPr>
        <w:ind w:left="508" w:hanging="508"/>
        <w:spacing w:after="0"/>
        <w:tabs>
          <w:tab w:leader="none" w:pos="508" w:val="left"/>
        </w:tabs>
        <w:numPr>
          <w:ilvl w:val="0"/>
          <w:numId w:val="139"/>
        </w:numPr>
        <w:rPr>
          <w:rFonts w:ascii="Calibri" w:cs="Calibri" w:eastAsia="Calibri" w:hAnsi="Calibri"/>
          <w:sz w:val="15"/>
          <w:szCs w:val="15"/>
          <w:color w:val="auto"/>
        </w:rPr>
      </w:pPr>
      <w:r>
        <w:rPr>
          <w:rFonts w:ascii="Calibri" w:cs="Calibri" w:eastAsia="Calibri" w:hAnsi="Calibri"/>
          <w:sz w:val="15"/>
          <w:szCs w:val="15"/>
          <w:color w:val="auto"/>
        </w:rPr>
        <w:t>I have reviewed this Annual Report on Form 10-K of CarGurus, Inc.;</w:t>
      </w:r>
    </w:p>
    <w:p>
      <w:pPr>
        <w:spacing w:after="0" w:line="185" w:lineRule="exact"/>
        <w:rPr>
          <w:rFonts w:ascii="Calibri" w:cs="Calibri" w:eastAsia="Calibri" w:hAnsi="Calibri"/>
          <w:sz w:val="15"/>
          <w:szCs w:val="15"/>
          <w:color w:val="auto"/>
        </w:rPr>
      </w:pPr>
    </w:p>
    <w:p>
      <w:pPr>
        <w:ind w:left="508" w:right="100" w:hanging="508"/>
        <w:spacing w:after="0" w:line="241" w:lineRule="auto"/>
        <w:tabs>
          <w:tab w:leader="none" w:pos="508" w:val="left"/>
        </w:tabs>
        <w:numPr>
          <w:ilvl w:val="0"/>
          <w:numId w:val="139"/>
        </w:numPr>
        <w:rPr>
          <w:rFonts w:ascii="Calibri" w:cs="Calibri" w:eastAsia="Calibri" w:hAnsi="Calibri"/>
          <w:sz w:val="15"/>
          <w:szCs w:val="15"/>
          <w:color w:val="auto"/>
        </w:rPr>
      </w:pPr>
      <w:r>
        <w:rPr>
          <w:rFonts w:ascii="Calibri" w:cs="Calibri" w:eastAsia="Calibri" w:hAnsi="Calibri"/>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rFonts w:ascii="Calibri" w:cs="Calibri" w:eastAsia="Calibri" w:hAnsi="Calibri"/>
          <w:sz w:val="15"/>
          <w:szCs w:val="15"/>
          <w:color w:val="auto"/>
        </w:rPr>
      </w:pPr>
    </w:p>
    <w:p>
      <w:pPr>
        <w:ind w:left="508" w:right="120" w:hanging="508"/>
        <w:spacing w:after="0" w:line="241" w:lineRule="auto"/>
        <w:tabs>
          <w:tab w:leader="none" w:pos="508" w:val="left"/>
        </w:tabs>
        <w:numPr>
          <w:ilvl w:val="0"/>
          <w:numId w:val="139"/>
        </w:numPr>
        <w:rPr>
          <w:rFonts w:ascii="Calibri" w:cs="Calibri" w:eastAsia="Calibri" w:hAnsi="Calibri"/>
          <w:sz w:val="15"/>
          <w:szCs w:val="15"/>
          <w:color w:val="auto"/>
        </w:rPr>
      </w:pPr>
      <w:r>
        <w:rPr>
          <w:rFonts w:ascii="Calibri" w:cs="Calibri" w:eastAsia="Calibri" w:hAnsi="Calibri"/>
          <w:sz w:val="15"/>
          <w:szCs w:val="15"/>
          <w:color w:val="auto"/>
        </w:rPr>
        <w:t>Based on my knowledge, the fnancial statements, and other fnancial informaton included in this report, fairly present in all material respects the fnancial conditon, results of operatons and cash fows of the registrant as of, and for, the periods presented in this report;</w:t>
      </w:r>
    </w:p>
    <w:p>
      <w:pPr>
        <w:spacing w:after="0" w:line="184" w:lineRule="exact"/>
        <w:rPr>
          <w:rFonts w:ascii="Calibri" w:cs="Calibri" w:eastAsia="Calibri" w:hAnsi="Calibri"/>
          <w:sz w:val="15"/>
          <w:szCs w:val="15"/>
          <w:color w:val="auto"/>
        </w:rPr>
      </w:pPr>
    </w:p>
    <w:p>
      <w:pPr>
        <w:ind w:left="508" w:right="180" w:hanging="508"/>
        <w:spacing w:after="0" w:line="241" w:lineRule="auto"/>
        <w:tabs>
          <w:tab w:leader="none" w:pos="508" w:val="left"/>
        </w:tabs>
        <w:numPr>
          <w:ilvl w:val="0"/>
          <w:numId w:val="139"/>
        </w:numPr>
        <w:rPr>
          <w:rFonts w:ascii="Calibri" w:cs="Calibri" w:eastAsia="Calibri" w:hAnsi="Calibri"/>
          <w:sz w:val="15"/>
          <w:szCs w:val="15"/>
          <w:color w:val="auto"/>
        </w:rPr>
      </w:pPr>
      <w:r>
        <w:rPr>
          <w:rFonts w:ascii="Calibri" w:cs="Calibri" w:eastAsia="Calibri" w:hAnsi="Calibri"/>
          <w:sz w:val="15"/>
          <w:szCs w:val="15"/>
          <w:color w:val="auto"/>
        </w:rPr>
        <w:t>The registrant’s other certfying ofcer(s) and I are responsible for establishing and maintaining disclosure controls and procedures (as defned in Exchange Act Rules 13a-15(e) and 15d-15(e)) and internal control over fnancial reportng (as defned in Exchange Act Rules 13a-15(f) and 15d-15(f)) for the registrant and have:</w:t>
      </w:r>
    </w:p>
    <w:p>
      <w:pPr>
        <w:spacing w:after="0" w:line="184" w:lineRule="exact"/>
        <w:rPr>
          <w:rFonts w:ascii="Calibri" w:cs="Calibri" w:eastAsia="Calibri" w:hAnsi="Calibri"/>
          <w:sz w:val="15"/>
          <w:szCs w:val="15"/>
          <w:color w:val="auto"/>
        </w:rPr>
      </w:pPr>
    </w:p>
    <w:p>
      <w:pPr>
        <w:ind w:left="1028" w:right="80" w:hanging="518"/>
        <w:spacing w:after="0" w:line="241" w:lineRule="auto"/>
        <w:tabs>
          <w:tab w:leader="none" w:pos="1028" w:val="left"/>
        </w:tabs>
        <w:numPr>
          <w:ilvl w:val="1"/>
          <w:numId w:val="139"/>
        </w:numPr>
        <w:rPr>
          <w:rFonts w:ascii="Calibri" w:cs="Calibri" w:eastAsia="Calibri" w:hAnsi="Calibri"/>
          <w:sz w:val="15"/>
          <w:szCs w:val="15"/>
          <w:color w:val="auto"/>
        </w:rPr>
      </w:pPr>
      <w:r>
        <w:rPr>
          <w:rFonts w:ascii="Calibri" w:cs="Calibri" w:eastAsia="Calibri" w:hAnsi="Calibri"/>
          <w:sz w:val="15"/>
          <w:szCs w:val="15"/>
          <w:color w:val="auto"/>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184" w:lineRule="exact"/>
        <w:rPr>
          <w:rFonts w:ascii="Calibri" w:cs="Calibri" w:eastAsia="Calibri" w:hAnsi="Calibri"/>
          <w:sz w:val="15"/>
          <w:szCs w:val="15"/>
          <w:color w:val="auto"/>
        </w:rPr>
      </w:pPr>
    </w:p>
    <w:p>
      <w:pPr>
        <w:ind w:left="1028" w:right="440" w:hanging="518"/>
        <w:spacing w:after="0" w:line="241" w:lineRule="auto"/>
        <w:tabs>
          <w:tab w:leader="none" w:pos="1028" w:val="left"/>
        </w:tabs>
        <w:numPr>
          <w:ilvl w:val="1"/>
          <w:numId w:val="139"/>
        </w:numPr>
        <w:rPr>
          <w:rFonts w:ascii="Calibri" w:cs="Calibri" w:eastAsia="Calibri" w:hAnsi="Calibri"/>
          <w:sz w:val="15"/>
          <w:szCs w:val="15"/>
          <w:color w:val="auto"/>
        </w:rPr>
      </w:pPr>
      <w:r>
        <w:rPr>
          <w:rFonts w:ascii="Calibri" w:cs="Calibri" w:eastAsia="Calibri" w:hAnsi="Calibri"/>
          <w:sz w:val="15"/>
          <w:szCs w:val="15"/>
          <w:color w:val="auto"/>
        </w:rPr>
        <w:t>Designed such internal control over fnancial reportng, or caused such internal control over fnancial reportng to be designed under our supervision, to provide reasonable assurance regarding the reliability of fnancial reportng and the preparaton of fnancial statements for external purposes in accordance with generally accepted accountng principles;</w:t>
      </w:r>
    </w:p>
    <w:p>
      <w:pPr>
        <w:spacing w:after="0" w:line="184" w:lineRule="exact"/>
        <w:rPr>
          <w:rFonts w:ascii="Calibri" w:cs="Calibri" w:eastAsia="Calibri" w:hAnsi="Calibri"/>
          <w:sz w:val="15"/>
          <w:szCs w:val="15"/>
          <w:color w:val="auto"/>
        </w:rPr>
      </w:pPr>
    </w:p>
    <w:p>
      <w:pPr>
        <w:ind w:left="1028" w:right="140" w:hanging="518"/>
        <w:spacing w:after="0" w:line="241" w:lineRule="auto"/>
        <w:tabs>
          <w:tab w:leader="none" w:pos="1028" w:val="left"/>
        </w:tabs>
        <w:numPr>
          <w:ilvl w:val="1"/>
          <w:numId w:val="139"/>
        </w:numPr>
        <w:rPr>
          <w:rFonts w:ascii="Calibri" w:cs="Calibri" w:eastAsia="Calibri" w:hAnsi="Calibri"/>
          <w:sz w:val="15"/>
          <w:szCs w:val="15"/>
          <w:color w:val="auto"/>
        </w:rPr>
      </w:pPr>
      <w:r>
        <w:rPr>
          <w:rFonts w:ascii="Calibri" w:cs="Calibri" w:eastAsia="Calibri" w:hAnsi="Calibri"/>
          <w:sz w:val="15"/>
          <w:szCs w:val="15"/>
          <w:color w:val="auto"/>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184" w:lineRule="exact"/>
        <w:rPr>
          <w:rFonts w:ascii="Calibri" w:cs="Calibri" w:eastAsia="Calibri" w:hAnsi="Calibri"/>
          <w:sz w:val="15"/>
          <w:szCs w:val="15"/>
          <w:color w:val="auto"/>
        </w:rPr>
      </w:pPr>
    </w:p>
    <w:p>
      <w:pPr>
        <w:ind w:left="1028" w:right="200" w:hanging="518"/>
        <w:spacing w:after="0" w:line="241" w:lineRule="auto"/>
        <w:tabs>
          <w:tab w:leader="none" w:pos="1028" w:val="left"/>
        </w:tabs>
        <w:numPr>
          <w:ilvl w:val="1"/>
          <w:numId w:val="139"/>
        </w:numPr>
        <w:rPr>
          <w:rFonts w:ascii="Calibri" w:cs="Calibri" w:eastAsia="Calibri" w:hAnsi="Calibri"/>
          <w:sz w:val="15"/>
          <w:szCs w:val="15"/>
          <w:color w:val="auto"/>
        </w:rPr>
      </w:pPr>
      <w:r>
        <w:rPr>
          <w:rFonts w:ascii="Calibri" w:cs="Calibri" w:eastAsia="Calibri" w:hAnsi="Calibri"/>
          <w:sz w:val="15"/>
          <w:szCs w:val="15"/>
          <w:color w:val="auto"/>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184" w:lineRule="exact"/>
        <w:rPr>
          <w:rFonts w:ascii="Calibri" w:cs="Calibri" w:eastAsia="Calibri" w:hAnsi="Calibri"/>
          <w:sz w:val="15"/>
          <w:szCs w:val="15"/>
          <w:color w:val="auto"/>
        </w:rPr>
      </w:pPr>
    </w:p>
    <w:p>
      <w:pPr>
        <w:ind w:left="508" w:right="200" w:hanging="508"/>
        <w:spacing w:after="0" w:line="241" w:lineRule="auto"/>
        <w:tabs>
          <w:tab w:leader="none" w:pos="508" w:val="left"/>
        </w:tabs>
        <w:numPr>
          <w:ilvl w:val="0"/>
          <w:numId w:val="139"/>
        </w:numPr>
        <w:rPr>
          <w:rFonts w:ascii="Calibri" w:cs="Calibri" w:eastAsia="Calibri" w:hAnsi="Calibri"/>
          <w:sz w:val="15"/>
          <w:szCs w:val="15"/>
          <w:color w:val="auto"/>
        </w:rPr>
      </w:pPr>
      <w:r>
        <w:rPr>
          <w:rFonts w:ascii="Calibri" w:cs="Calibri" w:eastAsia="Calibri" w:hAnsi="Calibri"/>
          <w:sz w:val="15"/>
          <w:szCs w:val="15"/>
          <w:color w:val="auto"/>
        </w:rPr>
        <w:t>The registrant's other certfying ofcer(s) and I have disclosed, based on our most recent evaluaton of internal control over fnancial reportng, to the registrant's auditors and the audit commitee of the registrant's board of directors (or persons performing the equivalent functons):</w:t>
      </w:r>
    </w:p>
    <w:p>
      <w:pPr>
        <w:spacing w:after="0" w:line="184" w:lineRule="exact"/>
        <w:rPr>
          <w:rFonts w:ascii="Calibri" w:cs="Calibri" w:eastAsia="Calibri" w:hAnsi="Calibri"/>
          <w:sz w:val="15"/>
          <w:szCs w:val="15"/>
          <w:color w:val="auto"/>
        </w:rPr>
      </w:pPr>
    </w:p>
    <w:p>
      <w:pPr>
        <w:ind w:left="1028" w:right="140" w:hanging="518"/>
        <w:spacing w:after="0" w:line="241" w:lineRule="auto"/>
        <w:tabs>
          <w:tab w:leader="none" w:pos="1028" w:val="left"/>
        </w:tabs>
        <w:numPr>
          <w:ilvl w:val="1"/>
          <w:numId w:val="139"/>
        </w:numPr>
        <w:rPr>
          <w:rFonts w:ascii="Calibri" w:cs="Calibri" w:eastAsia="Calibri" w:hAnsi="Calibri"/>
          <w:sz w:val="15"/>
          <w:szCs w:val="15"/>
          <w:color w:val="auto"/>
        </w:rPr>
      </w:pPr>
      <w:r>
        <w:rPr>
          <w:rFonts w:ascii="Calibri" w:cs="Calibri" w:eastAsia="Calibri" w:hAnsi="Calibri"/>
          <w:sz w:val="15"/>
          <w:szCs w:val="15"/>
          <w:color w:val="auto"/>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92" w:lineRule="exact"/>
        <w:rPr>
          <w:rFonts w:ascii="Calibri" w:cs="Calibri" w:eastAsia="Calibri" w:hAnsi="Calibri"/>
          <w:sz w:val="15"/>
          <w:szCs w:val="15"/>
          <w:color w:val="auto"/>
        </w:rPr>
      </w:pPr>
    </w:p>
    <w:p>
      <w:pPr>
        <w:ind w:left="1028" w:hanging="518"/>
        <w:spacing w:after="0"/>
        <w:tabs>
          <w:tab w:leader="none" w:pos="1028" w:val="left"/>
        </w:tabs>
        <w:numPr>
          <w:ilvl w:val="1"/>
          <w:numId w:val="139"/>
        </w:numPr>
        <w:rPr>
          <w:rFonts w:ascii="Calibri" w:cs="Calibri" w:eastAsia="Calibri" w:hAnsi="Calibri"/>
          <w:sz w:val="15"/>
          <w:szCs w:val="15"/>
          <w:color w:val="auto"/>
        </w:rPr>
      </w:pPr>
      <w:r>
        <w:rPr>
          <w:rFonts w:ascii="Calibri" w:cs="Calibri" w:eastAsia="Calibri" w:hAnsi="Calibri"/>
          <w:sz w:val="15"/>
          <w:szCs w:val="15"/>
          <w:color w:val="auto"/>
        </w:rPr>
        <w:t>Any fraud, whether or not material, that involves management or other employees who have a signifcant role in the registrant's internal control over fnancial reportng.</w:t>
      </w:r>
    </w:p>
    <w:p>
      <w:pPr>
        <w:spacing w:after="0" w:line="185" w:lineRule="exact"/>
        <w:rPr>
          <w:sz w:val="20"/>
          <w:szCs w:val="20"/>
          <w:color w:val="auto"/>
        </w:rPr>
      </w:pPr>
    </w:p>
    <w:tbl>
      <w:tblPr>
        <w:tblLayout w:type="fixed"/>
        <w:tblInd w:w="8" w:type="dxa"/>
        <w:tblCellMar>
          <w:top w:w="0" w:type="dxa"/>
          <w:left w:w="0" w:type="dxa"/>
          <w:bottom w:w="0" w:type="dxa"/>
          <w:right w:w="0" w:type="dxa"/>
        </w:tblCellMar>
      </w:tblPr>
      <w:tr>
        <w:trPr>
          <w:trHeight w:val="206"/>
        </w:trPr>
        <w:tc>
          <w:tcPr>
            <w:tcW w:w="3580" w:type="dxa"/>
            <w:vAlign w:val="bottom"/>
          </w:tcPr>
          <w:p>
            <w:pPr>
              <w:spacing w:after="0"/>
              <w:rPr>
                <w:sz w:val="20"/>
                <w:szCs w:val="20"/>
                <w:color w:val="auto"/>
              </w:rPr>
            </w:pPr>
            <w:r>
              <w:rPr>
                <w:rFonts w:ascii="Calibri" w:cs="Calibri" w:eastAsia="Calibri" w:hAnsi="Calibri"/>
                <w:sz w:val="15"/>
                <w:szCs w:val="15"/>
                <w:color w:val="auto"/>
              </w:rPr>
              <w:t>Date: February 26, 2024</w:t>
            </w:r>
          </w:p>
        </w:tc>
        <w:tc>
          <w:tcPr>
            <w:tcW w:w="7680" w:type="dxa"/>
            <w:vAlign w:val="bottom"/>
            <w:gridSpan w:val="2"/>
          </w:tcPr>
          <w:p>
            <w:pPr>
              <w:ind w:left="2140"/>
              <w:spacing w:after="0"/>
              <w:rPr>
                <w:sz w:val="20"/>
                <w:szCs w:val="20"/>
                <w:color w:val="auto"/>
              </w:rPr>
            </w:pPr>
            <w:r>
              <w:rPr>
                <w:rFonts w:ascii="Calibri" w:cs="Calibri" w:eastAsia="Calibri" w:hAnsi="Calibri"/>
                <w:sz w:val="15"/>
                <w:szCs w:val="15"/>
                <w:color w:val="auto"/>
              </w:rPr>
              <w:t>By:  /s/ Jason Trevisan</w:t>
            </w:r>
          </w:p>
        </w:tc>
      </w:tr>
      <w:tr>
        <w:trPr>
          <w:trHeight w:val="177"/>
        </w:trPr>
        <w:tc>
          <w:tcPr>
            <w:tcW w:w="358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5220" w:type="dxa"/>
            <w:vAlign w:val="bottom"/>
            <w:tcBorders>
              <w:top w:val="single" w:sz="8" w:color="auto"/>
            </w:tcBorders>
          </w:tcPr>
          <w:p>
            <w:pPr>
              <w:spacing w:after="0" w:line="178" w:lineRule="exact"/>
              <w:rPr>
                <w:sz w:val="20"/>
                <w:szCs w:val="20"/>
                <w:color w:val="auto"/>
              </w:rPr>
            </w:pPr>
            <w:r>
              <w:rPr>
                <w:rFonts w:ascii="Calibri" w:cs="Calibri" w:eastAsia="Calibri" w:hAnsi="Calibri"/>
                <w:sz w:val="15"/>
                <w:szCs w:val="15"/>
                <w:color w:val="auto"/>
              </w:rPr>
              <w:t>Jason Trevisan</w:t>
            </w:r>
          </w:p>
        </w:tc>
      </w:tr>
      <w:tr>
        <w:trPr>
          <w:trHeight w:val="183"/>
        </w:trPr>
        <w:tc>
          <w:tcPr>
            <w:tcW w:w="358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5220" w:type="dxa"/>
            <w:vAlign w:val="bottom"/>
          </w:tcPr>
          <w:p>
            <w:pPr>
              <w:spacing w:after="0"/>
              <w:rPr>
                <w:sz w:val="20"/>
                <w:szCs w:val="20"/>
                <w:color w:val="auto"/>
              </w:rPr>
            </w:pPr>
            <w:r>
              <w:rPr>
                <w:rFonts w:ascii="Calibri" w:cs="Calibri" w:eastAsia="Calibri" w:hAnsi="Calibri"/>
                <w:sz w:val="15"/>
                <w:szCs w:val="15"/>
                <w:color w:val="auto"/>
              </w:rPr>
              <w:t>Chief Executve Ofcer</w:t>
            </w:r>
          </w:p>
        </w:tc>
      </w:tr>
      <w:tr>
        <w:trPr>
          <w:trHeight w:val="184"/>
        </w:trPr>
        <w:tc>
          <w:tcPr>
            <w:tcW w:w="35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220" w:type="dxa"/>
            <w:vAlign w:val="bottom"/>
          </w:tcPr>
          <w:p>
            <w:pPr>
              <w:spacing w:after="0"/>
              <w:rPr>
                <w:sz w:val="20"/>
                <w:szCs w:val="20"/>
                <w:color w:val="auto"/>
              </w:rPr>
            </w:pPr>
            <w:r>
              <w:rPr>
                <w:rFonts w:ascii="Calibri" w:cs="Calibri" w:eastAsia="Calibri" w:hAnsi="Calibri"/>
                <w:sz w:val="15"/>
                <w:szCs w:val="15"/>
                <w:color w:val="auto"/>
              </w:rPr>
              <w:t>(Principal Executve Ofcer)</w:t>
            </w:r>
          </w:p>
        </w:tc>
      </w:tr>
      <w:tr>
        <w:trPr>
          <w:trHeight w:val="1047"/>
        </w:trPr>
        <w:tc>
          <w:tcPr>
            <w:tcW w:w="358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7132320</wp:posOffset>
            </wp:positionH>
            <wp:positionV relativeFrom="paragraph">
              <wp:posOffset>-26670</wp:posOffset>
            </wp:positionV>
            <wp:extent cx="33020" cy="4000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33">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-26670</wp:posOffset>
            </wp:positionV>
            <wp:extent cx="33020" cy="4000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34">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8"/>
          </w:cols>
          <w:pgMar w:left="312" w:top="858" w:right="319" w:bottom="1440" w:gutter="0" w:footer="0" w:header="0"/>
        </w:sectPr>
      </w:pPr>
    </w:p>
    <w:bookmarkStart w:id="248" w:name="page249"/>
    <w:bookmarkEnd w:id="248"/>
    <w:p>
      <w:pPr>
        <w:jc w:val="right"/>
        <w:spacing w:after="0"/>
        <w:rPr>
          <w:sz w:val="20"/>
          <w:szCs w:val="20"/>
          <w:color w:val="auto"/>
        </w:rPr>
      </w:pPr>
      <w:r>
        <w:rPr>
          <w:rFonts w:ascii="Calibri" w:cs="Calibri" w:eastAsia="Calibri" w:hAnsi="Calibri"/>
          <w:sz w:val="15"/>
          <w:szCs w:val="15"/>
          <w:b w:val="1"/>
          <w:bCs w:val="1"/>
          <w:color w:val="auto"/>
        </w:rPr>
        <w:t>Exhibit 31.2</w:t>
      </w:r>
    </w:p>
    <w:p>
      <w:pPr>
        <w:spacing w:after="0" w:line="277" w:lineRule="exact"/>
        <w:rPr>
          <w:sz w:val="20"/>
          <w:szCs w:val="20"/>
          <w:color w:val="auto"/>
        </w:rPr>
      </w:pPr>
    </w:p>
    <w:p>
      <w:pPr>
        <w:jc w:val="center"/>
        <w:ind w:right="-7"/>
        <w:spacing w:after="0"/>
        <w:rPr>
          <w:sz w:val="20"/>
          <w:szCs w:val="20"/>
          <w:color w:val="auto"/>
        </w:rPr>
      </w:pPr>
      <w:r>
        <w:rPr>
          <w:rFonts w:ascii="Calibri" w:cs="Calibri" w:eastAsia="Calibri" w:hAnsi="Calibri"/>
          <w:sz w:val="15"/>
          <w:szCs w:val="15"/>
          <w:b w:val="1"/>
          <w:bCs w:val="1"/>
          <w:color w:val="auto"/>
        </w:rPr>
        <w:t>CERTIFICATION PURSUANT TO</w:t>
      </w:r>
    </w:p>
    <w:p>
      <w:pPr>
        <w:spacing w:after="0" w:line="1" w:lineRule="exact"/>
        <w:rPr>
          <w:sz w:val="20"/>
          <w:szCs w:val="20"/>
          <w:color w:val="auto"/>
        </w:rPr>
      </w:pPr>
    </w:p>
    <w:p>
      <w:pPr>
        <w:jc w:val="center"/>
        <w:ind w:right="-7"/>
        <w:spacing w:after="0"/>
        <w:rPr>
          <w:sz w:val="20"/>
          <w:szCs w:val="20"/>
          <w:color w:val="auto"/>
        </w:rPr>
      </w:pPr>
      <w:r>
        <w:rPr>
          <w:rFonts w:ascii="Calibri" w:cs="Calibri" w:eastAsia="Calibri" w:hAnsi="Calibri"/>
          <w:sz w:val="15"/>
          <w:szCs w:val="15"/>
          <w:b w:val="1"/>
          <w:bCs w:val="1"/>
          <w:color w:val="auto"/>
        </w:rPr>
        <w:t>RULES 13a-14(a) AND 15d-14(a) UNDER THE SECURITIES EXCHANGE ACT OF 1934,</w:t>
      </w:r>
    </w:p>
    <w:p>
      <w:pPr>
        <w:spacing w:after="0" w:line="1" w:lineRule="exact"/>
        <w:rPr>
          <w:sz w:val="20"/>
          <w:szCs w:val="20"/>
          <w:color w:val="auto"/>
        </w:rPr>
      </w:pPr>
    </w:p>
    <w:p>
      <w:pPr>
        <w:jc w:val="center"/>
        <w:ind w:right="-7"/>
        <w:spacing w:after="0"/>
        <w:rPr>
          <w:sz w:val="20"/>
          <w:szCs w:val="20"/>
          <w:color w:val="auto"/>
        </w:rPr>
      </w:pPr>
      <w:r>
        <w:rPr>
          <w:rFonts w:ascii="Calibri" w:cs="Calibri" w:eastAsia="Calibri" w:hAnsi="Calibri"/>
          <w:sz w:val="15"/>
          <w:szCs w:val="15"/>
          <w:b w:val="1"/>
          <w:bCs w:val="1"/>
          <w:color w:val="auto"/>
        </w:rPr>
        <w:t>AS ADOPTED PURSUANT TO SECTION 302 OF THE SARBANES-OXLEY ACT OF 2002</w:t>
      </w:r>
    </w:p>
    <w:p>
      <w:pPr>
        <w:spacing w:after="0" w:line="185" w:lineRule="exact"/>
        <w:rPr>
          <w:sz w:val="20"/>
          <w:szCs w:val="20"/>
          <w:color w:val="auto"/>
        </w:rPr>
      </w:pPr>
    </w:p>
    <w:p>
      <w:pPr>
        <w:ind w:left="8"/>
        <w:spacing w:after="0"/>
        <w:rPr>
          <w:sz w:val="20"/>
          <w:szCs w:val="20"/>
          <w:color w:val="auto"/>
        </w:rPr>
      </w:pPr>
      <w:r>
        <w:rPr>
          <w:rFonts w:ascii="Calibri" w:cs="Calibri" w:eastAsia="Calibri" w:hAnsi="Calibri"/>
          <w:sz w:val="15"/>
          <w:szCs w:val="15"/>
          <w:color w:val="auto"/>
        </w:rPr>
        <w:t>I, Elisa Palazzo, certfy that:</w:t>
      </w:r>
    </w:p>
    <w:p>
      <w:pPr>
        <w:spacing w:after="0" w:line="185" w:lineRule="exact"/>
        <w:rPr>
          <w:sz w:val="20"/>
          <w:szCs w:val="20"/>
          <w:color w:val="auto"/>
        </w:rPr>
      </w:pPr>
    </w:p>
    <w:p>
      <w:pPr>
        <w:ind w:left="508" w:hanging="508"/>
        <w:spacing w:after="0"/>
        <w:tabs>
          <w:tab w:leader="none" w:pos="508" w:val="left"/>
        </w:tabs>
        <w:numPr>
          <w:ilvl w:val="0"/>
          <w:numId w:val="140"/>
        </w:numPr>
        <w:rPr>
          <w:rFonts w:ascii="Calibri" w:cs="Calibri" w:eastAsia="Calibri" w:hAnsi="Calibri"/>
          <w:sz w:val="15"/>
          <w:szCs w:val="15"/>
          <w:color w:val="auto"/>
        </w:rPr>
      </w:pPr>
      <w:r>
        <w:rPr>
          <w:rFonts w:ascii="Calibri" w:cs="Calibri" w:eastAsia="Calibri" w:hAnsi="Calibri"/>
          <w:sz w:val="15"/>
          <w:szCs w:val="15"/>
          <w:color w:val="auto"/>
        </w:rPr>
        <w:t>I have reviewed this Annual Report on Form 10-K of CarGurus, Inc.;</w:t>
      </w:r>
    </w:p>
    <w:p>
      <w:pPr>
        <w:spacing w:after="0" w:line="185" w:lineRule="exact"/>
        <w:rPr>
          <w:rFonts w:ascii="Calibri" w:cs="Calibri" w:eastAsia="Calibri" w:hAnsi="Calibri"/>
          <w:sz w:val="15"/>
          <w:szCs w:val="15"/>
          <w:color w:val="auto"/>
        </w:rPr>
      </w:pPr>
    </w:p>
    <w:p>
      <w:pPr>
        <w:ind w:left="508" w:right="100" w:hanging="508"/>
        <w:spacing w:after="0" w:line="241" w:lineRule="auto"/>
        <w:tabs>
          <w:tab w:leader="none" w:pos="508" w:val="left"/>
        </w:tabs>
        <w:numPr>
          <w:ilvl w:val="0"/>
          <w:numId w:val="140"/>
        </w:numPr>
        <w:rPr>
          <w:rFonts w:ascii="Calibri" w:cs="Calibri" w:eastAsia="Calibri" w:hAnsi="Calibri"/>
          <w:sz w:val="15"/>
          <w:szCs w:val="15"/>
          <w:color w:val="auto"/>
        </w:rPr>
      </w:pPr>
      <w:r>
        <w:rPr>
          <w:rFonts w:ascii="Calibri" w:cs="Calibri" w:eastAsia="Calibri" w:hAnsi="Calibri"/>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rFonts w:ascii="Calibri" w:cs="Calibri" w:eastAsia="Calibri" w:hAnsi="Calibri"/>
          <w:sz w:val="15"/>
          <w:szCs w:val="15"/>
          <w:color w:val="auto"/>
        </w:rPr>
      </w:pPr>
    </w:p>
    <w:p>
      <w:pPr>
        <w:ind w:left="508" w:right="120" w:hanging="508"/>
        <w:spacing w:after="0" w:line="241" w:lineRule="auto"/>
        <w:tabs>
          <w:tab w:leader="none" w:pos="508" w:val="left"/>
        </w:tabs>
        <w:numPr>
          <w:ilvl w:val="0"/>
          <w:numId w:val="140"/>
        </w:numPr>
        <w:rPr>
          <w:rFonts w:ascii="Calibri" w:cs="Calibri" w:eastAsia="Calibri" w:hAnsi="Calibri"/>
          <w:sz w:val="15"/>
          <w:szCs w:val="15"/>
          <w:color w:val="auto"/>
        </w:rPr>
      </w:pPr>
      <w:r>
        <w:rPr>
          <w:rFonts w:ascii="Calibri" w:cs="Calibri" w:eastAsia="Calibri" w:hAnsi="Calibri"/>
          <w:sz w:val="15"/>
          <w:szCs w:val="15"/>
          <w:color w:val="auto"/>
        </w:rPr>
        <w:t>Based on my knowledge, the fnancial statements, and other fnancial informaton included in this report, fairly present in all material respects the fnancial conditon, results of operatons and cash fows of the registrant as of, and for, the periods presented in this report;</w:t>
      </w:r>
    </w:p>
    <w:p>
      <w:pPr>
        <w:spacing w:after="0" w:line="184" w:lineRule="exact"/>
        <w:rPr>
          <w:rFonts w:ascii="Calibri" w:cs="Calibri" w:eastAsia="Calibri" w:hAnsi="Calibri"/>
          <w:sz w:val="15"/>
          <w:szCs w:val="15"/>
          <w:color w:val="auto"/>
        </w:rPr>
      </w:pPr>
    </w:p>
    <w:p>
      <w:pPr>
        <w:ind w:left="508" w:right="180" w:hanging="508"/>
        <w:spacing w:after="0" w:line="241" w:lineRule="auto"/>
        <w:tabs>
          <w:tab w:leader="none" w:pos="508" w:val="left"/>
        </w:tabs>
        <w:numPr>
          <w:ilvl w:val="0"/>
          <w:numId w:val="140"/>
        </w:numPr>
        <w:rPr>
          <w:rFonts w:ascii="Calibri" w:cs="Calibri" w:eastAsia="Calibri" w:hAnsi="Calibri"/>
          <w:sz w:val="15"/>
          <w:szCs w:val="15"/>
          <w:color w:val="auto"/>
        </w:rPr>
      </w:pPr>
      <w:r>
        <w:rPr>
          <w:rFonts w:ascii="Calibri" w:cs="Calibri" w:eastAsia="Calibri" w:hAnsi="Calibri"/>
          <w:sz w:val="15"/>
          <w:szCs w:val="15"/>
          <w:color w:val="auto"/>
        </w:rPr>
        <w:t>The registrant’s other certfying ofcer(s) and I are responsible for establishing and maintaining disclosure controls and procedures (as defned in Exchange Act Rules 13a-15(e) and 15d-15(e)) and internal control over fnancial reportng (as defned in Exchange Act Rules 13a-15(f) and 15d-15(f)) for the registrant and have:</w:t>
      </w:r>
    </w:p>
    <w:p>
      <w:pPr>
        <w:spacing w:after="0" w:line="184" w:lineRule="exact"/>
        <w:rPr>
          <w:rFonts w:ascii="Calibri" w:cs="Calibri" w:eastAsia="Calibri" w:hAnsi="Calibri"/>
          <w:sz w:val="15"/>
          <w:szCs w:val="15"/>
          <w:color w:val="auto"/>
        </w:rPr>
      </w:pPr>
    </w:p>
    <w:p>
      <w:pPr>
        <w:ind w:left="1028" w:right="80" w:hanging="518"/>
        <w:spacing w:after="0" w:line="241" w:lineRule="auto"/>
        <w:tabs>
          <w:tab w:leader="none" w:pos="1028" w:val="left"/>
        </w:tabs>
        <w:numPr>
          <w:ilvl w:val="1"/>
          <w:numId w:val="140"/>
        </w:numPr>
        <w:rPr>
          <w:rFonts w:ascii="Calibri" w:cs="Calibri" w:eastAsia="Calibri" w:hAnsi="Calibri"/>
          <w:sz w:val="15"/>
          <w:szCs w:val="15"/>
          <w:color w:val="auto"/>
        </w:rPr>
      </w:pPr>
      <w:r>
        <w:rPr>
          <w:rFonts w:ascii="Calibri" w:cs="Calibri" w:eastAsia="Calibri" w:hAnsi="Calibri"/>
          <w:sz w:val="15"/>
          <w:szCs w:val="15"/>
          <w:color w:val="auto"/>
        </w:rPr>
        <w:t>Designed such disclosure controls and procedures, or caused such disclosure controls and procedures to be designed under our supervision, to ensure that material informaton relatng to the registrant, including its consolidated subsidiaries, is made known to us by others within those enttes, partcularly during the period in which this report is being prepared;</w:t>
      </w:r>
    </w:p>
    <w:p>
      <w:pPr>
        <w:spacing w:after="0" w:line="184" w:lineRule="exact"/>
        <w:rPr>
          <w:rFonts w:ascii="Calibri" w:cs="Calibri" w:eastAsia="Calibri" w:hAnsi="Calibri"/>
          <w:sz w:val="15"/>
          <w:szCs w:val="15"/>
          <w:color w:val="auto"/>
        </w:rPr>
      </w:pPr>
    </w:p>
    <w:p>
      <w:pPr>
        <w:ind w:left="1028" w:right="440" w:hanging="518"/>
        <w:spacing w:after="0" w:line="241" w:lineRule="auto"/>
        <w:tabs>
          <w:tab w:leader="none" w:pos="1028" w:val="left"/>
        </w:tabs>
        <w:numPr>
          <w:ilvl w:val="1"/>
          <w:numId w:val="140"/>
        </w:numPr>
        <w:rPr>
          <w:rFonts w:ascii="Calibri" w:cs="Calibri" w:eastAsia="Calibri" w:hAnsi="Calibri"/>
          <w:sz w:val="15"/>
          <w:szCs w:val="15"/>
          <w:color w:val="auto"/>
        </w:rPr>
      </w:pPr>
      <w:r>
        <w:rPr>
          <w:rFonts w:ascii="Calibri" w:cs="Calibri" w:eastAsia="Calibri" w:hAnsi="Calibri"/>
          <w:sz w:val="15"/>
          <w:szCs w:val="15"/>
          <w:color w:val="auto"/>
        </w:rPr>
        <w:t>Designed such internal control over fnancial reportng, or caused such internal control over fnancial reportng to be designed under our supervision, to provide reasonable assurance regarding the reliability of fnancial reportng and the preparaton of fnancial statements for external purposes in accordance with generally accepted accountng principles;</w:t>
      </w:r>
    </w:p>
    <w:p>
      <w:pPr>
        <w:spacing w:after="0" w:line="184" w:lineRule="exact"/>
        <w:rPr>
          <w:rFonts w:ascii="Calibri" w:cs="Calibri" w:eastAsia="Calibri" w:hAnsi="Calibri"/>
          <w:sz w:val="15"/>
          <w:szCs w:val="15"/>
          <w:color w:val="auto"/>
        </w:rPr>
      </w:pPr>
    </w:p>
    <w:p>
      <w:pPr>
        <w:ind w:left="1028" w:right="140" w:hanging="518"/>
        <w:spacing w:after="0" w:line="241" w:lineRule="auto"/>
        <w:tabs>
          <w:tab w:leader="none" w:pos="1028" w:val="left"/>
        </w:tabs>
        <w:numPr>
          <w:ilvl w:val="1"/>
          <w:numId w:val="140"/>
        </w:numPr>
        <w:rPr>
          <w:rFonts w:ascii="Calibri" w:cs="Calibri" w:eastAsia="Calibri" w:hAnsi="Calibri"/>
          <w:sz w:val="15"/>
          <w:szCs w:val="15"/>
          <w:color w:val="auto"/>
        </w:rPr>
      </w:pPr>
      <w:r>
        <w:rPr>
          <w:rFonts w:ascii="Calibri" w:cs="Calibri" w:eastAsia="Calibri" w:hAnsi="Calibri"/>
          <w:sz w:val="15"/>
          <w:szCs w:val="15"/>
          <w:color w:val="auto"/>
        </w:rPr>
        <w:t>Evaluated the efectveness of the registrant's disclosure controls and procedures and presented in this report our conclusions about the efectveness of the disclosure controls and procedures, as of the end of the period covered by this report based on such evaluaton; and</w:t>
      </w:r>
    </w:p>
    <w:p>
      <w:pPr>
        <w:spacing w:after="0" w:line="184" w:lineRule="exact"/>
        <w:rPr>
          <w:rFonts w:ascii="Calibri" w:cs="Calibri" w:eastAsia="Calibri" w:hAnsi="Calibri"/>
          <w:sz w:val="15"/>
          <w:szCs w:val="15"/>
          <w:color w:val="auto"/>
        </w:rPr>
      </w:pPr>
    </w:p>
    <w:p>
      <w:pPr>
        <w:ind w:left="1028" w:right="200" w:hanging="518"/>
        <w:spacing w:after="0" w:line="241" w:lineRule="auto"/>
        <w:tabs>
          <w:tab w:leader="none" w:pos="1028" w:val="left"/>
        </w:tabs>
        <w:numPr>
          <w:ilvl w:val="1"/>
          <w:numId w:val="140"/>
        </w:numPr>
        <w:rPr>
          <w:rFonts w:ascii="Calibri" w:cs="Calibri" w:eastAsia="Calibri" w:hAnsi="Calibri"/>
          <w:sz w:val="15"/>
          <w:szCs w:val="15"/>
          <w:color w:val="auto"/>
        </w:rPr>
      </w:pPr>
      <w:r>
        <w:rPr>
          <w:rFonts w:ascii="Calibri" w:cs="Calibri" w:eastAsia="Calibri" w:hAnsi="Calibri"/>
          <w:sz w:val="15"/>
          <w:szCs w:val="15"/>
          <w:color w:val="auto"/>
        </w:rPr>
        <w:t>Disclosed in this report any change in the registrant's internal control over fnancial reportng that occurred during the registrant's most recent fscal quarter (the registrant's fourth fscal quarter in the case of an annual report) that has materially afected, or is reasonably likely to materially afect, the registrant's internal control over fnancial reportng; and</w:t>
      </w:r>
    </w:p>
    <w:p>
      <w:pPr>
        <w:spacing w:after="0" w:line="184" w:lineRule="exact"/>
        <w:rPr>
          <w:rFonts w:ascii="Calibri" w:cs="Calibri" w:eastAsia="Calibri" w:hAnsi="Calibri"/>
          <w:sz w:val="15"/>
          <w:szCs w:val="15"/>
          <w:color w:val="auto"/>
        </w:rPr>
      </w:pPr>
    </w:p>
    <w:p>
      <w:pPr>
        <w:ind w:left="508" w:right="200" w:hanging="508"/>
        <w:spacing w:after="0" w:line="241" w:lineRule="auto"/>
        <w:tabs>
          <w:tab w:leader="none" w:pos="508" w:val="left"/>
        </w:tabs>
        <w:numPr>
          <w:ilvl w:val="0"/>
          <w:numId w:val="140"/>
        </w:numPr>
        <w:rPr>
          <w:rFonts w:ascii="Calibri" w:cs="Calibri" w:eastAsia="Calibri" w:hAnsi="Calibri"/>
          <w:sz w:val="15"/>
          <w:szCs w:val="15"/>
          <w:color w:val="auto"/>
        </w:rPr>
      </w:pPr>
      <w:r>
        <w:rPr>
          <w:rFonts w:ascii="Calibri" w:cs="Calibri" w:eastAsia="Calibri" w:hAnsi="Calibri"/>
          <w:sz w:val="15"/>
          <w:szCs w:val="15"/>
          <w:color w:val="auto"/>
        </w:rPr>
        <w:t>The registrant's other certfying ofcer(s) and I have disclosed, based on our most recent evaluaton of internal control over fnancial reportng, to the registrant's auditors and the audit commitee of the registrant's board of directors (or persons performing the equivalent functons):</w:t>
      </w:r>
    </w:p>
    <w:p>
      <w:pPr>
        <w:spacing w:after="0" w:line="184" w:lineRule="exact"/>
        <w:rPr>
          <w:rFonts w:ascii="Calibri" w:cs="Calibri" w:eastAsia="Calibri" w:hAnsi="Calibri"/>
          <w:sz w:val="15"/>
          <w:szCs w:val="15"/>
          <w:color w:val="auto"/>
        </w:rPr>
      </w:pPr>
    </w:p>
    <w:p>
      <w:pPr>
        <w:ind w:left="1028" w:right="140" w:hanging="518"/>
        <w:spacing w:after="0" w:line="241" w:lineRule="auto"/>
        <w:tabs>
          <w:tab w:leader="none" w:pos="1028" w:val="left"/>
        </w:tabs>
        <w:numPr>
          <w:ilvl w:val="1"/>
          <w:numId w:val="140"/>
        </w:numPr>
        <w:rPr>
          <w:rFonts w:ascii="Calibri" w:cs="Calibri" w:eastAsia="Calibri" w:hAnsi="Calibri"/>
          <w:sz w:val="15"/>
          <w:szCs w:val="15"/>
          <w:color w:val="auto"/>
        </w:rPr>
      </w:pPr>
      <w:r>
        <w:rPr>
          <w:rFonts w:ascii="Calibri" w:cs="Calibri" w:eastAsia="Calibri" w:hAnsi="Calibri"/>
          <w:sz w:val="15"/>
          <w:szCs w:val="15"/>
          <w:color w:val="auto"/>
        </w:rPr>
        <w:t>All signifcant defciencies and material weaknesses in the design or operaton of internal control over fnancial reportng which are reasonably likely to adversely afect the registrant's ability to record, process, summarize and report fnancial informaton; and</w:t>
      </w:r>
    </w:p>
    <w:p>
      <w:pPr>
        <w:spacing w:after="0" w:line="92" w:lineRule="exact"/>
        <w:rPr>
          <w:rFonts w:ascii="Calibri" w:cs="Calibri" w:eastAsia="Calibri" w:hAnsi="Calibri"/>
          <w:sz w:val="15"/>
          <w:szCs w:val="15"/>
          <w:color w:val="auto"/>
        </w:rPr>
      </w:pPr>
    </w:p>
    <w:p>
      <w:pPr>
        <w:ind w:left="1028" w:hanging="518"/>
        <w:spacing w:after="0"/>
        <w:tabs>
          <w:tab w:leader="none" w:pos="1028" w:val="left"/>
        </w:tabs>
        <w:numPr>
          <w:ilvl w:val="1"/>
          <w:numId w:val="140"/>
        </w:numPr>
        <w:rPr>
          <w:rFonts w:ascii="Calibri" w:cs="Calibri" w:eastAsia="Calibri" w:hAnsi="Calibri"/>
          <w:sz w:val="15"/>
          <w:szCs w:val="15"/>
          <w:color w:val="auto"/>
        </w:rPr>
      </w:pPr>
      <w:r>
        <w:rPr>
          <w:rFonts w:ascii="Calibri" w:cs="Calibri" w:eastAsia="Calibri" w:hAnsi="Calibri"/>
          <w:sz w:val="15"/>
          <w:szCs w:val="15"/>
          <w:color w:val="auto"/>
        </w:rPr>
        <w:t>Any fraud, whether or not material, that involves management or other employees who have a signifcant role in the registrant's internal control over fnancial reportng.</w:t>
      </w:r>
    </w:p>
    <w:p>
      <w:pPr>
        <w:spacing w:after="0" w:line="185" w:lineRule="exact"/>
        <w:rPr>
          <w:sz w:val="20"/>
          <w:szCs w:val="20"/>
          <w:color w:val="auto"/>
        </w:rPr>
      </w:pPr>
    </w:p>
    <w:tbl>
      <w:tblPr>
        <w:tblLayout w:type="fixed"/>
        <w:tblInd w:w="8" w:type="dxa"/>
        <w:tblCellMar>
          <w:top w:w="0" w:type="dxa"/>
          <w:left w:w="0" w:type="dxa"/>
          <w:bottom w:w="0" w:type="dxa"/>
          <w:right w:w="0" w:type="dxa"/>
        </w:tblCellMar>
      </w:tblPr>
      <w:tr>
        <w:trPr>
          <w:trHeight w:val="206"/>
        </w:trPr>
        <w:tc>
          <w:tcPr>
            <w:tcW w:w="3580" w:type="dxa"/>
            <w:vAlign w:val="bottom"/>
          </w:tcPr>
          <w:p>
            <w:pPr>
              <w:spacing w:after="0"/>
              <w:rPr>
                <w:sz w:val="20"/>
                <w:szCs w:val="20"/>
                <w:color w:val="auto"/>
              </w:rPr>
            </w:pPr>
            <w:r>
              <w:rPr>
                <w:rFonts w:ascii="Calibri" w:cs="Calibri" w:eastAsia="Calibri" w:hAnsi="Calibri"/>
                <w:sz w:val="15"/>
                <w:szCs w:val="15"/>
                <w:color w:val="auto"/>
              </w:rPr>
              <w:t>Date: February 26, 2024</w:t>
            </w:r>
          </w:p>
        </w:tc>
        <w:tc>
          <w:tcPr>
            <w:tcW w:w="7680" w:type="dxa"/>
            <w:vAlign w:val="bottom"/>
            <w:gridSpan w:val="2"/>
          </w:tcPr>
          <w:p>
            <w:pPr>
              <w:ind w:left="2120"/>
              <w:spacing w:after="0"/>
              <w:rPr>
                <w:sz w:val="20"/>
                <w:szCs w:val="20"/>
                <w:color w:val="auto"/>
              </w:rPr>
            </w:pPr>
            <w:r>
              <w:rPr>
                <w:rFonts w:ascii="Calibri" w:cs="Calibri" w:eastAsia="Calibri" w:hAnsi="Calibri"/>
                <w:sz w:val="15"/>
                <w:szCs w:val="15"/>
                <w:color w:val="auto"/>
              </w:rPr>
              <w:t>By:  /s/ Elisa Palazzo</w:t>
            </w:r>
          </w:p>
        </w:tc>
      </w:tr>
      <w:tr>
        <w:trPr>
          <w:trHeight w:val="177"/>
        </w:trPr>
        <w:tc>
          <w:tcPr>
            <w:tcW w:w="358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5220" w:type="dxa"/>
            <w:vAlign w:val="bottom"/>
            <w:tcBorders>
              <w:top w:val="single" w:sz="8" w:color="auto"/>
            </w:tcBorders>
          </w:tcPr>
          <w:p>
            <w:pPr>
              <w:spacing w:after="0" w:line="178" w:lineRule="exact"/>
              <w:rPr>
                <w:sz w:val="20"/>
                <w:szCs w:val="20"/>
                <w:color w:val="auto"/>
              </w:rPr>
            </w:pPr>
            <w:r>
              <w:rPr>
                <w:rFonts w:ascii="Calibri" w:cs="Calibri" w:eastAsia="Calibri" w:hAnsi="Calibri"/>
                <w:sz w:val="15"/>
                <w:szCs w:val="15"/>
                <w:color w:val="auto"/>
              </w:rPr>
              <w:t>Elisa Palazzo</w:t>
            </w:r>
          </w:p>
        </w:tc>
      </w:tr>
      <w:tr>
        <w:trPr>
          <w:trHeight w:val="183"/>
        </w:trPr>
        <w:tc>
          <w:tcPr>
            <w:tcW w:w="358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5220" w:type="dxa"/>
            <w:vAlign w:val="bottom"/>
          </w:tcPr>
          <w:p>
            <w:pPr>
              <w:spacing w:after="0"/>
              <w:rPr>
                <w:sz w:val="20"/>
                <w:szCs w:val="20"/>
                <w:color w:val="auto"/>
              </w:rPr>
            </w:pPr>
            <w:r>
              <w:rPr>
                <w:rFonts w:ascii="Calibri" w:cs="Calibri" w:eastAsia="Calibri" w:hAnsi="Calibri"/>
                <w:sz w:val="15"/>
                <w:szCs w:val="15"/>
                <w:color w:val="auto"/>
              </w:rPr>
              <w:t>Chief Financial Ofcer</w:t>
            </w:r>
          </w:p>
        </w:tc>
      </w:tr>
      <w:tr>
        <w:trPr>
          <w:trHeight w:val="184"/>
        </w:trPr>
        <w:tc>
          <w:tcPr>
            <w:tcW w:w="35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220" w:type="dxa"/>
            <w:vAlign w:val="bottom"/>
          </w:tcPr>
          <w:p>
            <w:pPr>
              <w:spacing w:after="0"/>
              <w:rPr>
                <w:sz w:val="20"/>
                <w:szCs w:val="20"/>
                <w:color w:val="auto"/>
              </w:rPr>
            </w:pPr>
            <w:r>
              <w:rPr>
                <w:rFonts w:ascii="Calibri" w:cs="Calibri" w:eastAsia="Calibri" w:hAnsi="Calibri"/>
                <w:sz w:val="15"/>
                <w:szCs w:val="15"/>
                <w:color w:val="auto"/>
              </w:rPr>
              <w:t>(Principal Financial Ofcer and Principal Accountng Ofcer)</w:t>
            </w:r>
          </w:p>
        </w:tc>
      </w:tr>
      <w:tr>
        <w:trPr>
          <w:trHeight w:val="862"/>
        </w:trPr>
        <w:tc>
          <w:tcPr>
            <w:tcW w:w="358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7132320</wp:posOffset>
            </wp:positionH>
            <wp:positionV relativeFrom="paragraph">
              <wp:posOffset>-26670</wp:posOffset>
            </wp:positionV>
            <wp:extent cx="33020" cy="4000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35">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-26670</wp:posOffset>
            </wp:positionV>
            <wp:extent cx="33020" cy="4000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36">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8"/>
          </w:cols>
          <w:pgMar w:left="312" w:top="673" w:right="319" w:bottom="1440" w:gutter="0" w:footer="0" w:header="0"/>
        </w:sectPr>
      </w:pPr>
    </w:p>
    <w:bookmarkStart w:id="249" w:name="page250"/>
    <w:bookmarkEnd w:id="249"/>
    <w:p>
      <w:pPr>
        <w:jc w:val="right"/>
        <w:spacing w:after="0"/>
        <w:rPr>
          <w:sz w:val="20"/>
          <w:szCs w:val="20"/>
          <w:color w:val="auto"/>
        </w:rPr>
      </w:pPr>
      <w:r>
        <w:rPr>
          <w:rFonts w:ascii="Calibri" w:cs="Calibri" w:eastAsia="Calibri" w:hAnsi="Calibri"/>
          <w:sz w:val="15"/>
          <w:szCs w:val="15"/>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Calibri" w:cs="Calibri" w:eastAsia="Calibri" w:hAnsi="Calibri"/>
          <w:sz w:val="15"/>
          <w:szCs w:val="15"/>
          <w:b w:val="1"/>
          <w:bCs w:val="1"/>
          <w:color w:val="auto"/>
        </w:rPr>
        <w:t>CERTIFICATION PURSUANT TO</w:t>
      </w:r>
    </w:p>
    <w:p>
      <w:pPr>
        <w:spacing w:after="0" w:line="1" w:lineRule="exact"/>
        <w:rPr>
          <w:sz w:val="20"/>
          <w:szCs w:val="20"/>
          <w:color w:val="auto"/>
        </w:rPr>
      </w:pPr>
    </w:p>
    <w:p>
      <w:pPr>
        <w:ind w:left="4000"/>
        <w:spacing w:after="0"/>
        <w:rPr>
          <w:sz w:val="20"/>
          <w:szCs w:val="20"/>
          <w:color w:val="auto"/>
        </w:rPr>
      </w:pPr>
      <w:r>
        <w:rPr>
          <w:rFonts w:ascii="Calibri" w:cs="Calibri" w:eastAsia="Calibri" w:hAnsi="Calibri"/>
          <w:sz w:val="15"/>
          <w:szCs w:val="15"/>
          <w:b w:val="1"/>
          <w:bCs w:val="1"/>
          <w:color w:val="auto"/>
        </w:rPr>
        <w:t>18 U.S.C. SECTION 1350, AS ADOPTED PURSUANT TO</w:t>
      </w:r>
    </w:p>
    <w:p>
      <w:pPr>
        <w:spacing w:after="0" w:line="1" w:lineRule="exact"/>
        <w:rPr>
          <w:sz w:val="20"/>
          <w:szCs w:val="20"/>
          <w:color w:val="auto"/>
        </w:rPr>
      </w:pPr>
    </w:p>
    <w:p>
      <w:pPr>
        <w:ind w:left="4020"/>
        <w:spacing w:after="0"/>
        <w:rPr>
          <w:sz w:val="20"/>
          <w:szCs w:val="20"/>
          <w:color w:val="auto"/>
        </w:rPr>
      </w:pPr>
      <w:r>
        <w:rPr>
          <w:rFonts w:ascii="Calibri" w:cs="Calibri" w:eastAsia="Calibri" w:hAnsi="Calibri"/>
          <w:sz w:val="15"/>
          <w:szCs w:val="15"/>
          <w:b w:val="1"/>
          <w:bCs w:val="1"/>
          <w:color w:val="auto"/>
        </w:rPr>
        <w:t>SECTION 906 OF THE SARBANES-OXLEY ACT OF 2002</w:t>
      </w:r>
    </w:p>
    <w:p>
      <w:pPr>
        <w:spacing w:after="0" w:line="185" w:lineRule="exact"/>
        <w:rPr>
          <w:sz w:val="20"/>
          <w:szCs w:val="20"/>
          <w:color w:val="auto"/>
        </w:rPr>
      </w:pPr>
    </w:p>
    <w:p>
      <w:pPr>
        <w:ind w:right="180" w:firstLine="511"/>
        <w:spacing w:after="0" w:line="241" w:lineRule="auto"/>
        <w:rPr>
          <w:sz w:val="20"/>
          <w:szCs w:val="20"/>
          <w:color w:val="auto"/>
        </w:rPr>
      </w:pPr>
      <w:r>
        <w:rPr>
          <w:rFonts w:ascii="Calibri" w:cs="Calibri" w:eastAsia="Calibri" w:hAnsi="Calibri"/>
          <w:sz w:val="15"/>
          <w:szCs w:val="15"/>
          <w:color w:val="auto"/>
        </w:rPr>
        <w:t>In connecton with the Annual Report on Form 10-K of CarGurus, Inc. (the “Company”) for the period ending December 31, 2023, as fled with the U.S. Securites and Exchange Commission on the date hereof (the “Report”), I, Jason Trevisan, Chief Executve Ofcer of the Company, certfy, pursuant to 18 U.S.C. § 1350, as adopted pursuant to § 906 of the Sarbanes-Oxley Act of 2002, that, based on my knowledge:</w:t>
      </w:r>
    </w:p>
    <w:p>
      <w:pPr>
        <w:spacing w:after="0" w:line="185" w:lineRule="exact"/>
        <w:rPr>
          <w:sz w:val="20"/>
          <w:szCs w:val="20"/>
          <w:color w:val="auto"/>
        </w:rPr>
      </w:pPr>
    </w:p>
    <w:p>
      <w:pPr>
        <w:ind w:left="1020" w:hanging="518"/>
        <w:spacing w:after="0"/>
        <w:tabs>
          <w:tab w:leader="none" w:pos="1020" w:val="left"/>
        </w:tabs>
        <w:numPr>
          <w:ilvl w:val="0"/>
          <w:numId w:val="141"/>
        </w:numPr>
        <w:rPr>
          <w:rFonts w:ascii="Calibri" w:cs="Calibri" w:eastAsia="Calibri" w:hAnsi="Calibri"/>
          <w:sz w:val="15"/>
          <w:szCs w:val="15"/>
          <w:color w:val="auto"/>
        </w:rPr>
      </w:pPr>
      <w:r>
        <w:rPr>
          <w:rFonts w:ascii="Calibri" w:cs="Calibri" w:eastAsia="Calibri" w:hAnsi="Calibri"/>
          <w:sz w:val="15"/>
          <w:szCs w:val="15"/>
          <w:color w:val="auto"/>
        </w:rPr>
        <w:t>The Report fully complies with the requirements of Secton 13(a) or 15(d) of the Securites Exchange Act of 1934; and</w:t>
      </w:r>
    </w:p>
    <w:p>
      <w:pPr>
        <w:spacing w:after="0" w:line="185" w:lineRule="exact"/>
        <w:rPr>
          <w:rFonts w:ascii="Calibri" w:cs="Calibri" w:eastAsia="Calibri" w:hAnsi="Calibri"/>
          <w:sz w:val="15"/>
          <w:szCs w:val="15"/>
          <w:color w:val="auto"/>
        </w:rPr>
      </w:pPr>
    </w:p>
    <w:p>
      <w:pPr>
        <w:ind w:left="1020" w:hanging="518"/>
        <w:spacing w:after="0"/>
        <w:tabs>
          <w:tab w:leader="none" w:pos="1020" w:val="left"/>
        </w:tabs>
        <w:numPr>
          <w:ilvl w:val="0"/>
          <w:numId w:val="141"/>
        </w:numPr>
        <w:rPr>
          <w:rFonts w:ascii="Calibri" w:cs="Calibri" w:eastAsia="Calibri" w:hAnsi="Calibri"/>
          <w:sz w:val="15"/>
          <w:szCs w:val="15"/>
          <w:color w:val="auto"/>
        </w:rPr>
      </w:pPr>
      <w:r>
        <w:rPr>
          <w:rFonts w:ascii="Calibri" w:cs="Calibri" w:eastAsia="Calibri" w:hAnsi="Calibri"/>
          <w:sz w:val="15"/>
          <w:szCs w:val="15"/>
          <w:color w:val="auto"/>
        </w:rPr>
        <w:t>The informaton contained in the Report fairly presents, in all material respects, the fnancial conditon and results of operatons of the Company.</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580" w:type="dxa"/>
            <w:vAlign w:val="bottom"/>
          </w:tcPr>
          <w:p>
            <w:pPr>
              <w:spacing w:after="0"/>
              <w:rPr>
                <w:sz w:val="20"/>
                <w:szCs w:val="20"/>
                <w:color w:val="auto"/>
              </w:rPr>
            </w:pPr>
            <w:r>
              <w:rPr>
                <w:rFonts w:ascii="Calibri" w:cs="Calibri" w:eastAsia="Calibri" w:hAnsi="Calibri"/>
                <w:sz w:val="15"/>
                <w:szCs w:val="15"/>
                <w:color w:val="auto"/>
              </w:rPr>
              <w:t>Date: February 26, 2024</w:t>
            </w:r>
          </w:p>
        </w:tc>
        <w:tc>
          <w:tcPr>
            <w:tcW w:w="7680" w:type="dxa"/>
            <w:vAlign w:val="bottom"/>
            <w:gridSpan w:val="2"/>
          </w:tcPr>
          <w:p>
            <w:pPr>
              <w:ind w:left="2140"/>
              <w:spacing w:after="0"/>
              <w:rPr>
                <w:sz w:val="20"/>
                <w:szCs w:val="20"/>
                <w:color w:val="auto"/>
              </w:rPr>
            </w:pPr>
            <w:r>
              <w:rPr>
                <w:rFonts w:ascii="Calibri" w:cs="Calibri" w:eastAsia="Calibri" w:hAnsi="Calibri"/>
                <w:sz w:val="15"/>
                <w:szCs w:val="15"/>
                <w:color w:val="auto"/>
              </w:rPr>
              <w:t>By:  /s/ Jason Trevisan</w:t>
            </w:r>
          </w:p>
        </w:tc>
      </w:tr>
      <w:tr>
        <w:trPr>
          <w:trHeight w:val="177"/>
        </w:trPr>
        <w:tc>
          <w:tcPr>
            <w:tcW w:w="358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5220" w:type="dxa"/>
            <w:vAlign w:val="bottom"/>
            <w:tcBorders>
              <w:top w:val="single" w:sz="8" w:color="auto"/>
            </w:tcBorders>
          </w:tcPr>
          <w:p>
            <w:pPr>
              <w:spacing w:after="0" w:line="178" w:lineRule="exact"/>
              <w:rPr>
                <w:sz w:val="20"/>
                <w:szCs w:val="20"/>
                <w:color w:val="auto"/>
              </w:rPr>
            </w:pPr>
            <w:r>
              <w:rPr>
                <w:rFonts w:ascii="Calibri" w:cs="Calibri" w:eastAsia="Calibri" w:hAnsi="Calibri"/>
                <w:sz w:val="15"/>
                <w:szCs w:val="15"/>
                <w:color w:val="auto"/>
              </w:rPr>
              <w:t>Jason Trevisan</w:t>
            </w:r>
          </w:p>
        </w:tc>
      </w:tr>
      <w:tr>
        <w:trPr>
          <w:trHeight w:val="183"/>
        </w:trPr>
        <w:tc>
          <w:tcPr>
            <w:tcW w:w="358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5220" w:type="dxa"/>
            <w:vAlign w:val="bottom"/>
          </w:tcPr>
          <w:p>
            <w:pPr>
              <w:spacing w:after="0"/>
              <w:rPr>
                <w:sz w:val="20"/>
                <w:szCs w:val="20"/>
                <w:color w:val="auto"/>
              </w:rPr>
            </w:pPr>
            <w:r>
              <w:rPr>
                <w:rFonts w:ascii="Calibri" w:cs="Calibri" w:eastAsia="Calibri" w:hAnsi="Calibri"/>
                <w:sz w:val="15"/>
                <w:szCs w:val="15"/>
                <w:color w:val="auto"/>
              </w:rPr>
              <w:t>Chief Executve Ofcer</w:t>
            </w:r>
          </w:p>
        </w:tc>
      </w:tr>
      <w:tr>
        <w:trPr>
          <w:trHeight w:val="184"/>
        </w:trPr>
        <w:tc>
          <w:tcPr>
            <w:tcW w:w="35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220" w:type="dxa"/>
            <w:vAlign w:val="bottom"/>
          </w:tcPr>
          <w:p>
            <w:pPr>
              <w:spacing w:after="0"/>
              <w:rPr>
                <w:sz w:val="20"/>
                <w:szCs w:val="20"/>
                <w:color w:val="auto"/>
              </w:rPr>
            </w:pPr>
            <w:r>
              <w:rPr>
                <w:rFonts w:ascii="Calibri" w:cs="Calibri" w:eastAsia="Calibri" w:hAnsi="Calibri"/>
                <w:sz w:val="15"/>
                <w:szCs w:val="15"/>
                <w:color w:val="auto"/>
              </w:rPr>
              <w:t>(Principal Executve Ofcer)</w:t>
            </w:r>
          </w:p>
        </w:tc>
      </w:tr>
      <w:tr>
        <w:trPr>
          <w:trHeight w:val="1047"/>
        </w:trPr>
        <w:tc>
          <w:tcPr>
            <w:tcW w:w="358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37">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-26670</wp:posOffset>
            </wp:positionV>
            <wp:extent cx="33020" cy="4000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38">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857" w:right="319" w:bottom="1440" w:gutter="0" w:footer="0" w:header="0"/>
        </w:sectPr>
      </w:pPr>
    </w:p>
    <w:bookmarkStart w:id="250" w:name="page251"/>
    <w:bookmarkEnd w:id="250"/>
    <w:p>
      <w:pPr>
        <w:jc w:val="right"/>
        <w:spacing w:after="0"/>
        <w:rPr>
          <w:sz w:val="20"/>
          <w:szCs w:val="20"/>
          <w:color w:val="auto"/>
        </w:rPr>
      </w:pPr>
      <w:r>
        <w:rPr>
          <w:rFonts w:ascii="Calibri" w:cs="Calibri" w:eastAsia="Calibri" w:hAnsi="Calibri"/>
          <w:sz w:val="15"/>
          <w:szCs w:val="15"/>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Calibri" w:cs="Calibri" w:eastAsia="Calibri" w:hAnsi="Calibri"/>
          <w:sz w:val="15"/>
          <w:szCs w:val="15"/>
          <w:b w:val="1"/>
          <w:bCs w:val="1"/>
          <w:color w:val="auto"/>
        </w:rPr>
        <w:t>CERTIFICATION PURSUANT TO</w:t>
      </w:r>
    </w:p>
    <w:p>
      <w:pPr>
        <w:spacing w:after="0" w:line="1" w:lineRule="exact"/>
        <w:rPr>
          <w:sz w:val="20"/>
          <w:szCs w:val="20"/>
          <w:color w:val="auto"/>
        </w:rPr>
      </w:pPr>
    </w:p>
    <w:p>
      <w:pPr>
        <w:ind w:left="4000"/>
        <w:spacing w:after="0"/>
        <w:rPr>
          <w:sz w:val="20"/>
          <w:szCs w:val="20"/>
          <w:color w:val="auto"/>
        </w:rPr>
      </w:pPr>
      <w:r>
        <w:rPr>
          <w:rFonts w:ascii="Calibri" w:cs="Calibri" w:eastAsia="Calibri" w:hAnsi="Calibri"/>
          <w:sz w:val="15"/>
          <w:szCs w:val="15"/>
          <w:b w:val="1"/>
          <w:bCs w:val="1"/>
          <w:color w:val="auto"/>
        </w:rPr>
        <w:t>18 U.S.C. SECTION 1350, AS ADOPTED PURSUANT TO</w:t>
      </w:r>
    </w:p>
    <w:p>
      <w:pPr>
        <w:spacing w:after="0" w:line="1" w:lineRule="exact"/>
        <w:rPr>
          <w:sz w:val="20"/>
          <w:szCs w:val="20"/>
          <w:color w:val="auto"/>
        </w:rPr>
      </w:pPr>
    </w:p>
    <w:p>
      <w:pPr>
        <w:ind w:left="4020"/>
        <w:spacing w:after="0"/>
        <w:rPr>
          <w:sz w:val="20"/>
          <w:szCs w:val="20"/>
          <w:color w:val="auto"/>
        </w:rPr>
      </w:pPr>
      <w:r>
        <w:rPr>
          <w:rFonts w:ascii="Calibri" w:cs="Calibri" w:eastAsia="Calibri" w:hAnsi="Calibri"/>
          <w:sz w:val="15"/>
          <w:szCs w:val="15"/>
          <w:b w:val="1"/>
          <w:bCs w:val="1"/>
          <w:color w:val="auto"/>
        </w:rPr>
        <w:t>SECTION 906 OF THE SARBANES-OXLEY ACT OF 2002</w:t>
      </w:r>
    </w:p>
    <w:p>
      <w:pPr>
        <w:spacing w:after="0" w:line="185" w:lineRule="exact"/>
        <w:rPr>
          <w:sz w:val="20"/>
          <w:szCs w:val="20"/>
          <w:color w:val="auto"/>
        </w:rPr>
      </w:pPr>
    </w:p>
    <w:p>
      <w:pPr>
        <w:ind w:right="20" w:firstLine="511"/>
        <w:spacing w:after="0" w:line="241" w:lineRule="auto"/>
        <w:rPr>
          <w:sz w:val="20"/>
          <w:szCs w:val="20"/>
          <w:color w:val="auto"/>
        </w:rPr>
      </w:pPr>
      <w:r>
        <w:rPr>
          <w:rFonts w:ascii="Calibri" w:cs="Calibri" w:eastAsia="Calibri" w:hAnsi="Calibri"/>
          <w:sz w:val="15"/>
          <w:szCs w:val="15"/>
          <w:color w:val="auto"/>
        </w:rPr>
        <w:t>In connecton with the Annual Report on Form 10-K of CarGurus, Inc. (the “Company”) for the period ending December 31, 2023, as fled with the U.S. Securites and Exchange Commission on the date hereof (the “Report”), I, Elisa Palazzo, Chief Financial Ofcer of the Company, certfy, pursuant to 18 U.S.C. § 1350, as adopted pursuant to § 906 of the Sarbanes-Oxley Act of 2002, that, based on my knowledge:</w:t>
      </w:r>
    </w:p>
    <w:p>
      <w:pPr>
        <w:spacing w:after="0" w:line="185" w:lineRule="exact"/>
        <w:rPr>
          <w:sz w:val="20"/>
          <w:szCs w:val="20"/>
          <w:color w:val="auto"/>
        </w:rPr>
      </w:pPr>
    </w:p>
    <w:p>
      <w:pPr>
        <w:ind w:left="1020" w:hanging="518"/>
        <w:spacing w:after="0"/>
        <w:tabs>
          <w:tab w:leader="none" w:pos="1020" w:val="left"/>
        </w:tabs>
        <w:numPr>
          <w:ilvl w:val="0"/>
          <w:numId w:val="142"/>
        </w:numPr>
        <w:rPr>
          <w:rFonts w:ascii="Calibri" w:cs="Calibri" w:eastAsia="Calibri" w:hAnsi="Calibri"/>
          <w:sz w:val="15"/>
          <w:szCs w:val="15"/>
          <w:color w:val="auto"/>
        </w:rPr>
      </w:pPr>
      <w:r>
        <w:rPr>
          <w:rFonts w:ascii="Calibri" w:cs="Calibri" w:eastAsia="Calibri" w:hAnsi="Calibri"/>
          <w:sz w:val="15"/>
          <w:szCs w:val="15"/>
          <w:color w:val="auto"/>
        </w:rPr>
        <w:t>The Report fully complies with the requirements of Secton 13(a) or 15(d) of the Securites Exchange Act of 1934; and</w:t>
      </w:r>
    </w:p>
    <w:p>
      <w:pPr>
        <w:spacing w:after="0" w:line="185" w:lineRule="exact"/>
        <w:rPr>
          <w:rFonts w:ascii="Calibri" w:cs="Calibri" w:eastAsia="Calibri" w:hAnsi="Calibri"/>
          <w:sz w:val="15"/>
          <w:szCs w:val="15"/>
          <w:color w:val="auto"/>
        </w:rPr>
      </w:pPr>
    </w:p>
    <w:p>
      <w:pPr>
        <w:ind w:left="1020" w:hanging="518"/>
        <w:spacing w:after="0"/>
        <w:tabs>
          <w:tab w:leader="none" w:pos="1020" w:val="left"/>
        </w:tabs>
        <w:numPr>
          <w:ilvl w:val="0"/>
          <w:numId w:val="142"/>
        </w:numPr>
        <w:rPr>
          <w:rFonts w:ascii="Calibri" w:cs="Calibri" w:eastAsia="Calibri" w:hAnsi="Calibri"/>
          <w:sz w:val="15"/>
          <w:szCs w:val="15"/>
          <w:color w:val="auto"/>
        </w:rPr>
      </w:pPr>
      <w:r>
        <w:rPr>
          <w:rFonts w:ascii="Calibri" w:cs="Calibri" w:eastAsia="Calibri" w:hAnsi="Calibri"/>
          <w:sz w:val="15"/>
          <w:szCs w:val="15"/>
          <w:color w:val="auto"/>
        </w:rPr>
        <w:t>The informaton contained in the Report fairly presents, in all material respects, the fnancial conditon and results of operatons of the Company.</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580" w:type="dxa"/>
            <w:vAlign w:val="bottom"/>
          </w:tcPr>
          <w:p>
            <w:pPr>
              <w:spacing w:after="0"/>
              <w:rPr>
                <w:sz w:val="20"/>
                <w:szCs w:val="20"/>
                <w:color w:val="auto"/>
              </w:rPr>
            </w:pPr>
            <w:r>
              <w:rPr>
                <w:rFonts w:ascii="Calibri" w:cs="Calibri" w:eastAsia="Calibri" w:hAnsi="Calibri"/>
                <w:sz w:val="15"/>
                <w:szCs w:val="15"/>
                <w:color w:val="auto"/>
              </w:rPr>
              <w:t>Date: February 26, 2024</w:t>
            </w:r>
          </w:p>
        </w:tc>
        <w:tc>
          <w:tcPr>
            <w:tcW w:w="7680" w:type="dxa"/>
            <w:vAlign w:val="bottom"/>
            <w:gridSpan w:val="2"/>
          </w:tcPr>
          <w:p>
            <w:pPr>
              <w:ind w:left="2120"/>
              <w:spacing w:after="0"/>
              <w:rPr>
                <w:sz w:val="20"/>
                <w:szCs w:val="20"/>
                <w:color w:val="auto"/>
              </w:rPr>
            </w:pPr>
            <w:r>
              <w:rPr>
                <w:rFonts w:ascii="Calibri" w:cs="Calibri" w:eastAsia="Calibri" w:hAnsi="Calibri"/>
                <w:sz w:val="15"/>
                <w:szCs w:val="15"/>
                <w:color w:val="auto"/>
              </w:rPr>
              <w:t>By:  /s/ Elisa Palazzo</w:t>
            </w:r>
          </w:p>
        </w:tc>
      </w:tr>
      <w:tr>
        <w:trPr>
          <w:trHeight w:val="177"/>
        </w:trPr>
        <w:tc>
          <w:tcPr>
            <w:tcW w:w="358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5220" w:type="dxa"/>
            <w:vAlign w:val="bottom"/>
            <w:tcBorders>
              <w:top w:val="single" w:sz="8" w:color="auto"/>
            </w:tcBorders>
          </w:tcPr>
          <w:p>
            <w:pPr>
              <w:spacing w:after="0" w:line="178" w:lineRule="exact"/>
              <w:rPr>
                <w:sz w:val="20"/>
                <w:szCs w:val="20"/>
                <w:color w:val="auto"/>
              </w:rPr>
            </w:pPr>
            <w:r>
              <w:rPr>
                <w:rFonts w:ascii="Calibri" w:cs="Calibri" w:eastAsia="Calibri" w:hAnsi="Calibri"/>
                <w:sz w:val="15"/>
                <w:szCs w:val="15"/>
                <w:color w:val="auto"/>
              </w:rPr>
              <w:t>Elisa Palazzo</w:t>
            </w:r>
          </w:p>
        </w:tc>
      </w:tr>
      <w:tr>
        <w:trPr>
          <w:trHeight w:val="183"/>
        </w:trPr>
        <w:tc>
          <w:tcPr>
            <w:tcW w:w="358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5220" w:type="dxa"/>
            <w:vAlign w:val="bottom"/>
          </w:tcPr>
          <w:p>
            <w:pPr>
              <w:spacing w:after="0"/>
              <w:rPr>
                <w:sz w:val="20"/>
                <w:szCs w:val="20"/>
                <w:color w:val="auto"/>
              </w:rPr>
            </w:pPr>
            <w:r>
              <w:rPr>
                <w:rFonts w:ascii="Calibri" w:cs="Calibri" w:eastAsia="Calibri" w:hAnsi="Calibri"/>
                <w:sz w:val="15"/>
                <w:szCs w:val="15"/>
                <w:color w:val="auto"/>
              </w:rPr>
              <w:t>Chief Financial Ofcer</w:t>
            </w:r>
          </w:p>
        </w:tc>
      </w:tr>
      <w:tr>
        <w:trPr>
          <w:trHeight w:val="184"/>
        </w:trPr>
        <w:tc>
          <w:tcPr>
            <w:tcW w:w="35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220" w:type="dxa"/>
            <w:vAlign w:val="bottom"/>
          </w:tcPr>
          <w:p>
            <w:pPr>
              <w:spacing w:after="0"/>
              <w:rPr>
                <w:sz w:val="20"/>
                <w:szCs w:val="20"/>
                <w:color w:val="auto"/>
              </w:rPr>
            </w:pPr>
            <w:r>
              <w:rPr>
                <w:rFonts w:ascii="Calibri" w:cs="Calibri" w:eastAsia="Calibri" w:hAnsi="Calibri"/>
                <w:sz w:val="15"/>
                <w:szCs w:val="15"/>
                <w:color w:val="auto"/>
              </w:rPr>
              <w:t>(Principal Financial Ofcer and Principal Accountng Ofcer)</w:t>
            </w:r>
          </w:p>
        </w:tc>
      </w:tr>
      <w:tr>
        <w:trPr>
          <w:trHeight w:val="862"/>
        </w:trPr>
        <w:tc>
          <w:tcPr>
            <w:tcW w:w="358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39">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-26670</wp:posOffset>
            </wp:positionV>
            <wp:extent cx="33020" cy="4000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40">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673" w:right="319" w:bottom="1440" w:gutter="0" w:footer="0" w:header="0"/>
        </w:sectPr>
      </w:pPr>
    </w:p>
    <w:bookmarkStart w:id="251" w:name="page252"/>
    <w:bookmarkEnd w:id="251"/>
    <w:p>
      <w:pPr>
        <w:jc w:val="right"/>
        <w:spacing w:after="0"/>
        <w:rPr>
          <w:sz w:val="20"/>
          <w:szCs w:val="20"/>
          <w:color w:val="auto"/>
        </w:rPr>
      </w:pPr>
      <w:r>
        <w:rPr>
          <w:rFonts w:ascii="Arial" w:cs="Arial" w:eastAsia="Arial" w:hAnsi="Arial"/>
          <w:sz w:val="15"/>
          <w:szCs w:val="15"/>
          <w:b w:val="1"/>
          <w:bCs w:val="1"/>
          <w:color w:val="auto"/>
        </w:rPr>
        <w:t>Exhibit 97.1</w:t>
      </w:r>
    </w:p>
    <w:p>
      <w:pPr>
        <w:spacing w:after="0" w:line="16" w:lineRule="exact"/>
        <w:rPr>
          <w:sz w:val="20"/>
          <w:szCs w:val="20"/>
          <w:color w:val="auto"/>
        </w:rPr>
      </w:pPr>
    </w:p>
    <w:p>
      <w:pPr>
        <w:jc w:val="center"/>
        <w:ind w:right="-7"/>
        <w:spacing w:after="0"/>
        <w:rPr>
          <w:sz w:val="20"/>
          <w:szCs w:val="20"/>
          <w:color w:val="auto"/>
        </w:rPr>
      </w:pPr>
      <w:r>
        <w:rPr>
          <w:rFonts w:ascii="Arial" w:cs="Arial" w:eastAsia="Arial" w:hAnsi="Arial"/>
          <w:sz w:val="15"/>
          <w:szCs w:val="15"/>
          <w:b w:val="1"/>
          <w:bCs w:val="1"/>
          <w:color w:val="auto"/>
        </w:rPr>
        <w:t>CARGURUS, INC.</w:t>
      </w:r>
    </w:p>
    <w:p>
      <w:pPr>
        <w:spacing w:after="0" w:line="145" w:lineRule="exact"/>
        <w:rPr>
          <w:sz w:val="20"/>
          <w:szCs w:val="20"/>
          <w:color w:val="auto"/>
        </w:rPr>
      </w:pPr>
    </w:p>
    <w:p>
      <w:pPr>
        <w:jc w:val="center"/>
        <w:ind w:right="-7"/>
        <w:spacing w:after="0"/>
        <w:rPr>
          <w:sz w:val="20"/>
          <w:szCs w:val="20"/>
          <w:color w:val="auto"/>
        </w:rPr>
      </w:pPr>
      <w:r>
        <w:rPr>
          <w:rFonts w:ascii="Arial" w:cs="Arial" w:eastAsia="Arial" w:hAnsi="Arial"/>
          <w:sz w:val="15"/>
          <w:szCs w:val="15"/>
          <w:b w:val="1"/>
          <w:bCs w:val="1"/>
          <w:color w:val="auto"/>
        </w:rPr>
        <w:t>COMPENSATION CLAWBACK POLICY</w:t>
      </w:r>
    </w:p>
    <w:p>
      <w:pPr>
        <w:spacing w:after="0" w:line="152" w:lineRule="exact"/>
        <w:rPr>
          <w:sz w:val="20"/>
          <w:szCs w:val="20"/>
          <w:color w:val="auto"/>
        </w:rPr>
      </w:pPr>
    </w:p>
    <w:p>
      <w:pPr>
        <w:jc w:val="both"/>
        <w:ind w:left="8"/>
        <w:spacing w:after="0" w:line="259" w:lineRule="auto"/>
        <w:rPr>
          <w:sz w:val="20"/>
          <w:szCs w:val="20"/>
          <w:color w:val="auto"/>
        </w:rPr>
      </w:pPr>
      <w:r>
        <w:rPr>
          <w:rFonts w:ascii="Arial" w:cs="Arial" w:eastAsia="Arial" w:hAnsi="Arial"/>
          <w:sz w:val="15"/>
          <w:szCs w:val="15"/>
          <w:color w:val="auto"/>
        </w:rPr>
        <w:t>CarGurus, Inc., a Delaware corporation (the “Company”), has adopted a Compensation Clawback Policy (this “Policy”) as described below. This Policy is adopted to go into effect on October 31, 2023, with retroactive effectiveness as of October 2, 2023 (the “Effective Date”). This Policy supersedes the Company’s Compensation Clawback Policy adopted on August 4, 2020.</w:t>
      </w:r>
    </w:p>
    <w:p>
      <w:pPr>
        <w:spacing w:after="0" w:line="141" w:lineRule="exact"/>
        <w:rPr>
          <w:sz w:val="20"/>
          <w:szCs w:val="20"/>
          <w:color w:val="auto"/>
        </w:rPr>
      </w:pPr>
    </w:p>
    <w:p>
      <w:pPr>
        <w:ind w:left="368" w:hanging="368"/>
        <w:spacing w:after="0"/>
        <w:tabs>
          <w:tab w:leader="none" w:pos="368" w:val="left"/>
        </w:tabs>
        <w:numPr>
          <w:ilvl w:val="0"/>
          <w:numId w:val="143"/>
        </w:numPr>
        <w:rPr>
          <w:rFonts w:ascii="Arial" w:cs="Arial" w:eastAsia="Arial" w:hAnsi="Arial"/>
          <w:sz w:val="15"/>
          <w:szCs w:val="15"/>
          <w:b w:val="1"/>
          <w:bCs w:val="1"/>
          <w:color w:val="auto"/>
        </w:rPr>
      </w:pPr>
      <w:r>
        <w:rPr>
          <w:rFonts w:ascii="Arial" w:cs="Arial" w:eastAsia="Arial" w:hAnsi="Arial"/>
          <w:sz w:val="15"/>
          <w:szCs w:val="15"/>
          <w:b w:val="1"/>
          <w:bCs w:val="1"/>
          <w:color w:val="auto"/>
        </w:rPr>
        <w:t>Compensation Clawback Due to Accounting Restatement</w:t>
      </w:r>
    </w:p>
    <w:p>
      <w:pPr>
        <w:spacing w:after="0" w:line="175" w:lineRule="exact"/>
        <w:rPr>
          <w:sz w:val="20"/>
          <w:szCs w:val="20"/>
          <w:color w:val="auto"/>
        </w:rPr>
      </w:pPr>
    </w:p>
    <w:p>
      <w:pPr>
        <w:jc w:val="both"/>
        <w:ind w:left="368" w:hanging="368"/>
        <w:spacing w:after="0" w:line="259" w:lineRule="auto"/>
        <w:tabs>
          <w:tab w:leader="none" w:pos="368" w:val="left"/>
        </w:tabs>
        <w:numPr>
          <w:ilvl w:val="0"/>
          <w:numId w:val="144"/>
        </w:numPr>
        <w:rPr>
          <w:rFonts w:ascii="Arial" w:cs="Arial" w:eastAsia="Arial" w:hAnsi="Arial"/>
          <w:sz w:val="15"/>
          <w:szCs w:val="15"/>
          <w:color w:val="auto"/>
        </w:rPr>
      </w:pPr>
      <w:r>
        <w:rPr>
          <w:rFonts w:ascii="Arial" w:cs="Arial" w:eastAsia="Arial" w:hAnsi="Arial"/>
          <w:sz w:val="15"/>
          <w:szCs w:val="15"/>
          <w:color w:val="auto"/>
        </w:rPr>
        <w:t xml:space="preserve">For the purposes of this </w:t>
      </w:r>
      <w:r>
        <w:rPr>
          <w:rFonts w:ascii="Arial" w:cs="Arial" w:eastAsia="Arial" w:hAnsi="Arial"/>
          <w:sz w:val="15"/>
          <w:szCs w:val="15"/>
          <w:u w:val="single" w:color="auto"/>
          <w:color w:val="auto"/>
        </w:rPr>
        <w:t>Section A</w:t>
      </w:r>
      <w:r>
        <w:rPr>
          <w:rFonts w:ascii="Arial" w:cs="Arial" w:eastAsia="Arial" w:hAnsi="Arial"/>
          <w:sz w:val="15"/>
          <w:szCs w:val="15"/>
          <w:color w:val="auto"/>
        </w:rPr>
        <w:t>, the following terms have the following meanings, which will be interpreted to comply with Section 10D of the Securities Exchange Act of 1934, as amended, and Rule 10D-1 promulgated thereunder and Listing Rule 5608 of the Listing Rules of The Nasdaq Stock Market (“Nasdaq”) (together, the “Applicable Rules”):</w:t>
      </w:r>
    </w:p>
    <w:p>
      <w:pPr>
        <w:spacing w:after="0" w:line="108" w:lineRule="exact"/>
        <w:rPr>
          <w:rFonts w:ascii="Arial" w:cs="Arial" w:eastAsia="Arial" w:hAnsi="Arial"/>
          <w:sz w:val="15"/>
          <w:szCs w:val="15"/>
          <w:color w:val="auto"/>
        </w:rPr>
      </w:pPr>
    </w:p>
    <w:p>
      <w:pPr>
        <w:jc w:val="both"/>
        <w:ind w:left="1508" w:hanging="382"/>
        <w:spacing w:after="0" w:line="246" w:lineRule="auto"/>
        <w:tabs>
          <w:tab w:leader="none" w:pos="1508" w:val="left"/>
        </w:tabs>
        <w:numPr>
          <w:ilvl w:val="1"/>
          <w:numId w:val="14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i w:val="1"/>
          <w:iCs w:val="1"/>
          <w:color w:val="auto"/>
        </w:rPr>
        <w:t>Executive Officer</w:t>
      </w:r>
      <w:r>
        <w:rPr>
          <w:rFonts w:ascii="Arial" w:cs="Arial" w:eastAsia="Arial" w:hAnsi="Arial"/>
          <w:sz w:val="15"/>
          <w:szCs w:val="15"/>
          <w:color w:val="auto"/>
        </w:rPr>
        <w:t>” means each officer of the Company who is identified as an executive officer for the purposes of 17 CFR § 229.401(b), which is defined as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who performs similar significant policy-making functions for the Company, as determined under 17 CFR §229.401(b). Any executive officer of any of the Company’s parents or subsidiaries is an “Executive Officer” for purposes of this Policy if such executive officer performs a significant policy-making function described in the preceding sentence for the Company.</w:t>
      </w:r>
    </w:p>
    <w:p>
      <w:pPr>
        <w:spacing w:after="0" w:line="308" w:lineRule="exact"/>
        <w:rPr>
          <w:rFonts w:ascii="Arial" w:cs="Arial" w:eastAsia="Arial" w:hAnsi="Arial"/>
          <w:sz w:val="15"/>
          <w:szCs w:val="15"/>
          <w:color w:val="auto"/>
        </w:rPr>
      </w:pPr>
    </w:p>
    <w:p>
      <w:pPr>
        <w:jc w:val="both"/>
        <w:ind w:left="1508" w:hanging="382"/>
        <w:spacing w:after="0" w:line="253" w:lineRule="auto"/>
        <w:tabs>
          <w:tab w:leader="none" w:pos="1508" w:val="left"/>
        </w:tabs>
        <w:numPr>
          <w:ilvl w:val="1"/>
          <w:numId w:val="14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i w:val="1"/>
          <w:iCs w:val="1"/>
          <w:color w:val="auto"/>
        </w:rPr>
        <w:t>Financial Reporting Measures</w:t>
      </w:r>
      <w:r>
        <w:rPr>
          <w:rFonts w:ascii="Arial" w:cs="Arial" w:eastAsia="Arial" w:hAnsi="Arial"/>
          <w:sz w:val="15"/>
          <w:szCs w:val="15"/>
          <w:color w:val="auto"/>
        </w:rPr>
        <w:t>” means (i) measures that are determined and presented in accordance with the accounting principles used in preparing the Company’s financial statements, and any measures that are derived wholly or in part from such measures, (ii) the Company’s stock price, and (iii) total stockholder return in respect of the Company. A “Financial Reporting Measure” need not be presented within the financial statements or included in a filing with the U.S. Securities and Exchange Commission (the “SEC”).</w:t>
      </w:r>
    </w:p>
    <w:p>
      <w:pPr>
        <w:spacing w:after="0" w:line="112" w:lineRule="exact"/>
        <w:rPr>
          <w:rFonts w:ascii="Arial" w:cs="Arial" w:eastAsia="Arial" w:hAnsi="Arial"/>
          <w:sz w:val="15"/>
          <w:szCs w:val="15"/>
          <w:color w:val="auto"/>
        </w:rPr>
      </w:pPr>
    </w:p>
    <w:p>
      <w:pPr>
        <w:jc w:val="both"/>
        <w:ind w:left="1508" w:hanging="382"/>
        <w:spacing w:after="0" w:line="253" w:lineRule="auto"/>
        <w:tabs>
          <w:tab w:leader="none" w:pos="1508" w:val="left"/>
        </w:tabs>
        <w:numPr>
          <w:ilvl w:val="1"/>
          <w:numId w:val="14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i w:val="1"/>
          <w:iCs w:val="1"/>
          <w:color w:val="auto"/>
        </w:rPr>
        <w:t>Incentive-Based Compensation</w:t>
      </w:r>
      <w:r>
        <w:rPr>
          <w:rFonts w:ascii="Arial" w:cs="Arial" w:eastAsia="Arial" w:hAnsi="Arial"/>
          <w:sz w:val="15"/>
          <w:szCs w:val="15"/>
          <w:color w:val="auto"/>
        </w:rPr>
        <w:t>” means any compensation that is granted, earned, or vested, based wholly or in part upon the attainment of a Financial Reporting Measure. Incentive-Based Compensation does not include, among other forms of compensation, equity awards that vest exclusively upon completion of a specified employment period, without any performance condition, and bonus awards that are discretionary or based on subjective goals or goals unrelated to Financial Reporting Measures.</w:t>
      </w:r>
    </w:p>
    <w:p>
      <w:pPr>
        <w:spacing w:after="0" w:line="112" w:lineRule="exact"/>
        <w:rPr>
          <w:rFonts w:ascii="Arial" w:cs="Arial" w:eastAsia="Arial" w:hAnsi="Arial"/>
          <w:sz w:val="15"/>
          <w:szCs w:val="15"/>
          <w:color w:val="auto"/>
        </w:rPr>
      </w:pPr>
    </w:p>
    <w:p>
      <w:pPr>
        <w:jc w:val="both"/>
        <w:ind w:left="1508" w:hanging="382"/>
        <w:spacing w:after="0" w:line="259" w:lineRule="auto"/>
        <w:tabs>
          <w:tab w:leader="none" w:pos="1508" w:val="left"/>
        </w:tabs>
        <w:numPr>
          <w:ilvl w:val="1"/>
          <w:numId w:val="14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i w:val="1"/>
          <w:iCs w:val="1"/>
          <w:color w:val="auto"/>
        </w:rPr>
        <w:t>Received</w:t>
      </w:r>
      <w:r>
        <w:rPr>
          <w:rFonts w:ascii="Arial" w:cs="Arial" w:eastAsia="Arial" w:hAnsi="Arial"/>
          <w:sz w:val="15"/>
          <w:szCs w:val="15"/>
          <w:color w:val="auto"/>
        </w:rPr>
        <w:t>” – Incentive-Based Compensation is deemed “Received” for the purposes of this Policy in the Company’s fiscal period during which the Financial Reporting Measure applicable to the Incentive-Based Compensation award is attained, even if the payment or grant of the Incentive-Based Compensation occurs after the end of that period.</w:t>
      </w:r>
    </w:p>
    <w:p>
      <w:pPr>
        <w:spacing w:after="0" w:line="120" w:lineRule="exact"/>
        <w:rPr>
          <w:rFonts w:ascii="Arial" w:cs="Arial" w:eastAsia="Arial" w:hAnsi="Arial"/>
          <w:sz w:val="15"/>
          <w:szCs w:val="15"/>
          <w:color w:val="auto"/>
        </w:rPr>
      </w:pPr>
    </w:p>
    <w:p>
      <w:pPr>
        <w:jc w:val="both"/>
        <w:ind w:left="1508" w:hanging="382"/>
        <w:spacing w:after="0" w:line="249" w:lineRule="auto"/>
        <w:tabs>
          <w:tab w:leader="none" w:pos="1508" w:val="left"/>
        </w:tabs>
        <w:numPr>
          <w:ilvl w:val="1"/>
          <w:numId w:val="14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i w:val="1"/>
          <w:iCs w:val="1"/>
          <w:color w:val="auto"/>
        </w:rPr>
        <w:t>Recovery Period</w:t>
      </w:r>
      <w:r>
        <w:rPr>
          <w:rFonts w:ascii="Arial" w:cs="Arial" w:eastAsia="Arial" w:hAnsi="Arial"/>
          <w:sz w:val="15"/>
          <w:szCs w:val="15"/>
          <w:color w:val="auto"/>
        </w:rPr>
        <w:t>” means the three completed fiscal years immediately preceding the date on which the Company is required to prepare a Restatement (as defined below), which date is the earlier of (i) the date the Board (as defined below), a committee of the Board, or the officer or officers of the Company authorized to take such action if Board action is not required, concludes, or reasonably should have concluded, that the Company is required to prepare a Restatement or (ii) a date that a court, regulator, or other legally authorized body directs the Company to prepare a Restatement.</w:t>
      </w:r>
    </w:p>
    <w:p>
      <w:pPr>
        <w:spacing w:after="0" w:line="117" w:lineRule="exact"/>
        <w:rPr>
          <w:rFonts w:ascii="Arial" w:cs="Arial" w:eastAsia="Arial" w:hAnsi="Arial"/>
          <w:sz w:val="15"/>
          <w:szCs w:val="15"/>
          <w:color w:val="auto"/>
        </w:rPr>
      </w:pPr>
    </w:p>
    <w:p>
      <w:pPr>
        <w:ind w:left="1508" w:hanging="382"/>
        <w:spacing w:after="0" w:line="279" w:lineRule="auto"/>
        <w:tabs>
          <w:tab w:leader="none" w:pos="1508" w:val="left"/>
        </w:tabs>
        <w:numPr>
          <w:ilvl w:val="1"/>
          <w:numId w:val="14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i w:val="1"/>
          <w:iCs w:val="1"/>
          <w:color w:val="auto"/>
        </w:rPr>
        <w:t>Restatement</w:t>
      </w:r>
      <w:r>
        <w:rPr>
          <w:rFonts w:ascii="Arial" w:cs="Arial" w:eastAsia="Arial" w:hAnsi="Arial"/>
          <w:sz w:val="15"/>
          <w:szCs w:val="15"/>
          <w:color w:val="auto"/>
        </w:rPr>
        <w:t>” means that the Company is required to prepare an accounting restatement due to a material noncompliance of the Company with any financial reporting requirement under the securities laws, including any required accounting restatement to correct an error in</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508000</wp:posOffset>
            </wp:positionV>
            <wp:extent cx="7178040" cy="4000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41">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8"/>
          </w:cols>
          <w:pgMar w:left="312" w:top="1181" w:right="319" w:bottom="1440" w:gutter="0" w:footer="0" w:header="0"/>
        </w:sectPr>
      </w:pPr>
    </w:p>
    <w:bookmarkStart w:id="252" w:name="page253"/>
    <w:bookmarkEnd w:id="252"/>
    <w:p>
      <w:pPr>
        <w:ind w:left="1508" w:right="20"/>
        <w:spacing w:after="0" w:line="279" w:lineRule="auto"/>
        <w:rPr>
          <w:sz w:val="20"/>
          <w:szCs w:val="20"/>
          <w:color w:val="auto"/>
        </w:rPr>
      </w:pPr>
      <w:r>
        <w:rPr>
          <w:rFonts w:ascii="Arial" w:cs="Arial" w:eastAsia="Arial" w:hAnsi="Arial"/>
          <w:sz w:val="15"/>
          <w:szCs w:val="15"/>
          <w:color w:val="auto"/>
        </w:rPr>
        <w:t>previously issued financial statements (i) that is material to the previously issued financial statements, or (ii) that would result in a material misstatement if the error were corrected in the current period or left uncorrected in the current period.</w:t>
      </w:r>
    </w:p>
    <w:p>
      <w:pPr>
        <w:spacing w:after="0" w:line="105" w:lineRule="exact"/>
        <w:rPr>
          <w:sz w:val="20"/>
          <w:szCs w:val="20"/>
          <w:color w:val="auto"/>
        </w:rPr>
      </w:pPr>
    </w:p>
    <w:p>
      <w:pPr>
        <w:ind w:left="368" w:hanging="368"/>
        <w:spacing w:after="0"/>
        <w:tabs>
          <w:tab w:leader="none" w:pos="368" w:val="left"/>
        </w:tabs>
        <w:numPr>
          <w:ilvl w:val="0"/>
          <w:numId w:val="145"/>
        </w:numPr>
        <w:rPr>
          <w:rFonts w:ascii="Arial" w:cs="Arial" w:eastAsia="Arial" w:hAnsi="Arial"/>
          <w:sz w:val="15"/>
          <w:szCs w:val="15"/>
          <w:color w:val="auto"/>
        </w:rPr>
      </w:pPr>
      <w:r>
        <w:rPr>
          <w:rFonts w:ascii="Arial" w:cs="Arial" w:eastAsia="Arial" w:hAnsi="Arial"/>
          <w:sz w:val="15"/>
          <w:szCs w:val="15"/>
          <w:color w:val="auto"/>
        </w:rPr>
        <w:t>Mandatory Recovery on a Restatement</w:t>
      </w:r>
    </w:p>
    <w:p>
      <w:pPr>
        <w:spacing w:after="0" w:line="184" w:lineRule="exact"/>
        <w:rPr>
          <w:rFonts w:ascii="Arial" w:cs="Arial" w:eastAsia="Arial" w:hAnsi="Arial"/>
          <w:sz w:val="15"/>
          <w:szCs w:val="15"/>
          <w:color w:val="auto"/>
        </w:rPr>
      </w:pPr>
    </w:p>
    <w:p>
      <w:pPr>
        <w:jc w:val="both"/>
        <w:ind w:left="1508" w:hanging="382"/>
        <w:spacing w:after="0" w:line="248" w:lineRule="auto"/>
        <w:tabs>
          <w:tab w:leader="none" w:pos="1508" w:val="left"/>
        </w:tabs>
        <w:numPr>
          <w:ilvl w:val="1"/>
          <w:numId w:val="145"/>
        </w:numPr>
        <w:rPr>
          <w:rFonts w:ascii="Arial" w:cs="Arial" w:eastAsia="Arial" w:hAnsi="Arial"/>
          <w:sz w:val="15"/>
          <w:szCs w:val="15"/>
          <w:color w:val="auto"/>
        </w:rPr>
      </w:pPr>
      <w:r>
        <w:rPr>
          <w:rFonts w:ascii="Arial" w:cs="Arial" w:eastAsia="Arial" w:hAnsi="Arial"/>
          <w:sz w:val="15"/>
          <w:szCs w:val="15"/>
          <w:color w:val="auto"/>
        </w:rPr>
        <w:t>In the event that the Company is required to prepare a Restatement, the Company shall reasonably promptly recover from its Executive Officers the amount of any erroneously awarded Incentive Based Compensation that is Received by such Executive Officer during the Recovery Period. The amount of erroneously Received Incentive-Based Compensation will be the excess of the Incentive-Based Compensation Received by the Executive Officer (whether in cash or shares) based on the erroneous data in the original financial statements over the Incentive-Based Compensation (whether in cash or in shares) that would have been Received by the Executive Officer had such Incentive-Based Compensation been based on the restated results, without respect to any tax liabilities incurred or paid by the Executive Officer.</w:t>
      </w:r>
    </w:p>
    <w:p>
      <w:pPr>
        <w:spacing w:after="0" w:line="150" w:lineRule="exact"/>
        <w:rPr>
          <w:rFonts w:ascii="Arial" w:cs="Arial" w:eastAsia="Arial" w:hAnsi="Arial"/>
          <w:sz w:val="15"/>
          <w:szCs w:val="15"/>
          <w:color w:val="auto"/>
        </w:rPr>
      </w:pPr>
    </w:p>
    <w:p>
      <w:pPr>
        <w:jc w:val="both"/>
        <w:ind w:left="1508" w:hanging="382"/>
        <w:spacing w:after="0" w:line="249" w:lineRule="auto"/>
        <w:tabs>
          <w:tab w:leader="none" w:pos="1508" w:val="left"/>
        </w:tabs>
        <w:numPr>
          <w:ilvl w:val="1"/>
          <w:numId w:val="145"/>
        </w:numPr>
        <w:rPr>
          <w:rFonts w:ascii="Arial" w:cs="Arial" w:eastAsia="Arial" w:hAnsi="Arial"/>
          <w:sz w:val="15"/>
          <w:szCs w:val="15"/>
          <w:color w:val="auto"/>
        </w:rPr>
      </w:pPr>
      <w:r>
        <w:rPr>
          <w:rFonts w:ascii="Arial" w:cs="Arial" w:eastAsia="Arial" w:hAnsi="Arial"/>
          <w:sz w:val="15"/>
          <w:szCs w:val="15"/>
          <w:color w:val="auto"/>
        </w:rPr>
        <w:t>Without limiting the foregoing, for Incentive-Based Compensation based on the Company’s stock price or total stockholder return, where the amount of erroneously awarded compensation is not subject to mathematical recalculation directly from the information in the Restatement, (a) the amount shall be based on the Company’s reasonable estimate of the effect of the Restatement on the stock price or total stockholder return upon which the Incentive-Based Compensation was Received, and (b) the Company shall maintain documentation of the determination of that reasonable estimate and provide such estimate to Nasdaq as required by the Applicable Rules.</w:t>
      </w:r>
    </w:p>
    <w:p>
      <w:pPr>
        <w:spacing w:after="0" w:line="152" w:lineRule="exact"/>
        <w:rPr>
          <w:rFonts w:ascii="Arial" w:cs="Arial" w:eastAsia="Arial" w:hAnsi="Arial"/>
          <w:sz w:val="15"/>
          <w:szCs w:val="15"/>
          <w:color w:val="auto"/>
        </w:rPr>
      </w:pPr>
    </w:p>
    <w:p>
      <w:pPr>
        <w:ind w:left="1508" w:right="20" w:hanging="382"/>
        <w:spacing w:after="0" w:line="279" w:lineRule="auto"/>
        <w:tabs>
          <w:tab w:leader="none" w:pos="1508" w:val="left"/>
        </w:tabs>
        <w:numPr>
          <w:ilvl w:val="1"/>
          <w:numId w:val="145"/>
        </w:numPr>
        <w:rPr>
          <w:rFonts w:ascii="Arial" w:cs="Arial" w:eastAsia="Arial" w:hAnsi="Arial"/>
          <w:sz w:val="15"/>
          <w:szCs w:val="15"/>
          <w:color w:val="auto"/>
        </w:rPr>
      </w:pPr>
      <w:r>
        <w:rPr>
          <w:rFonts w:ascii="Arial" w:cs="Arial" w:eastAsia="Arial" w:hAnsi="Arial"/>
          <w:sz w:val="15"/>
          <w:szCs w:val="15"/>
          <w:color w:val="auto"/>
        </w:rPr>
        <w:t>Recovery of any erroneously awarded compensation under this paragraph 2 is not dependent on fraud or misconduct by any Executive Officer in connection with a Restatement.</w:t>
      </w:r>
    </w:p>
    <w:p>
      <w:pPr>
        <w:spacing w:after="0" w:line="128" w:lineRule="exact"/>
        <w:rPr>
          <w:rFonts w:ascii="Arial" w:cs="Arial" w:eastAsia="Arial" w:hAnsi="Arial"/>
          <w:sz w:val="15"/>
          <w:szCs w:val="15"/>
          <w:color w:val="auto"/>
        </w:rPr>
      </w:pPr>
    </w:p>
    <w:p>
      <w:pPr>
        <w:ind w:left="368" w:hanging="368"/>
        <w:spacing w:after="0"/>
        <w:tabs>
          <w:tab w:leader="none" w:pos="368" w:val="left"/>
        </w:tabs>
        <w:numPr>
          <w:ilvl w:val="0"/>
          <w:numId w:val="145"/>
        </w:numPr>
        <w:rPr>
          <w:rFonts w:ascii="Arial" w:cs="Arial" w:eastAsia="Arial" w:hAnsi="Arial"/>
          <w:sz w:val="15"/>
          <w:szCs w:val="15"/>
          <w:color w:val="auto"/>
        </w:rPr>
      </w:pPr>
      <w:r>
        <w:rPr>
          <w:rFonts w:ascii="Arial" w:cs="Arial" w:eastAsia="Arial" w:hAnsi="Arial"/>
          <w:sz w:val="15"/>
          <w:szCs w:val="15"/>
          <w:color w:val="auto"/>
        </w:rPr>
        <w:t>Discretionary Recovery on a Restatement</w:t>
      </w:r>
    </w:p>
    <w:p>
      <w:pPr>
        <w:spacing w:after="0" w:line="184" w:lineRule="exact"/>
        <w:rPr>
          <w:rFonts w:ascii="Arial" w:cs="Arial" w:eastAsia="Arial" w:hAnsi="Arial"/>
          <w:sz w:val="15"/>
          <w:szCs w:val="15"/>
          <w:color w:val="auto"/>
        </w:rPr>
      </w:pPr>
    </w:p>
    <w:p>
      <w:pPr>
        <w:jc w:val="both"/>
        <w:ind w:left="1508" w:hanging="382"/>
        <w:spacing w:after="0" w:line="244" w:lineRule="auto"/>
        <w:tabs>
          <w:tab w:leader="none" w:pos="1508" w:val="left"/>
        </w:tabs>
        <w:numPr>
          <w:ilvl w:val="1"/>
          <w:numId w:val="145"/>
        </w:numPr>
        <w:rPr>
          <w:rFonts w:ascii="Arial" w:cs="Arial" w:eastAsia="Arial" w:hAnsi="Arial"/>
          <w:sz w:val="15"/>
          <w:szCs w:val="15"/>
          <w:color w:val="auto"/>
        </w:rPr>
      </w:pPr>
      <w:r>
        <w:rPr>
          <w:rFonts w:ascii="Arial" w:cs="Arial" w:eastAsia="Arial" w:hAnsi="Arial"/>
          <w:sz w:val="15"/>
          <w:szCs w:val="15"/>
          <w:color w:val="auto"/>
        </w:rPr>
        <w:t>In addition to (and without limiting) the provisions of paragraph 2 above, in the event the Company is required to prepare a Restatement, the Company will take, in its discretion, such action as it deems necessary to recover from any current or former employee of the Company who is not an Executive Officer but who is described by the following sentence and who Received erroneously awarded Incentive-Based Compensation from the Company during the Recovery Period (each a “Participating Employee” and, together with the Executive Officer, the “Covered Person”) as determined by the Board in its sole discretion. This paragraph 3 will apply to any current or former employee who the Board, in its sole discretion, determines committed any act or omission that contributed to the circumstances requiring the Restatement and which involved any of the following: (i) willful misconduct or wrongdoing or a willful violation of any of the Company’s rules or of any applicable legal or regulatory requirements in the course of the Participating Employee’s employment by, or otherwise in connection with, the Company, (ii) a breach of a fiduciary duty to the Company or its stockholders by the Participating Employee, or (iii) fraud in the course of the Participating Employee’s employment by, or otherwise in connection with, the Company.</w:t>
      </w:r>
    </w:p>
    <w:p>
      <w:pPr>
        <w:spacing w:after="0" w:line="156" w:lineRule="exact"/>
        <w:rPr>
          <w:rFonts w:ascii="Arial" w:cs="Arial" w:eastAsia="Arial" w:hAnsi="Arial"/>
          <w:sz w:val="15"/>
          <w:szCs w:val="15"/>
          <w:color w:val="auto"/>
        </w:rPr>
      </w:pPr>
    </w:p>
    <w:p>
      <w:pPr>
        <w:ind w:left="368" w:hanging="368"/>
        <w:spacing w:after="0" w:line="279" w:lineRule="auto"/>
        <w:tabs>
          <w:tab w:leader="none" w:pos="368" w:val="left"/>
        </w:tabs>
        <w:numPr>
          <w:ilvl w:val="0"/>
          <w:numId w:val="145"/>
        </w:numPr>
        <w:rPr>
          <w:rFonts w:ascii="Arial" w:cs="Arial" w:eastAsia="Arial" w:hAnsi="Arial"/>
          <w:sz w:val="15"/>
          <w:szCs w:val="15"/>
          <w:color w:val="auto"/>
        </w:rPr>
      </w:pPr>
      <w:r>
        <w:rPr>
          <w:rFonts w:ascii="Arial" w:cs="Arial" w:eastAsia="Arial" w:hAnsi="Arial"/>
          <w:sz w:val="15"/>
          <w:szCs w:val="15"/>
          <w:color w:val="auto"/>
        </w:rPr>
        <w:t xml:space="preserve">The Board shall determine, in its sole discretion, the method of recovering any Incentive-Based Compensation Received pursuant to this </w:t>
      </w:r>
      <w:r>
        <w:rPr>
          <w:rFonts w:ascii="Arial" w:cs="Arial" w:eastAsia="Arial" w:hAnsi="Arial"/>
          <w:sz w:val="15"/>
          <w:szCs w:val="15"/>
          <w:u w:val="single" w:color="auto"/>
          <w:color w:val="auto"/>
        </w:rPr>
        <w:t>Section A</w:t>
      </w:r>
      <w:r>
        <w:rPr>
          <w:rFonts w:ascii="Arial" w:cs="Arial" w:eastAsia="Arial" w:hAnsi="Arial"/>
          <w:sz w:val="15"/>
          <w:szCs w:val="15"/>
          <w:color w:val="auto"/>
        </w:rPr>
        <w:t xml:space="preserve">, consistent with applicable law, which may include, without limitation, the methods of recovery described in </w:t>
      </w:r>
      <w:r>
        <w:rPr>
          <w:rFonts w:ascii="Arial" w:cs="Arial" w:eastAsia="Arial" w:hAnsi="Arial"/>
          <w:sz w:val="15"/>
          <w:szCs w:val="15"/>
          <w:u w:val="single" w:color="auto"/>
          <w:color w:val="auto"/>
        </w:rPr>
        <w:t>Section D</w:t>
      </w:r>
      <w:r>
        <w:rPr>
          <w:rFonts w:ascii="Arial" w:cs="Arial" w:eastAsia="Arial" w:hAnsi="Arial"/>
          <w:sz w:val="15"/>
          <w:szCs w:val="15"/>
          <w:color w:val="auto"/>
        </w:rPr>
        <w:t xml:space="preserve"> of this Policy.</w:t>
      </w:r>
    </w:p>
    <w:p>
      <w:pPr>
        <w:spacing w:after="0" w:line="128" w:lineRule="exact"/>
        <w:rPr>
          <w:rFonts w:ascii="Arial" w:cs="Arial" w:eastAsia="Arial" w:hAnsi="Arial"/>
          <w:sz w:val="15"/>
          <w:szCs w:val="15"/>
          <w:color w:val="auto"/>
        </w:rPr>
      </w:pPr>
    </w:p>
    <w:p>
      <w:pPr>
        <w:ind w:left="368" w:hanging="368"/>
        <w:spacing w:after="0"/>
        <w:tabs>
          <w:tab w:leader="none" w:pos="368" w:val="left"/>
        </w:tabs>
        <w:numPr>
          <w:ilvl w:val="0"/>
          <w:numId w:val="145"/>
        </w:numPr>
        <w:rPr>
          <w:rFonts w:ascii="Arial" w:cs="Arial" w:eastAsia="Arial" w:hAnsi="Arial"/>
          <w:sz w:val="15"/>
          <w:szCs w:val="15"/>
          <w:color w:val="auto"/>
        </w:rPr>
      </w:pPr>
      <w:r>
        <w:rPr>
          <w:rFonts w:ascii="Arial" w:cs="Arial" w:eastAsia="Arial" w:hAnsi="Arial"/>
          <w:sz w:val="15"/>
          <w:szCs w:val="15"/>
          <w:color w:val="auto"/>
        </w:rPr>
        <w:t>No recovery shall be required if any of the following conditions are met and the Board determines that, on such basis, recovery would be impracticable:</w:t>
      </w:r>
    </w:p>
    <w:p>
      <w:pPr>
        <w:spacing w:after="0" w:line="184" w:lineRule="exact"/>
        <w:rPr>
          <w:rFonts w:ascii="Arial" w:cs="Arial" w:eastAsia="Arial" w:hAnsi="Arial"/>
          <w:sz w:val="15"/>
          <w:szCs w:val="15"/>
          <w:color w:val="auto"/>
        </w:rPr>
      </w:pPr>
    </w:p>
    <w:p>
      <w:pPr>
        <w:ind w:left="1508" w:right="20" w:hanging="382"/>
        <w:spacing w:after="0" w:line="279" w:lineRule="auto"/>
        <w:tabs>
          <w:tab w:leader="none" w:pos="1508" w:val="left"/>
        </w:tabs>
        <w:numPr>
          <w:ilvl w:val="1"/>
          <w:numId w:val="145"/>
        </w:numPr>
        <w:rPr>
          <w:rFonts w:ascii="Arial" w:cs="Arial" w:eastAsia="Arial" w:hAnsi="Arial"/>
          <w:sz w:val="15"/>
          <w:szCs w:val="15"/>
          <w:color w:val="auto"/>
        </w:rPr>
      </w:pPr>
      <w:r>
        <w:rPr>
          <w:rFonts w:ascii="Arial" w:cs="Arial" w:eastAsia="Arial" w:hAnsi="Arial"/>
          <w:sz w:val="15"/>
          <w:szCs w:val="15"/>
          <w:color w:val="auto"/>
        </w:rPr>
        <w:t xml:space="preserve">the direct expense paid to a third party to assist in enforcing this </w:t>
      </w:r>
      <w:r>
        <w:rPr>
          <w:rFonts w:ascii="Arial" w:cs="Arial" w:eastAsia="Arial" w:hAnsi="Arial"/>
          <w:sz w:val="15"/>
          <w:szCs w:val="15"/>
          <w:u w:val="single" w:color="auto"/>
          <w:color w:val="auto"/>
        </w:rPr>
        <w:t>Section A</w:t>
      </w:r>
      <w:r>
        <w:rPr>
          <w:rFonts w:ascii="Arial" w:cs="Arial" w:eastAsia="Arial" w:hAnsi="Arial"/>
          <w:sz w:val="15"/>
          <w:szCs w:val="15"/>
          <w:color w:val="auto"/>
        </w:rPr>
        <w:t xml:space="preserve"> would exceed the amount to be recovered;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prior to making a determination that it would be impracticable to recover any Incentive-Based Compensation based on the expense of</w:t>
      </w:r>
    </w:p>
    <w:p>
      <w:pPr>
        <w:spacing w:after="0" w:line="24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501015</wp:posOffset>
            </wp:positionV>
            <wp:extent cx="7178040" cy="4000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42">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8"/>
          </w:cols>
          <w:pgMar w:left="312" w:top="1184" w:right="319" w:bottom="1440" w:gutter="0" w:footer="0" w:header="0"/>
        </w:sectPr>
      </w:pPr>
    </w:p>
    <w:bookmarkStart w:id="253" w:name="page254"/>
    <w:bookmarkEnd w:id="253"/>
    <w:p>
      <w:pPr>
        <w:ind w:left="1508" w:right="20"/>
        <w:spacing w:after="0" w:line="279" w:lineRule="auto"/>
        <w:rPr>
          <w:sz w:val="20"/>
          <w:szCs w:val="20"/>
          <w:color w:val="auto"/>
        </w:rPr>
      </w:pPr>
      <w:r>
        <w:rPr>
          <w:rFonts w:ascii="Arial" w:cs="Arial" w:eastAsia="Arial" w:hAnsi="Arial"/>
          <w:sz w:val="15"/>
          <w:szCs w:val="15"/>
          <w:color w:val="auto"/>
        </w:rPr>
        <w:t>enforcement, the Company shall (i) have made a reasonable attempt to recover the Incentive-Based Compensation, (ii) have documented such reasonable attempts to recover, and (iii) provide the documentation to Nasdaq;</w:t>
      </w:r>
    </w:p>
    <w:p>
      <w:pPr>
        <w:spacing w:after="0" w:line="128" w:lineRule="exact"/>
        <w:rPr>
          <w:sz w:val="20"/>
          <w:szCs w:val="20"/>
          <w:color w:val="auto"/>
        </w:rPr>
      </w:pPr>
    </w:p>
    <w:p>
      <w:pPr>
        <w:jc w:val="both"/>
        <w:ind w:left="1508" w:hanging="382"/>
        <w:spacing w:after="0" w:line="253" w:lineRule="auto"/>
        <w:tabs>
          <w:tab w:leader="none" w:pos="1508" w:val="left"/>
        </w:tabs>
        <w:numPr>
          <w:ilvl w:val="1"/>
          <w:numId w:val="146"/>
        </w:numPr>
        <w:rPr>
          <w:rFonts w:ascii="Arial" w:cs="Arial" w:eastAsia="Arial" w:hAnsi="Arial"/>
          <w:sz w:val="15"/>
          <w:szCs w:val="15"/>
          <w:color w:val="auto"/>
        </w:rPr>
      </w:pPr>
      <w:r>
        <w:rPr>
          <w:rFonts w:ascii="Arial" w:cs="Arial" w:eastAsia="Arial" w:hAnsi="Arial"/>
          <w:sz w:val="15"/>
          <w:szCs w:val="15"/>
          <w:color w:val="auto"/>
        </w:rPr>
        <w:t xml:space="preserve">recovery would violate home country law where that law was adopted prior to November 28, 2022;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prior to making a determination that it would be impracticable to recover any Incentive-Based Compensation based on a violation of home country law, the Company shall (i) have obtained an opinion of home country counsel, acceptable to Nasdaq, that recovery would result in such violation, and (ii) provide a copy of such opinion to Nasdaq; or</w:t>
      </w:r>
    </w:p>
    <w:p>
      <w:pPr>
        <w:spacing w:after="0" w:line="147" w:lineRule="exact"/>
        <w:rPr>
          <w:rFonts w:ascii="Arial" w:cs="Arial" w:eastAsia="Arial" w:hAnsi="Arial"/>
          <w:sz w:val="15"/>
          <w:szCs w:val="15"/>
          <w:color w:val="auto"/>
        </w:rPr>
      </w:pPr>
    </w:p>
    <w:p>
      <w:pPr>
        <w:jc w:val="both"/>
        <w:ind w:left="1508" w:hanging="382"/>
        <w:spacing w:after="0" w:line="259" w:lineRule="auto"/>
        <w:tabs>
          <w:tab w:leader="none" w:pos="1508" w:val="left"/>
        </w:tabs>
        <w:numPr>
          <w:ilvl w:val="1"/>
          <w:numId w:val="146"/>
        </w:numPr>
        <w:rPr>
          <w:rFonts w:ascii="Arial" w:cs="Arial" w:eastAsia="Arial" w:hAnsi="Arial"/>
          <w:sz w:val="15"/>
          <w:szCs w:val="15"/>
          <w:color w:val="auto"/>
        </w:rPr>
      </w:pPr>
      <w:r>
        <w:rPr>
          <w:rFonts w:ascii="Arial" w:cs="Arial" w:eastAsia="Arial" w:hAnsi="Arial"/>
          <w:sz w:val="15"/>
          <w:szCs w:val="15"/>
          <w:color w:val="auto"/>
        </w:rPr>
        <w:t>recovery would likely cause an otherwise tax-qualified retirement plan, under which benefits are broadly available to employees, to fail to meet the requirements of Section 401(a)(13) or Section 411(a) of the Internal Revenue Code of 1986, as amended (the “Code”), and U.S. Treasury regulations promulgated thereunder.</w:t>
      </w:r>
    </w:p>
    <w:p>
      <w:pPr>
        <w:spacing w:after="0" w:line="143" w:lineRule="exact"/>
        <w:rPr>
          <w:rFonts w:ascii="Arial" w:cs="Arial" w:eastAsia="Arial" w:hAnsi="Arial"/>
          <w:sz w:val="15"/>
          <w:szCs w:val="15"/>
          <w:color w:val="auto"/>
        </w:rPr>
      </w:pPr>
    </w:p>
    <w:p>
      <w:pPr>
        <w:jc w:val="both"/>
        <w:ind w:left="368" w:hanging="368"/>
        <w:spacing w:after="0" w:line="259" w:lineRule="auto"/>
        <w:tabs>
          <w:tab w:leader="none" w:pos="368" w:val="left"/>
        </w:tabs>
        <w:numPr>
          <w:ilvl w:val="0"/>
          <w:numId w:val="147"/>
        </w:numPr>
        <w:rPr>
          <w:rFonts w:ascii="Arial" w:cs="Arial" w:eastAsia="Arial" w:hAnsi="Arial"/>
          <w:sz w:val="15"/>
          <w:szCs w:val="15"/>
          <w:color w:val="auto"/>
        </w:rPr>
      </w:pPr>
      <w:r>
        <w:rPr>
          <w:rFonts w:ascii="Arial" w:cs="Arial" w:eastAsia="Arial" w:hAnsi="Arial"/>
          <w:sz w:val="15"/>
          <w:szCs w:val="15"/>
          <w:color w:val="auto"/>
        </w:rPr>
        <w:t>Notwithstanding anything to the contrary contained herein, to the extent that, pursuant to this Policy, the Company is entitled to recover any Incentive-Based Compensation that is granted to an Executive Officer or a Participating Employee, such amounts shall be recovered net of any withholdings or taxes paid by or on behalf of the Executive Officer or Participating Employee.</w:t>
      </w:r>
    </w:p>
    <w:p>
      <w:pPr>
        <w:spacing w:after="0" w:line="143" w:lineRule="exact"/>
        <w:rPr>
          <w:rFonts w:ascii="Arial" w:cs="Arial" w:eastAsia="Arial" w:hAnsi="Arial"/>
          <w:sz w:val="15"/>
          <w:szCs w:val="15"/>
          <w:color w:val="auto"/>
        </w:rPr>
      </w:pPr>
    </w:p>
    <w:p>
      <w:pPr>
        <w:ind w:left="368" w:hanging="368"/>
        <w:spacing w:after="0" w:line="279" w:lineRule="auto"/>
        <w:tabs>
          <w:tab w:leader="none" w:pos="368" w:val="left"/>
        </w:tabs>
        <w:numPr>
          <w:ilvl w:val="0"/>
          <w:numId w:val="147"/>
        </w:numPr>
        <w:rPr>
          <w:rFonts w:ascii="Arial" w:cs="Arial" w:eastAsia="Arial" w:hAnsi="Arial"/>
          <w:sz w:val="15"/>
          <w:szCs w:val="15"/>
          <w:color w:val="auto"/>
        </w:rPr>
      </w:pPr>
      <w:r>
        <w:rPr>
          <w:rFonts w:ascii="Arial" w:cs="Arial" w:eastAsia="Arial" w:hAnsi="Arial"/>
          <w:sz w:val="15"/>
          <w:szCs w:val="15"/>
          <w:color w:val="auto"/>
        </w:rPr>
        <w:t>The Company shall make all required disclosures and filings with the SEC and Nasdaq with respect to this Policy in accordance with the requirements of the Applicable Rules, and any other requirements applicable to the Company, including the disclosures required in connection with SEC filings.</w:t>
      </w:r>
    </w:p>
    <w:p>
      <w:pPr>
        <w:spacing w:after="0" w:line="128" w:lineRule="exact"/>
        <w:rPr>
          <w:rFonts w:ascii="Arial" w:cs="Arial" w:eastAsia="Arial" w:hAnsi="Arial"/>
          <w:sz w:val="15"/>
          <w:szCs w:val="15"/>
          <w:color w:val="auto"/>
        </w:rPr>
      </w:pPr>
    </w:p>
    <w:p>
      <w:pPr>
        <w:jc w:val="both"/>
        <w:ind w:left="368" w:hanging="368"/>
        <w:spacing w:after="0" w:line="249" w:lineRule="auto"/>
        <w:tabs>
          <w:tab w:leader="none" w:pos="368" w:val="left"/>
        </w:tabs>
        <w:numPr>
          <w:ilvl w:val="0"/>
          <w:numId w:val="147"/>
        </w:numPr>
        <w:rPr>
          <w:rFonts w:ascii="Arial" w:cs="Arial" w:eastAsia="Arial" w:hAnsi="Arial"/>
          <w:sz w:val="15"/>
          <w:szCs w:val="15"/>
          <w:color w:val="auto"/>
        </w:rPr>
      </w:pPr>
      <w:r>
        <w:rPr>
          <w:rFonts w:ascii="Arial" w:cs="Arial" w:eastAsia="Arial" w:hAnsi="Arial"/>
          <w:sz w:val="15"/>
          <w:szCs w:val="15"/>
          <w:color w:val="auto"/>
        </w:rPr>
        <w:t xml:space="preserve">This </w:t>
      </w:r>
      <w:r>
        <w:rPr>
          <w:rFonts w:ascii="Arial" w:cs="Arial" w:eastAsia="Arial" w:hAnsi="Arial"/>
          <w:sz w:val="15"/>
          <w:szCs w:val="15"/>
          <w:u w:val="single" w:color="auto"/>
          <w:color w:val="auto"/>
        </w:rPr>
        <w:t>Section A</w:t>
      </w:r>
      <w:r>
        <w:rPr>
          <w:rFonts w:ascii="Arial" w:cs="Arial" w:eastAsia="Arial" w:hAnsi="Arial"/>
          <w:sz w:val="15"/>
          <w:szCs w:val="15"/>
          <w:color w:val="auto"/>
        </w:rPr>
        <w:t xml:space="preserve"> covers all persons who are Executive Officers at any time during the Recovery Period for which Incentive-Based Compensation is Received or during the performance period applicable to such Incentive-Based Compensation. Incentive-Based Compensation shall not be recovered under this </w:t>
      </w:r>
      <w:r>
        <w:rPr>
          <w:rFonts w:ascii="Arial" w:cs="Arial" w:eastAsia="Arial" w:hAnsi="Arial"/>
          <w:sz w:val="15"/>
          <w:szCs w:val="15"/>
          <w:u w:val="single" w:color="auto"/>
          <w:color w:val="auto"/>
        </w:rPr>
        <w:t>Section A</w:t>
      </w:r>
      <w:r>
        <w:rPr>
          <w:rFonts w:ascii="Arial" w:cs="Arial" w:eastAsia="Arial" w:hAnsi="Arial"/>
          <w:sz w:val="15"/>
          <w:szCs w:val="15"/>
          <w:color w:val="auto"/>
        </w:rPr>
        <w:t xml:space="preserve"> to the extent Received by any person before the date the person served as an Executive Officer, except if they are otherwise a Covered Person. Subsequent changes in an Executive Officer’s employment status, including retirement or termination of employment, do not affect the Company’s right to recover Incentive-Based Compensation pursuant to this </w:t>
      </w:r>
      <w:r>
        <w:rPr>
          <w:rFonts w:ascii="Arial" w:cs="Arial" w:eastAsia="Arial" w:hAnsi="Arial"/>
          <w:sz w:val="15"/>
          <w:szCs w:val="15"/>
          <w:u w:val="single" w:color="auto"/>
          <w:color w:val="auto"/>
        </w:rPr>
        <w:t>Section A</w:t>
      </w:r>
      <w:r>
        <w:rPr>
          <w:rFonts w:ascii="Arial" w:cs="Arial" w:eastAsia="Arial" w:hAnsi="Arial"/>
          <w:sz w:val="15"/>
          <w:szCs w:val="15"/>
          <w:color w:val="auto"/>
        </w:rPr>
        <w:t>.</w:t>
      </w:r>
    </w:p>
    <w:p>
      <w:pPr>
        <w:spacing w:after="0" w:line="152" w:lineRule="exact"/>
        <w:rPr>
          <w:rFonts w:ascii="Arial" w:cs="Arial" w:eastAsia="Arial" w:hAnsi="Arial"/>
          <w:sz w:val="15"/>
          <w:szCs w:val="15"/>
          <w:color w:val="auto"/>
        </w:rPr>
      </w:pPr>
    </w:p>
    <w:p>
      <w:pPr>
        <w:jc w:val="both"/>
        <w:ind w:left="368" w:hanging="368"/>
        <w:spacing w:after="0" w:line="245" w:lineRule="auto"/>
        <w:tabs>
          <w:tab w:leader="none" w:pos="368" w:val="left"/>
        </w:tabs>
        <w:numPr>
          <w:ilvl w:val="0"/>
          <w:numId w:val="147"/>
        </w:numPr>
        <w:rPr>
          <w:rFonts w:ascii="Arial" w:cs="Arial" w:eastAsia="Arial" w:hAnsi="Arial"/>
          <w:sz w:val="15"/>
          <w:szCs w:val="15"/>
          <w:color w:val="auto"/>
        </w:rPr>
      </w:pPr>
      <w:r>
        <w:rPr>
          <w:rFonts w:ascii="Arial" w:cs="Arial" w:eastAsia="Arial" w:hAnsi="Arial"/>
          <w:sz w:val="15"/>
          <w:szCs w:val="15"/>
          <w:color w:val="auto"/>
        </w:rPr>
        <w:t>This Policy shall apply to Incentive-Based Compensation that is Received by any Executive Officer or Participating Employee on or after the Effective Date (or, if later, the date on which such person becomes an Executive Officer or Participating Employee, as applicable). For the avoidance of doubt, this will include Incentive-Based Compensation that may have been approved, awarded, or granted to an Executive Officer or Participating Employee on or before the Effective Date if such Incentive-Based Compensation is Received on or after the Effective Date. To the extent the Applicable Rules require recovery of Incentive-Based Compensation in additional circumstances besides those specified above, nothing in this Policy shall be deemed to limit or restrict the right or obligation of the Company to recover Incentive-Based Compensation to the fullest extent required by the Applicable Rules. This Policy shall be deemed to be automatically amended, as of the date the Applicable Rules become effective with respect to the Company, to the extent required for this Policy to comply with the Applicable Rules.</w:t>
      </w:r>
    </w:p>
    <w:p>
      <w:pPr>
        <w:spacing w:after="0" w:line="330" w:lineRule="exact"/>
        <w:rPr>
          <w:sz w:val="20"/>
          <w:szCs w:val="20"/>
          <w:color w:val="auto"/>
        </w:rPr>
      </w:pPr>
    </w:p>
    <w:p>
      <w:pPr>
        <w:ind w:left="368" w:hanging="368"/>
        <w:spacing w:after="0"/>
        <w:tabs>
          <w:tab w:leader="none" w:pos="368" w:val="left"/>
        </w:tabs>
        <w:numPr>
          <w:ilvl w:val="0"/>
          <w:numId w:val="148"/>
        </w:numPr>
        <w:rPr>
          <w:rFonts w:ascii="Arial" w:cs="Arial" w:eastAsia="Arial" w:hAnsi="Arial"/>
          <w:sz w:val="15"/>
          <w:szCs w:val="15"/>
          <w:b w:val="1"/>
          <w:bCs w:val="1"/>
          <w:color w:val="auto"/>
        </w:rPr>
      </w:pPr>
      <w:r>
        <w:rPr>
          <w:rFonts w:ascii="Arial" w:cs="Arial" w:eastAsia="Arial" w:hAnsi="Arial"/>
          <w:sz w:val="15"/>
          <w:szCs w:val="15"/>
          <w:b w:val="1"/>
          <w:bCs w:val="1"/>
          <w:color w:val="auto"/>
        </w:rPr>
        <w:t>Compensation Clawback Due to Detrimental Conduct</w:t>
      </w:r>
    </w:p>
    <w:p>
      <w:pPr>
        <w:spacing w:after="0" w:line="186" w:lineRule="exact"/>
        <w:rPr>
          <w:sz w:val="20"/>
          <w:szCs w:val="20"/>
          <w:color w:val="auto"/>
        </w:rPr>
      </w:pPr>
    </w:p>
    <w:p>
      <w:pPr>
        <w:ind w:left="368" w:hanging="368"/>
        <w:spacing w:after="0"/>
        <w:tabs>
          <w:tab w:leader="none" w:pos="368" w:val="left"/>
        </w:tabs>
        <w:numPr>
          <w:ilvl w:val="0"/>
          <w:numId w:val="149"/>
        </w:numPr>
        <w:rPr>
          <w:rFonts w:ascii="Arial" w:cs="Arial" w:eastAsia="Arial" w:hAnsi="Arial"/>
          <w:sz w:val="15"/>
          <w:szCs w:val="15"/>
          <w:color w:val="auto"/>
        </w:rPr>
      </w:pPr>
      <w:r>
        <w:rPr>
          <w:rFonts w:ascii="Arial" w:cs="Arial" w:eastAsia="Arial" w:hAnsi="Arial"/>
          <w:sz w:val="15"/>
          <w:szCs w:val="15"/>
          <w:color w:val="auto"/>
        </w:rPr>
        <w:t xml:space="preserve">For the purposes of this </w:t>
      </w:r>
      <w:r>
        <w:rPr>
          <w:rFonts w:ascii="Arial" w:cs="Arial" w:eastAsia="Arial" w:hAnsi="Arial"/>
          <w:sz w:val="15"/>
          <w:szCs w:val="15"/>
          <w:u w:val="single" w:color="auto"/>
          <w:color w:val="auto"/>
        </w:rPr>
        <w:t>Section B</w:t>
      </w:r>
      <w:r>
        <w:rPr>
          <w:rFonts w:ascii="Arial" w:cs="Arial" w:eastAsia="Arial" w:hAnsi="Arial"/>
          <w:sz w:val="15"/>
          <w:szCs w:val="15"/>
          <w:color w:val="auto"/>
        </w:rPr>
        <w:t>, the following terms have the following meanings:</w:t>
      </w:r>
    </w:p>
    <w:p>
      <w:pPr>
        <w:spacing w:after="0" w:line="184" w:lineRule="exact"/>
        <w:rPr>
          <w:rFonts w:ascii="Arial" w:cs="Arial" w:eastAsia="Arial" w:hAnsi="Arial"/>
          <w:sz w:val="15"/>
          <w:szCs w:val="15"/>
          <w:color w:val="auto"/>
        </w:rPr>
      </w:pPr>
    </w:p>
    <w:p>
      <w:pPr>
        <w:jc w:val="both"/>
        <w:ind w:left="1508" w:hanging="382"/>
        <w:spacing w:after="0" w:line="249" w:lineRule="auto"/>
        <w:tabs>
          <w:tab w:leader="none" w:pos="1508" w:val="left"/>
        </w:tabs>
        <w:numPr>
          <w:ilvl w:val="1"/>
          <w:numId w:val="149"/>
        </w:numPr>
        <w:rPr>
          <w:rFonts w:ascii="Arial" w:cs="Arial" w:eastAsia="Arial" w:hAnsi="Arial"/>
          <w:sz w:val="15"/>
          <w:szCs w:val="15"/>
          <w:color w:val="auto"/>
        </w:rPr>
      </w:pPr>
      <w:r>
        <w:rPr>
          <w:rFonts w:ascii="Arial" w:cs="Arial" w:eastAsia="Arial" w:hAnsi="Arial"/>
          <w:sz w:val="15"/>
          <w:szCs w:val="15"/>
          <w:color w:val="auto"/>
        </w:rPr>
        <w:t>“Covered Compensation” means any compensation of a Covered Person, other than base salary, including (i) all equity compensation granted, earned, or vested; (ii) all bonuses and other cash incentive compensation, in either case, the amount, payment, and/or vesting of which may, but need not, be based, wholly or in part on the attainment of any performance measures; and (iii) any proceeds or earnings received in respect of (i) or (ii). For the avoidance of doubt, the forgoing includes any compensation that was previously paid, earned, vested, deferred, or paid or payable as a component of severance or termination compensation.</w:t>
      </w:r>
    </w:p>
    <w:p>
      <w:pPr>
        <w:spacing w:after="0" w:line="152" w:lineRule="exact"/>
        <w:rPr>
          <w:rFonts w:ascii="Arial" w:cs="Arial" w:eastAsia="Arial" w:hAnsi="Arial"/>
          <w:sz w:val="15"/>
          <w:szCs w:val="15"/>
          <w:color w:val="auto"/>
        </w:rPr>
      </w:pPr>
    </w:p>
    <w:p>
      <w:pPr>
        <w:ind w:left="1508" w:hanging="382"/>
        <w:spacing w:after="0"/>
        <w:tabs>
          <w:tab w:leader="none" w:pos="1508" w:val="left"/>
        </w:tabs>
        <w:numPr>
          <w:ilvl w:val="1"/>
          <w:numId w:val="149"/>
        </w:numPr>
        <w:rPr>
          <w:rFonts w:ascii="Arial" w:cs="Arial" w:eastAsia="Arial" w:hAnsi="Arial"/>
          <w:sz w:val="15"/>
          <w:szCs w:val="15"/>
          <w:color w:val="auto"/>
        </w:rPr>
      </w:pPr>
      <w:r>
        <w:rPr>
          <w:rFonts w:ascii="Arial" w:cs="Arial" w:eastAsia="Arial" w:hAnsi="Arial"/>
          <w:sz w:val="15"/>
          <w:szCs w:val="15"/>
          <w:color w:val="auto"/>
        </w:rPr>
        <w:t>“Detrimental Conduct” means:</w:t>
      </w:r>
    </w:p>
    <w:p>
      <w:pPr>
        <w:spacing w:after="0" w:line="299" w:lineRule="exact"/>
        <w:rPr>
          <w:sz w:val="20"/>
          <w:szCs w:val="20"/>
          <w:color w:val="auto"/>
        </w:rPr>
      </w:pPr>
    </w:p>
    <w:p>
      <w:pPr>
        <w:jc w:val="right"/>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508000</wp:posOffset>
            </wp:positionV>
            <wp:extent cx="7178040" cy="4000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43">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8"/>
          </w:cols>
          <w:pgMar w:left="312" w:top="1183" w:right="319" w:bottom="1440" w:gutter="0" w:footer="0" w:header="0"/>
        </w:sectPr>
      </w:pPr>
    </w:p>
    <w:bookmarkStart w:id="254" w:name="page255"/>
    <w:bookmarkEnd w:id="254"/>
    <w:p>
      <w:pPr>
        <w:ind w:left="2248" w:right="20" w:hanging="176"/>
        <w:spacing w:after="0" w:line="279" w:lineRule="auto"/>
        <w:tabs>
          <w:tab w:leader="none" w:pos="2248" w:val="left"/>
        </w:tabs>
        <w:numPr>
          <w:ilvl w:val="0"/>
          <w:numId w:val="150"/>
        </w:numPr>
        <w:rPr>
          <w:rFonts w:ascii="Arial" w:cs="Arial" w:eastAsia="Arial" w:hAnsi="Arial"/>
          <w:sz w:val="15"/>
          <w:szCs w:val="15"/>
          <w:color w:val="auto"/>
        </w:rPr>
      </w:pPr>
      <w:r>
        <w:rPr>
          <w:rFonts w:ascii="Arial" w:cs="Arial" w:eastAsia="Arial" w:hAnsi="Arial"/>
          <w:sz w:val="15"/>
          <w:szCs w:val="15"/>
          <w:color w:val="auto"/>
        </w:rPr>
        <w:t>Failure by a Covered Person to comply with the Company’s policies and procedures, including the Code of Conduct, Insider Trading Policy, and human resource policies;</w:t>
      </w:r>
    </w:p>
    <w:p>
      <w:pPr>
        <w:spacing w:after="0" w:line="128" w:lineRule="exact"/>
        <w:rPr>
          <w:rFonts w:ascii="Arial" w:cs="Arial" w:eastAsia="Arial" w:hAnsi="Arial"/>
          <w:sz w:val="15"/>
          <w:szCs w:val="15"/>
          <w:color w:val="auto"/>
        </w:rPr>
      </w:pPr>
    </w:p>
    <w:p>
      <w:pPr>
        <w:ind w:left="2248" w:hanging="176"/>
        <w:spacing w:after="0"/>
        <w:tabs>
          <w:tab w:leader="none" w:pos="2248" w:val="left"/>
        </w:tabs>
        <w:numPr>
          <w:ilvl w:val="0"/>
          <w:numId w:val="150"/>
        </w:numPr>
        <w:rPr>
          <w:rFonts w:ascii="Arial" w:cs="Arial" w:eastAsia="Arial" w:hAnsi="Arial"/>
          <w:sz w:val="15"/>
          <w:szCs w:val="15"/>
          <w:color w:val="auto"/>
        </w:rPr>
      </w:pPr>
      <w:r>
        <w:rPr>
          <w:rFonts w:ascii="Arial" w:cs="Arial" w:eastAsia="Arial" w:hAnsi="Arial"/>
          <w:sz w:val="15"/>
          <w:szCs w:val="15"/>
          <w:color w:val="auto"/>
        </w:rPr>
        <w:t>The violation of any law or regulation by a Covered Person; or</w:t>
      </w:r>
    </w:p>
    <w:p>
      <w:pPr>
        <w:spacing w:after="0" w:line="184" w:lineRule="exact"/>
        <w:rPr>
          <w:rFonts w:ascii="Arial" w:cs="Arial" w:eastAsia="Arial" w:hAnsi="Arial"/>
          <w:sz w:val="15"/>
          <w:szCs w:val="15"/>
          <w:color w:val="auto"/>
        </w:rPr>
      </w:pPr>
    </w:p>
    <w:p>
      <w:pPr>
        <w:ind w:left="2248" w:right="20" w:hanging="176"/>
        <w:spacing w:after="0" w:line="279" w:lineRule="auto"/>
        <w:tabs>
          <w:tab w:leader="none" w:pos="2248" w:val="left"/>
        </w:tabs>
        <w:numPr>
          <w:ilvl w:val="0"/>
          <w:numId w:val="150"/>
        </w:numPr>
        <w:rPr>
          <w:rFonts w:ascii="Arial" w:cs="Arial" w:eastAsia="Arial" w:hAnsi="Arial"/>
          <w:sz w:val="15"/>
          <w:szCs w:val="15"/>
          <w:color w:val="auto"/>
        </w:rPr>
      </w:pPr>
      <w:r>
        <w:rPr>
          <w:rFonts w:ascii="Arial" w:cs="Arial" w:eastAsia="Arial" w:hAnsi="Arial"/>
          <w:sz w:val="15"/>
          <w:szCs w:val="15"/>
          <w:color w:val="auto"/>
        </w:rPr>
        <w:t>Engaging in willful misconduct (including, but not limited to, bribery or other illegal acts), fraud, embezzlement, or misappropriation with respect to the Company or any of its subsidiaries by a Covered Person;</w:t>
      </w:r>
    </w:p>
    <w:p>
      <w:pPr>
        <w:spacing w:after="0" w:line="128" w:lineRule="exact"/>
        <w:rPr>
          <w:sz w:val="20"/>
          <w:szCs w:val="20"/>
          <w:color w:val="auto"/>
        </w:rPr>
      </w:pPr>
    </w:p>
    <w:p>
      <w:pPr>
        <w:ind w:left="8" w:right="20"/>
        <w:spacing w:after="0" w:line="279" w:lineRule="auto"/>
        <w:rPr>
          <w:sz w:val="20"/>
          <w:szCs w:val="20"/>
          <w:color w:val="auto"/>
        </w:rPr>
      </w:pPr>
      <w:r>
        <w:rPr>
          <w:rFonts w:ascii="Arial" w:cs="Arial" w:eastAsia="Arial" w:hAnsi="Arial"/>
          <w:sz w:val="15"/>
          <w:szCs w:val="15"/>
          <w:i w:val="1"/>
          <w:iCs w:val="1"/>
          <w:color w:val="auto"/>
        </w:rPr>
        <w:t>provided</w:t>
      </w:r>
      <w:r>
        <w:rPr>
          <w:rFonts w:ascii="Arial" w:cs="Arial" w:eastAsia="Arial" w:hAnsi="Arial"/>
          <w:sz w:val="15"/>
          <w:szCs w:val="15"/>
          <w:color w:val="auto"/>
        </w:rPr>
        <w:t>, that, in the case of each of the foregoing, the Board determines, in its sole discretion, that the conduct has resulted, or is reasonably likely to result, in a</w:t>
      </w:r>
      <w:r>
        <w:rPr>
          <w:rFonts w:ascii="Arial" w:cs="Arial" w:eastAsia="Arial" w:hAnsi="Arial"/>
          <w:sz w:val="15"/>
          <w:szCs w:val="15"/>
          <w:i w:val="1"/>
          <w:iCs w:val="1"/>
          <w:color w:val="auto"/>
        </w:rPr>
        <w:t xml:space="preserve"> </w:t>
      </w:r>
      <w:r>
        <w:rPr>
          <w:rFonts w:ascii="Arial" w:cs="Arial" w:eastAsia="Arial" w:hAnsi="Arial"/>
          <w:sz w:val="15"/>
          <w:szCs w:val="15"/>
          <w:color w:val="auto"/>
        </w:rPr>
        <w:t>material adverse impact on the Company’s financial results, operations or reputation.</w:t>
      </w:r>
    </w:p>
    <w:p>
      <w:pPr>
        <w:spacing w:after="0" w:line="128" w:lineRule="exact"/>
        <w:rPr>
          <w:sz w:val="20"/>
          <w:szCs w:val="20"/>
          <w:color w:val="auto"/>
        </w:rPr>
      </w:pPr>
    </w:p>
    <w:p>
      <w:pPr>
        <w:jc w:val="both"/>
        <w:ind w:left="368" w:hanging="368"/>
        <w:spacing w:after="0" w:line="254" w:lineRule="auto"/>
        <w:tabs>
          <w:tab w:leader="none" w:pos="368" w:val="left"/>
        </w:tabs>
        <w:numPr>
          <w:ilvl w:val="0"/>
          <w:numId w:val="151"/>
        </w:numPr>
        <w:rPr>
          <w:rFonts w:ascii="Arial" w:cs="Arial" w:eastAsia="Arial" w:hAnsi="Arial"/>
          <w:sz w:val="15"/>
          <w:szCs w:val="15"/>
          <w:color w:val="auto"/>
        </w:rPr>
      </w:pPr>
      <w:r>
        <w:rPr>
          <w:rFonts w:ascii="Arial" w:cs="Arial" w:eastAsia="Arial" w:hAnsi="Arial"/>
          <w:sz w:val="15"/>
          <w:szCs w:val="15"/>
          <w:color w:val="auto"/>
        </w:rPr>
        <w:t>If the Board determines that a Covered Person has engaged in Detrimental Conduct, all or a portion of any Covered Compensation that has been granted or paid by the Company to a Covered Person or is granted or paid to a Covered Person after the adoption of this Policy may be subject to clawback as determined by the Board to the extent such compensation was granted or paid during the 1-year period preceding the date of such Detrimental Conduct or any time thereafter.</w:t>
      </w:r>
    </w:p>
    <w:p>
      <w:pPr>
        <w:spacing w:after="0" w:line="326" w:lineRule="exact"/>
        <w:rPr>
          <w:rFonts w:ascii="Arial" w:cs="Arial" w:eastAsia="Arial" w:hAnsi="Arial"/>
          <w:sz w:val="15"/>
          <w:szCs w:val="15"/>
          <w:color w:val="auto"/>
        </w:rPr>
      </w:pPr>
    </w:p>
    <w:p>
      <w:pPr>
        <w:ind w:left="368" w:right="20" w:hanging="368"/>
        <w:spacing w:after="0" w:line="279" w:lineRule="auto"/>
        <w:tabs>
          <w:tab w:leader="none" w:pos="368" w:val="left"/>
        </w:tabs>
        <w:numPr>
          <w:ilvl w:val="0"/>
          <w:numId w:val="151"/>
        </w:numPr>
        <w:rPr>
          <w:rFonts w:ascii="Arial" w:cs="Arial" w:eastAsia="Arial" w:hAnsi="Arial"/>
          <w:sz w:val="15"/>
          <w:szCs w:val="15"/>
          <w:color w:val="auto"/>
        </w:rPr>
      </w:pPr>
      <w:r>
        <w:rPr>
          <w:rFonts w:ascii="Arial" w:cs="Arial" w:eastAsia="Arial" w:hAnsi="Arial"/>
          <w:sz w:val="15"/>
          <w:szCs w:val="15"/>
          <w:color w:val="auto"/>
        </w:rPr>
        <w:t xml:space="preserve">Subsequent changes in a Covered Person’s employment status or status as a service provider, including retirement or termination of employment, do not affect the Company’s rights to recover Covered Compensation pursuant to this </w:t>
      </w:r>
      <w:r>
        <w:rPr>
          <w:rFonts w:ascii="Arial" w:cs="Arial" w:eastAsia="Arial" w:hAnsi="Arial"/>
          <w:sz w:val="15"/>
          <w:szCs w:val="15"/>
          <w:u w:val="single" w:color="auto"/>
          <w:color w:val="auto"/>
        </w:rPr>
        <w:t>Section B</w:t>
      </w:r>
      <w:r>
        <w:rPr>
          <w:rFonts w:ascii="Arial" w:cs="Arial" w:eastAsia="Arial" w:hAnsi="Arial"/>
          <w:sz w:val="15"/>
          <w:szCs w:val="15"/>
          <w:color w:val="auto"/>
        </w:rPr>
        <w:t>.</w:t>
      </w:r>
    </w:p>
    <w:p>
      <w:pPr>
        <w:spacing w:after="0" w:line="126" w:lineRule="exact"/>
        <w:rPr>
          <w:sz w:val="20"/>
          <w:szCs w:val="20"/>
          <w:color w:val="auto"/>
        </w:rPr>
      </w:pPr>
    </w:p>
    <w:p>
      <w:pPr>
        <w:ind w:left="368" w:hanging="368"/>
        <w:spacing w:after="0"/>
        <w:tabs>
          <w:tab w:leader="none" w:pos="368" w:val="left"/>
        </w:tabs>
        <w:numPr>
          <w:ilvl w:val="0"/>
          <w:numId w:val="152"/>
        </w:numPr>
        <w:rPr>
          <w:rFonts w:ascii="Arial" w:cs="Arial" w:eastAsia="Arial" w:hAnsi="Arial"/>
          <w:sz w:val="15"/>
          <w:szCs w:val="15"/>
          <w:b w:val="1"/>
          <w:bCs w:val="1"/>
          <w:color w:val="auto"/>
        </w:rPr>
      </w:pPr>
      <w:r>
        <w:rPr>
          <w:rFonts w:ascii="Arial" w:cs="Arial" w:eastAsia="Arial" w:hAnsi="Arial"/>
          <w:sz w:val="15"/>
          <w:szCs w:val="15"/>
          <w:b w:val="1"/>
          <w:bCs w:val="1"/>
          <w:color w:val="auto"/>
        </w:rPr>
        <w:t>Administration; Indemnification</w:t>
      </w:r>
    </w:p>
    <w:p>
      <w:pPr>
        <w:spacing w:after="0" w:line="186" w:lineRule="exact"/>
        <w:rPr>
          <w:sz w:val="20"/>
          <w:szCs w:val="20"/>
          <w:color w:val="auto"/>
        </w:rPr>
      </w:pPr>
    </w:p>
    <w:p>
      <w:pPr>
        <w:jc w:val="both"/>
        <w:ind w:left="368" w:hanging="368"/>
        <w:spacing w:after="0" w:line="259" w:lineRule="auto"/>
        <w:tabs>
          <w:tab w:leader="none" w:pos="368" w:val="left"/>
        </w:tabs>
        <w:numPr>
          <w:ilvl w:val="0"/>
          <w:numId w:val="153"/>
        </w:numPr>
        <w:rPr>
          <w:rFonts w:ascii="Arial" w:cs="Arial" w:eastAsia="Arial" w:hAnsi="Arial"/>
          <w:sz w:val="15"/>
          <w:szCs w:val="15"/>
          <w:color w:val="auto"/>
        </w:rPr>
      </w:pPr>
      <w:r>
        <w:rPr>
          <w:rFonts w:ascii="Arial" w:cs="Arial" w:eastAsia="Arial" w:hAnsi="Arial"/>
          <w:sz w:val="15"/>
          <w:szCs w:val="15"/>
          <w:color w:val="auto"/>
        </w:rPr>
        <w:t>This Policy shall be administered in the sole discretion by the Board. All references in this Policy to the “Board” shall mean the Company’s Board of Directors or any duly established committee thereof. The Board has the sole authority to construe, interpret, and implement this Policy, and to make any determination necessary or advisable in administering this Policy, consistent with applicable law and this Policy. Without limiting the foregoing:</w:t>
      </w:r>
    </w:p>
    <w:p>
      <w:pPr>
        <w:spacing w:after="0" w:line="143" w:lineRule="exact"/>
        <w:rPr>
          <w:rFonts w:ascii="Arial" w:cs="Arial" w:eastAsia="Arial" w:hAnsi="Arial"/>
          <w:sz w:val="15"/>
          <w:szCs w:val="15"/>
          <w:color w:val="auto"/>
        </w:rPr>
      </w:pPr>
    </w:p>
    <w:p>
      <w:pPr>
        <w:ind w:left="1508" w:hanging="382"/>
        <w:spacing w:after="0" w:line="279" w:lineRule="auto"/>
        <w:tabs>
          <w:tab w:leader="none" w:pos="1508" w:val="left"/>
        </w:tabs>
        <w:numPr>
          <w:ilvl w:val="1"/>
          <w:numId w:val="153"/>
        </w:numPr>
        <w:rPr>
          <w:rFonts w:ascii="Arial" w:cs="Arial" w:eastAsia="Arial" w:hAnsi="Arial"/>
          <w:sz w:val="15"/>
          <w:szCs w:val="15"/>
          <w:color w:val="auto"/>
        </w:rPr>
      </w:pPr>
      <w:r>
        <w:rPr>
          <w:rFonts w:ascii="Arial" w:cs="Arial" w:eastAsia="Arial" w:hAnsi="Arial"/>
          <w:sz w:val="15"/>
          <w:szCs w:val="15"/>
          <w:u w:val="single" w:color="auto"/>
          <w:color w:val="auto"/>
        </w:rPr>
        <w:t>Section A</w:t>
      </w:r>
      <w:r>
        <w:rPr>
          <w:rFonts w:ascii="Arial" w:cs="Arial" w:eastAsia="Arial" w:hAnsi="Arial"/>
          <w:sz w:val="15"/>
          <w:szCs w:val="15"/>
          <w:color w:val="auto"/>
        </w:rPr>
        <w:t xml:space="preserve"> of this Policy shall be interpreted in a manner that is consistent with the requirements of the Applicable Rules, and compliance with this Policy shall not be waived by the Board or the Company in any respect; and</w:t>
      </w:r>
    </w:p>
    <w:p>
      <w:pPr>
        <w:spacing w:after="0" w:line="128" w:lineRule="exact"/>
        <w:rPr>
          <w:rFonts w:ascii="Arial" w:cs="Arial" w:eastAsia="Arial" w:hAnsi="Arial"/>
          <w:sz w:val="15"/>
          <w:szCs w:val="15"/>
          <w:color w:val="auto"/>
        </w:rPr>
      </w:pPr>
    </w:p>
    <w:p>
      <w:pPr>
        <w:jc w:val="both"/>
        <w:ind w:left="1508" w:hanging="382"/>
        <w:spacing w:after="0" w:line="259" w:lineRule="auto"/>
        <w:tabs>
          <w:tab w:leader="none" w:pos="1508" w:val="left"/>
        </w:tabs>
        <w:numPr>
          <w:ilvl w:val="1"/>
          <w:numId w:val="153"/>
        </w:numPr>
        <w:rPr>
          <w:rFonts w:ascii="Arial" w:cs="Arial" w:eastAsia="Arial" w:hAnsi="Arial"/>
          <w:sz w:val="15"/>
          <w:szCs w:val="15"/>
          <w:color w:val="auto"/>
        </w:rPr>
      </w:pPr>
      <w:r>
        <w:rPr>
          <w:rFonts w:ascii="Arial" w:cs="Arial" w:eastAsia="Arial" w:hAnsi="Arial"/>
          <w:sz w:val="15"/>
          <w:szCs w:val="15"/>
          <w:u w:val="single" w:color="auto"/>
          <w:color w:val="auto"/>
        </w:rPr>
        <w:t>Section B</w:t>
      </w:r>
      <w:r>
        <w:rPr>
          <w:rFonts w:ascii="Arial" w:cs="Arial" w:eastAsia="Arial" w:hAnsi="Arial"/>
          <w:sz w:val="15"/>
          <w:szCs w:val="15"/>
          <w:color w:val="auto"/>
        </w:rPr>
        <w:t xml:space="preserve"> of this Policy shall be interpreted in the Board’s sole discretion;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Board may delegate its administrative responsibility in respect of this </w:t>
      </w:r>
      <w:r>
        <w:rPr>
          <w:rFonts w:ascii="Arial" w:cs="Arial" w:eastAsia="Arial" w:hAnsi="Arial"/>
          <w:sz w:val="15"/>
          <w:szCs w:val="15"/>
          <w:u w:val="single" w:color="auto"/>
          <w:color w:val="auto"/>
        </w:rPr>
        <w:t>Section C</w:t>
      </w:r>
      <w:r>
        <w:rPr>
          <w:rFonts w:ascii="Arial" w:cs="Arial" w:eastAsia="Arial" w:hAnsi="Arial"/>
          <w:sz w:val="15"/>
          <w:szCs w:val="15"/>
          <w:color w:val="auto"/>
        </w:rPr>
        <w:t xml:space="preserve"> to a management committee with respect to Covered Persons other than Executive Officers, in which case references herein to the Board shall be deemed to include such management committee, as applicable.</w:t>
      </w:r>
    </w:p>
    <w:p>
      <w:pPr>
        <w:spacing w:after="0" w:line="143" w:lineRule="exact"/>
        <w:rPr>
          <w:sz w:val="20"/>
          <w:szCs w:val="20"/>
          <w:color w:val="auto"/>
        </w:rPr>
      </w:pPr>
    </w:p>
    <w:p>
      <w:pPr>
        <w:ind w:left="368"/>
        <w:spacing w:after="0" w:line="279" w:lineRule="auto"/>
        <w:rPr>
          <w:sz w:val="20"/>
          <w:szCs w:val="20"/>
          <w:color w:val="auto"/>
        </w:rPr>
      </w:pPr>
      <w:r>
        <w:rPr>
          <w:rFonts w:ascii="Arial" w:cs="Arial" w:eastAsia="Arial" w:hAnsi="Arial"/>
          <w:sz w:val="15"/>
          <w:szCs w:val="15"/>
          <w:color w:val="auto"/>
        </w:rPr>
        <w:t>Any determinations of the Board under this Policy shall be conclusive and binding on the Company and the applicable Covered Person. The determinations of the Board need not be uniform with respect to each Covered Person.</w:t>
      </w:r>
    </w:p>
    <w:p>
      <w:pPr>
        <w:spacing w:after="0" w:line="128" w:lineRule="exact"/>
        <w:rPr>
          <w:sz w:val="20"/>
          <w:szCs w:val="20"/>
          <w:color w:val="auto"/>
        </w:rPr>
      </w:pPr>
    </w:p>
    <w:p>
      <w:pPr>
        <w:jc w:val="both"/>
        <w:ind w:left="368" w:hanging="368"/>
        <w:spacing w:after="0" w:line="253" w:lineRule="auto"/>
        <w:tabs>
          <w:tab w:leader="none" w:pos="368" w:val="left"/>
        </w:tabs>
        <w:numPr>
          <w:ilvl w:val="0"/>
          <w:numId w:val="154"/>
        </w:numPr>
        <w:rPr>
          <w:rFonts w:ascii="Arial" w:cs="Arial" w:eastAsia="Arial" w:hAnsi="Arial"/>
          <w:sz w:val="15"/>
          <w:szCs w:val="15"/>
          <w:color w:val="auto"/>
        </w:rPr>
      </w:pPr>
      <w:r>
        <w:rPr>
          <w:rFonts w:ascii="Arial" w:cs="Arial" w:eastAsia="Arial" w:hAnsi="Arial"/>
          <w:sz w:val="15"/>
          <w:szCs w:val="15"/>
          <w:color w:val="auto"/>
        </w:rPr>
        <w:t>The amount of Incentive-Based Compensation or Covered Compensation required to be returned, repaid, or forfeited shall be the amount by which the Covered Person’s original Incentive-Based Compensation or Covered Compensation for the relevant period exceeded all Incentive-Based Compensation or Covered Compensation calculated on the restated results as determined by the Board in its sole discretion; determined on an after-tax basis assuming that the Covered Person was taxable at the highest federal, state, and local marginal income tax rates.</w:t>
      </w:r>
    </w:p>
    <w:p>
      <w:pPr>
        <w:spacing w:after="0" w:line="147" w:lineRule="exact"/>
        <w:rPr>
          <w:rFonts w:ascii="Arial" w:cs="Arial" w:eastAsia="Arial" w:hAnsi="Arial"/>
          <w:sz w:val="15"/>
          <w:szCs w:val="15"/>
          <w:color w:val="auto"/>
        </w:rPr>
      </w:pPr>
    </w:p>
    <w:p>
      <w:pPr>
        <w:jc w:val="both"/>
        <w:ind w:left="368" w:hanging="368"/>
        <w:spacing w:after="0" w:line="259" w:lineRule="auto"/>
        <w:tabs>
          <w:tab w:leader="none" w:pos="368" w:val="left"/>
        </w:tabs>
        <w:numPr>
          <w:ilvl w:val="0"/>
          <w:numId w:val="154"/>
        </w:numPr>
        <w:rPr>
          <w:rFonts w:ascii="Arial" w:cs="Arial" w:eastAsia="Arial" w:hAnsi="Arial"/>
          <w:sz w:val="15"/>
          <w:szCs w:val="15"/>
          <w:color w:val="auto"/>
        </w:rPr>
      </w:pPr>
      <w:r>
        <w:rPr>
          <w:rFonts w:ascii="Arial" w:cs="Arial" w:eastAsia="Arial" w:hAnsi="Arial"/>
          <w:sz w:val="15"/>
          <w:szCs w:val="15"/>
          <w:color w:val="auto"/>
        </w:rPr>
        <w:t>The Company shall not indemnify any current or former Covered Person against the loss of previously awarded Incentive-Based Compensation or Covered Compensation under this Policy and shall not pay or reimburse any such person for premiums incurred or paid for any insurance policy to fund such person’s potential recovery obligations.</w:t>
      </w:r>
    </w:p>
    <w:p>
      <w:pPr>
        <w:spacing w:after="0" w:line="25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508000</wp:posOffset>
            </wp:positionV>
            <wp:extent cx="7178040" cy="4000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44">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8"/>
          </w:cols>
          <w:pgMar w:left="312" w:top="1183" w:right="319" w:bottom="1440" w:gutter="0" w:footer="0" w:header="0"/>
        </w:sectPr>
      </w:pPr>
    </w:p>
    <w:bookmarkStart w:id="255" w:name="page256"/>
    <w:bookmarkEnd w:id="255"/>
    <w:p>
      <w:pPr>
        <w:ind w:left="368" w:hanging="368"/>
        <w:spacing w:after="0"/>
        <w:tabs>
          <w:tab w:leader="none" w:pos="368" w:val="left"/>
        </w:tabs>
        <w:numPr>
          <w:ilvl w:val="0"/>
          <w:numId w:val="155"/>
        </w:numPr>
        <w:rPr>
          <w:rFonts w:ascii="Arial" w:cs="Arial" w:eastAsia="Arial" w:hAnsi="Arial"/>
          <w:sz w:val="15"/>
          <w:szCs w:val="15"/>
          <w:b w:val="1"/>
          <w:bCs w:val="1"/>
          <w:color w:val="auto"/>
        </w:rPr>
      </w:pPr>
      <w:r>
        <w:rPr>
          <w:rFonts w:ascii="Arial" w:cs="Arial" w:eastAsia="Arial" w:hAnsi="Arial"/>
          <w:sz w:val="15"/>
          <w:szCs w:val="15"/>
          <w:b w:val="1"/>
          <w:bCs w:val="1"/>
          <w:color w:val="auto"/>
        </w:rPr>
        <w:t>Methods of Recovery</w:t>
      </w:r>
    </w:p>
    <w:p>
      <w:pPr>
        <w:spacing w:after="0" w:line="186" w:lineRule="exact"/>
        <w:rPr>
          <w:sz w:val="20"/>
          <w:szCs w:val="20"/>
          <w:color w:val="auto"/>
        </w:rPr>
      </w:pPr>
    </w:p>
    <w:p>
      <w:pPr>
        <w:jc w:val="both"/>
        <w:ind w:left="368" w:hanging="368"/>
        <w:spacing w:after="0" w:line="253" w:lineRule="auto"/>
        <w:tabs>
          <w:tab w:leader="none" w:pos="368" w:val="left"/>
        </w:tabs>
        <w:numPr>
          <w:ilvl w:val="0"/>
          <w:numId w:val="156"/>
        </w:numPr>
        <w:rPr>
          <w:rFonts w:ascii="Arial" w:cs="Arial" w:eastAsia="Arial" w:hAnsi="Arial"/>
          <w:sz w:val="15"/>
          <w:szCs w:val="15"/>
          <w:color w:val="auto"/>
        </w:rPr>
      </w:pPr>
      <w:r>
        <w:rPr>
          <w:rFonts w:ascii="Arial" w:cs="Arial" w:eastAsia="Arial" w:hAnsi="Arial"/>
          <w:sz w:val="15"/>
          <w:szCs w:val="15"/>
          <w:color w:val="auto"/>
        </w:rPr>
        <w:t xml:space="preserve">Subject to paragraph 4 of </w:t>
      </w:r>
      <w:r>
        <w:rPr>
          <w:rFonts w:ascii="Arial" w:cs="Arial" w:eastAsia="Arial" w:hAnsi="Arial"/>
          <w:sz w:val="15"/>
          <w:szCs w:val="15"/>
          <w:u w:val="single" w:color="auto"/>
          <w:color w:val="auto"/>
        </w:rPr>
        <w:t>Section A</w:t>
      </w:r>
      <w:r>
        <w:rPr>
          <w:rFonts w:ascii="Arial" w:cs="Arial" w:eastAsia="Arial" w:hAnsi="Arial"/>
          <w:sz w:val="15"/>
          <w:szCs w:val="15"/>
          <w:color w:val="auto"/>
        </w:rPr>
        <w:t xml:space="preserve"> of this Policy, in the event that the Board determines that this Policy should apply, to the extent permitted by applicable law, the Company shall, as determined by the Board in its sole discretion, take any such actions as it deems necessary or appropriate to recover, in the case of </w:t>
      </w:r>
      <w:r>
        <w:rPr>
          <w:rFonts w:ascii="Arial" w:cs="Arial" w:eastAsia="Arial" w:hAnsi="Arial"/>
          <w:sz w:val="15"/>
          <w:szCs w:val="15"/>
          <w:u w:val="single" w:color="auto"/>
          <w:color w:val="auto"/>
        </w:rPr>
        <w:t>Section A</w:t>
      </w:r>
      <w:r>
        <w:rPr>
          <w:rFonts w:ascii="Arial" w:cs="Arial" w:eastAsia="Arial" w:hAnsi="Arial"/>
          <w:sz w:val="15"/>
          <w:szCs w:val="15"/>
          <w:color w:val="auto"/>
        </w:rPr>
        <w:t xml:space="preserve"> of this Policy, Incentive-Based Compensation, or in the case of </w:t>
      </w:r>
      <w:r>
        <w:rPr>
          <w:rFonts w:ascii="Arial" w:cs="Arial" w:eastAsia="Arial" w:hAnsi="Arial"/>
          <w:sz w:val="15"/>
          <w:szCs w:val="15"/>
          <w:u w:val="single" w:color="auto"/>
          <w:color w:val="auto"/>
        </w:rPr>
        <w:t>Section B</w:t>
      </w:r>
      <w:r>
        <w:rPr>
          <w:rFonts w:ascii="Arial" w:cs="Arial" w:eastAsia="Arial" w:hAnsi="Arial"/>
          <w:sz w:val="15"/>
          <w:szCs w:val="15"/>
          <w:color w:val="auto"/>
        </w:rPr>
        <w:t xml:space="preserve"> of this Policy, Covered Compensation (together, “Clawback Compensation”). The actions may include, without limitation (and as applicable):</w:t>
      </w:r>
    </w:p>
    <w:p>
      <w:pPr>
        <w:spacing w:after="0" w:line="147" w:lineRule="exact"/>
        <w:rPr>
          <w:rFonts w:ascii="Arial" w:cs="Arial" w:eastAsia="Arial" w:hAnsi="Arial"/>
          <w:sz w:val="15"/>
          <w:szCs w:val="15"/>
          <w:color w:val="auto"/>
        </w:rPr>
      </w:pPr>
    </w:p>
    <w:p>
      <w:pPr>
        <w:ind w:left="1508" w:hanging="382"/>
        <w:spacing w:after="0"/>
        <w:tabs>
          <w:tab w:leader="none" w:pos="1508" w:val="left"/>
        </w:tabs>
        <w:numPr>
          <w:ilvl w:val="1"/>
          <w:numId w:val="156"/>
        </w:numPr>
        <w:rPr>
          <w:rFonts w:ascii="Arial" w:cs="Arial" w:eastAsia="Arial" w:hAnsi="Arial"/>
          <w:sz w:val="15"/>
          <w:szCs w:val="15"/>
          <w:color w:val="auto"/>
        </w:rPr>
      </w:pPr>
      <w:r>
        <w:rPr>
          <w:rFonts w:ascii="Arial" w:cs="Arial" w:eastAsia="Arial" w:hAnsi="Arial"/>
          <w:sz w:val="15"/>
          <w:szCs w:val="15"/>
          <w:color w:val="auto"/>
        </w:rPr>
        <w:t>forfeit, reduce, or cancel any Clawback Compensation (whether vested or unvested) that has not been distributed or otherwise settled;</w:t>
      </w:r>
    </w:p>
    <w:p>
      <w:pPr>
        <w:spacing w:after="0" w:line="184" w:lineRule="exact"/>
        <w:rPr>
          <w:rFonts w:ascii="Arial" w:cs="Arial" w:eastAsia="Arial" w:hAnsi="Arial"/>
          <w:sz w:val="15"/>
          <w:szCs w:val="15"/>
          <w:color w:val="auto"/>
        </w:rPr>
      </w:pPr>
    </w:p>
    <w:p>
      <w:pPr>
        <w:ind w:left="1508" w:hanging="382"/>
        <w:spacing w:after="0"/>
        <w:tabs>
          <w:tab w:leader="none" w:pos="1508" w:val="left"/>
        </w:tabs>
        <w:numPr>
          <w:ilvl w:val="1"/>
          <w:numId w:val="156"/>
        </w:numPr>
        <w:rPr>
          <w:rFonts w:ascii="Arial" w:cs="Arial" w:eastAsia="Arial" w:hAnsi="Arial"/>
          <w:sz w:val="15"/>
          <w:szCs w:val="15"/>
          <w:color w:val="auto"/>
        </w:rPr>
      </w:pPr>
      <w:r>
        <w:rPr>
          <w:rFonts w:ascii="Arial" w:cs="Arial" w:eastAsia="Arial" w:hAnsi="Arial"/>
          <w:sz w:val="15"/>
          <w:szCs w:val="15"/>
          <w:color w:val="auto"/>
        </w:rPr>
        <w:t>seek recovery of any Clawback Compensation that was previously paid to the Covered Person;</w:t>
      </w:r>
    </w:p>
    <w:p>
      <w:pPr>
        <w:spacing w:after="0" w:line="184" w:lineRule="exact"/>
        <w:rPr>
          <w:rFonts w:ascii="Arial" w:cs="Arial" w:eastAsia="Arial" w:hAnsi="Arial"/>
          <w:sz w:val="15"/>
          <w:szCs w:val="15"/>
          <w:color w:val="auto"/>
        </w:rPr>
      </w:pPr>
    </w:p>
    <w:p>
      <w:pPr>
        <w:ind w:left="1508" w:hanging="382"/>
        <w:spacing w:after="0" w:line="279" w:lineRule="auto"/>
        <w:tabs>
          <w:tab w:leader="none" w:pos="1508" w:val="left"/>
        </w:tabs>
        <w:numPr>
          <w:ilvl w:val="1"/>
          <w:numId w:val="156"/>
        </w:numPr>
        <w:rPr>
          <w:rFonts w:ascii="Arial" w:cs="Arial" w:eastAsia="Arial" w:hAnsi="Arial"/>
          <w:sz w:val="15"/>
          <w:szCs w:val="15"/>
          <w:color w:val="auto"/>
        </w:rPr>
      </w:pPr>
      <w:r>
        <w:rPr>
          <w:rFonts w:ascii="Arial" w:cs="Arial" w:eastAsia="Arial" w:hAnsi="Arial"/>
          <w:sz w:val="15"/>
          <w:szCs w:val="15"/>
          <w:color w:val="auto"/>
        </w:rPr>
        <w:t>seek recovery of any amounts realized on the vesting, exercise, settlement, sale, transfer, or other disposition of any equity-based Clawback Compensation;</w:t>
      </w:r>
    </w:p>
    <w:p>
      <w:pPr>
        <w:spacing w:after="0" w:line="128" w:lineRule="exact"/>
        <w:rPr>
          <w:rFonts w:ascii="Arial" w:cs="Arial" w:eastAsia="Arial" w:hAnsi="Arial"/>
          <w:sz w:val="15"/>
          <w:szCs w:val="15"/>
          <w:color w:val="auto"/>
        </w:rPr>
      </w:pPr>
    </w:p>
    <w:p>
      <w:pPr>
        <w:jc w:val="both"/>
        <w:ind w:left="1508" w:hanging="382"/>
        <w:spacing w:after="0" w:line="253" w:lineRule="auto"/>
        <w:tabs>
          <w:tab w:leader="none" w:pos="1508" w:val="left"/>
        </w:tabs>
        <w:numPr>
          <w:ilvl w:val="1"/>
          <w:numId w:val="156"/>
        </w:numPr>
        <w:rPr>
          <w:rFonts w:ascii="Arial" w:cs="Arial" w:eastAsia="Arial" w:hAnsi="Arial"/>
          <w:sz w:val="15"/>
          <w:szCs w:val="15"/>
          <w:color w:val="auto"/>
        </w:rPr>
      </w:pPr>
      <w:r>
        <w:rPr>
          <w:rFonts w:ascii="Arial" w:cs="Arial" w:eastAsia="Arial" w:hAnsi="Arial"/>
          <w:sz w:val="15"/>
          <w:szCs w:val="15"/>
          <w:color w:val="auto"/>
        </w:rPr>
        <w:t>recoup any amount in respect of Clawback Compensation that was contributed or deferred to a plan that takes into account Clawback Compensation (excluding certain tax-qualified plans, but including deferred compensation plans, and supplemental executive retirement plans, and insurance plans to the extent otherwise permitted by applicable law, including Section 409A of the Code) and any earnings accrued on such Clawback Compensation;</w:t>
      </w:r>
    </w:p>
    <w:p>
      <w:pPr>
        <w:spacing w:after="0" w:line="147" w:lineRule="exact"/>
        <w:rPr>
          <w:rFonts w:ascii="Arial" w:cs="Arial" w:eastAsia="Arial" w:hAnsi="Arial"/>
          <w:sz w:val="15"/>
          <w:szCs w:val="15"/>
          <w:color w:val="auto"/>
        </w:rPr>
      </w:pPr>
    </w:p>
    <w:p>
      <w:pPr>
        <w:ind w:left="1508" w:hanging="382"/>
        <w:spacing w:after="0" w:line="279" w:lineRule="auto"/>
        <w:tabs>
          <w:tab w:leader="none" w:pos="1508" w:val="left"/>
        </w:tabs>
        <w:numPr>
          <w:ilvl w:val="1"/>
          <w:numId w:val="156"/>
        </w:numPr>
        <w:rPr>
          <w:rFonts w:ascii="Arial" w:cs="Arial" w:eastAsia="Arial" w:hAnsi="Arial"/>
          <w:sz w:val="15"/>
          <w:szCs w:val="15"/>
          <w:color w:val="auto"/>
        </w:rPr>
      </w:pPr>
      <w:r>
        <w:rPr>
          <w:rFonts w:ascii="Arial" w:cs="Arial" w:eastAsia="Arial" w:hAnsi="Arial"/>
          <w:sz w:val="15"/>
          <w:szCs w:val="15"/>
          <w:color w:val="auto"/>
        </w:rPr>
        <w:t xml:space="preserve">except as otherwise required by </w:t>
      </w:r>
      <w:r>
        <w:rPr>
          <w:rFonts w:ascii="Arial" w:cs="Arial" w:eastAsia="Arial" w:hAnsi="Arial"/>
          <w:sz w:val="15"/>
          <w:szCs w:val="15"/>
          <w:u w:val="single" w:color="auto"/>
          <w:color w:val="auto"/>
        </w:rPr>
        <w:t>Section A</w:t>
      </w:r>
      <w:r>
        <w:rPr>
          <w:rFonts w:ascii="Arial" w:cs="Arial" w:eastAsia="Arial" w:hAnsi="Arial"/>
          <w:sz w:val="15"/>
          <w:szCs w:val="15"/>
          <w:color w:val="auto"/>
        </w:rPr>
        <w:t xml:space="preserve"> of this Policy, determine whether Clawback Compensation should be recouped on a pre-tax or after-tax basis;</w:t>
      </w:r>
    </w:p>
    <w:p>
      <w:pPr>
        <w:spacing w:after="0" w:line="128" w:lineRule="exact"/>
        <w:rPr>
          <w:rFonts w:ascii="Arial" w:cs="Arial" w:eastAsia="Arial" w:hAnsi="Arial"/>
          <w:sz w:val="15"/>
          <w:szCs w:val="15"/>
          <w:color w:val="auto"/>
        </w:rPr>
      </w:pPr>
    </w:p>
    <w:p>
      <w:pPr>
        <w:ind w:left="1508" w:right="20" w:hanging="382"/>
        <w:spacing w:after="0" w:line="279" w:lineRule="auto"/>
        <w:tabs>
          <w:tab w:leader="none" w:pos="1508" w:val="left"/>
        </w:tabs>
        <w:numPr>
          <w:ilvl w:val="1"/>
          <w:numId w:val="156"/>
        </w:numPr>
        <w:rPr>
          <w:rFonts w:ascii="Arial" w:cs="Arial" w:eastAsia="Arial" w:hAnsi="Arial"/>
          <w:sz w:val="15"/>
          <w:szCs w:val="15"/>
          <w:color w:val="auto"/>
        </w:rPr>
      </w:pPr>
      <w:r>
        <w:rPr>
          <w:rFonts w:ascii="Arial" w:cs="Arial" w:eastAsia="Arial" w:hAnsi="Arial"/>
          <w:sz w:val="15"/>
          <w:szCs w:val="15"/>
          <w:color w:val="auto"/>
        </w:rPr>
        <w:t>offset, withhold, eliminate, or cause to be forfeited any amount that could be paid or awarded to the Covered Person after the date of determination; and</w:t>
      </w:r>
    </w:p>
    <w:p>
      <w:pPr>
        <w:spacing w:after="0" w:line="128" w:lineRule="exact"/>
        <w:rPr>
          <w:rFonts w:ascii="Arial" w:cs="Arial" w:eastAsia="Arial" w:hAnsi="Arial"/>
          <w:sz w:val="15"/>
          <w:szCs w:val="15"/>
          <w:color w:val="auto"/>
        </w:rPr>
      </w:pPr>
    </w:p>
    <w:p>
      <w:pPr>
        <w:ind w:left="1508" w:hanging="382"/>
        <w:spacing w:after="0"/>
        <w:tabs>
          <w:tab w:leader="none" w:pos="1508" w:val="left"/>
        </w:tabs>
        <w:numPr>
          <w:ilvl w:val="1"/>
          <w:numId w:val="156"/>
        </w:numPr>
        <w:rPr>
          <w:rFonts w:ascii="Arial" w:cs="Arial" w:eastAsia="Arial" w:hAnsi="Arial"/>
          <w:sz w:val="15"/>
          <w:szCs w:val="15"/>
          <w:color w:val="auto"/>
        </w:rPr>
      </w:pPr>
      <w:r>
        <w:rPr>
          <w:rFonts w:ascii="Arial" w:cs="Arial" w:eastAsia="Arial" w:hAnsi="Arial"/>
          <w:sz w:val="15"/>
          <w:szCs w:val="15"/>
          <w:color w:val="auto"/>
        </w:rPr>
        <w:t>take any other remedial and recovery action permitted by law, as determined by the Board.</w:t>
      </w:r>
    </w:p>
    <w:p>
      <w:pPr>
        <w:spacing w:after="0" w:line="184" w:lineRule="exact"/>
        <w:rPr>
          <w:sz w:val="20"/>
          <w:szCs w:val="20"/>
          <w:color w:val="auto"/>
        </w:rPr>
      </w:pPr>
    </w:p>
    <w:p>
      <w:pPr>
        <w:jc w:val="both"/>
        <w:ind w:left="568"/>
        <w:spacing w:after="0" w:line="249" w:lineRule="auto"/>
        <w:rPr>
          <w:sz w:val="20"/>
          <w:szCs w:val="20"/>
          <w:color w:val="auto"/>
        </w:rPr>
      </w:pPr>
      <w:r>
        <w:rPr>
          <w:rFonts w:ascii="Arial" w:cs="Arial" w:eastAsia="Arial" w:hAnsi="Arial"/>
          <w:sz w:val="15"/>
          <w:szCs w:val="15"/>
          <w:color w:val="auto"/>
        </w:rPr>
        <w:t>In addition, (x) the Board may authorize legal action for breach of fiduciary duty or other violation of law and take such other actions to enforce the obligations of the Covered Person (as applicable) to the Company as the Board deems appropriate or (y) in the event that a Covered Person (as applicable) fails to repay or reimburse erroneously awarded compensation that is subject to recovery, the Board may require such Covered Person (as applicable) to reimburse the Company for any and all expenses reasonably incurred (including legal fees) by the Company in recovering erroneously awarded compensation under this Policy.</w:t>
      </w:r>
    </w:p>
    <w:p>
      <w:pPr>
        <w:spacing w:after="0" w:line="150" w:lineRule="exact"/>
        <w:rPr>
          <w:sz w:val="20"/>
          <w:szCs w:val="20"/>
          <w:color w:val="auto"/>
        </w:rPr>
      </w:pPr>
    </w:p>
    <w:p>
      <w:pPr>
        <w:ind w:left="368" w:hanging="368"/>
        <w:spacing w:after="0"/>
        <w:tabs>
          <w:tab w:leader="none" w:pos="368" w:val="left"/>
        </w:tabs>
        <w:numPr>
          <w:ilvl w:val="0"/>
          <w:numId w:val="157"/>
        </w:numPr>
        <w:rPr>
          <w:rFonts w:ascii="Arial" w:cs="Arial" w:eastAsia="Arial" w:hAnsi="Arial"/>
          <w:sz w:val="15"/>
          <w:szCs w:val="15"/>
          <w:b w:val="1"/>
          <w:bCs w:val="1"/>
          <w:color w:val="auto"/>
        </w:rPr>
      </w:pPr>
      <w:r>
        <w:rPr>
          <w:rFonts w:ascii="Arial" w:cs="Arial" w:eastAsia="Arial" w:hAnsi="Arial"/>
          <w:sz w:val="15"/>
          <w:szCs w:val="15"/>
          <w:b w:val="1"/>
          <w:bCs w:val="1"/>
          <w:color w:val="auto"/>
        </w:rPr>
        <w:t>No Substitution of Rights; Non-Exhaustive Rights</w:t>
      </w:r>
    </w:p>
    <w:p>
      <w:pPr>
        <w:spacing w:after="0" w:line="186" w:lineRule="exact"/>
        <w:rPr>
          <w:sz w:val="20"/>
          <w:szCs w:val="20"/>
          <w:color w:val="auto"/>
        </w:rPr>
      </w:pPr>
    </w:p>
    <w:p>
      <w:pPr>
        <w:jc w:val="both"/>
        <w:ind w:left="368" w:hanging="368"/>
        <w:spacing w:after="0" w:line="253" w:lineRule="auto"/>
        <w:tabs>
          <w:tab w:leader="none" w:pos="368" w:val="left"/>
        </w:tabs>
        <w:numPr>
          <w:ilvl w:val="0"/>
          <w:numId w:val="158"/>
        </w:numPr>
        <w:rPr>
          <w:rFonts w:ascii="Arial" w:cs="Arial" w:eastAsia="Arial" w:hAnsi="Arial"/>
          <w:sz w:val="15"/>
          <w:szCs w:val="15"/>
          <w:color w:val="auto"/>
        </w:rPr>
      </w:pPr>
      <w:r>
        <w:rPr>
          <w:rFonts w:ascii="Arial" w:cs="Arial" w:eastAsia="Arial" w:hAnsi="Arial"/>
          <w:sz w:val="15"/>
          <w:szCs w:val="15"/>
          <w:color w:val="auto"/>
        </w:rPr>
        <w:t>Any right of recoupment under this Policy is in addition to, and not in lieu of, any other remedies or rights that may be available to the Company pursuant to (a) the Company’s Omnibus Incentive Compensation Plan or any successor plan thereto, the Company’s annual bonus plan or any other incentive plan of the Company or any of its subsidiaries, (b) the terms of any recoupment policy or provision in any employment agreement, compensation agreement or arrangement, or other agreement, or (c) any other legal remedies available to the Company under applicable law.</w:t>
      </w:r>
    </w:p>
    <w:p>
      <w:pPr>
        <w:spacing w:after="0" w:line="147" w:lineRule="exact"/>
        <w:rPr>
          <w:rFonts w:ascii="Arial" w:cs="Arial" w:eastAsia="Arial" w:hAnsi="Arial"/>
          <w:sz w:val="15"/>
          <w:szCs w:val="15"/>
          <w:color w:val="auto"/>
        </w:rPr>
      </w:pPr>
    </w:p>
    <w:p>
      <w:pPr>
        <w:jc w:val="both"/>
        <w:ind w:left="368" w:right="20" w:hanging="368"/>
        <w:spacing w:after="0" w:line="259" w:lineRule="auto"/>
        <w:tabs>
          <w:tab w:leader="none" w:pos="368" w:val="left"/>
        </w:tabs>
        <w:numPr>
          <w:ilvl w:val="0"/>
          <w:numId w:val="158"/>
        </w:numPr>
        <w:rPr>
          <w:rFonts w:ascii="Arial" w:cs="Arial" w:eastAsia="Arial" w:hAnsi="Arial"/>
          <w:sz w:val="15"/>
          <w:szCs w:val="15"/>
          <w:color w:val="auto"/>
        </w:rPr>
      </w:pPr>
      <w:r>
        <w:rPr>
          <w:rFonts w:ascii="Arial" w:cs="Arial" w:eastAsia="Arial" w:hAnsi="Arial"/>
          <w:sz w:val="15"/>
          <w:szCs w:val="15"/>
          <w:color w:val="auto"/>
        </w:rPr>
        <w:t>In addition to recovery of compensation as provided for in this Policy, the Company may take any and all other actions as it deems necessary, appropriate, and in the Company’s best interest in connection with the Board determining that this Policy should apply, including termination of the employment of, or initiating legal action against, a Covered Person, and nothing in this Policy limits the Company’s rights to take any such appropriate actions.</w:t>
      </w:r>
    </w:p>
    <w:p>
      <w:pPr>
        <w:spacing w:after="0" w:line="141" w:lineRule="exact"/>
        <w:rPr>
          <w:sz w:val="20"/>
          <w:szCs w:val="20"/>
          <w:color w:val="auto"/>
        </w:rPr>
      </w:pPr>
    </w:p>
    <w:p>
      <w:pPr>
        <w:ind w:left="368" w:hanging="368"/>
        <w:spacing w:after="0"/>
        <w:tabs>
          <w:tab w:leader="none" w:pos="368" w:val="left"/>
        </w:tabs>
        <w:numPr>
          <w:ilvl w:val="0"/>
          <w:numId w:val="159"/>
        </w:numPr>
        <w:rPr>
          <w:rFonts w:ascii="Arial" w:cs="Arial" w:eastAsia="Arial" w:hAnsi="Arial"/>
          <w:sz w:val="15"/>
          <w:szCs w:val="15"/>
          <w:b w:val="1"/>
          <w:bCs w:val="1"/>
          <w:color w:val="auto"/>
        </w:rPr>
      </w:pPr>
      <w:r>
        <w:rPr>
          <w:rFonts w:ascii="Arial" w:cs="Arial" w:eastAsia="Arial" w:hAnsi="Arial"/>
          <w:sz w:val="15"/>
          <w:szCs w:val="15"/>
          <w:b w:val="1"/>
          <w:bCs w:val="1"/>
          <w:color w:val="auto"/>
        </w:rPr>
        <w:t>Amendment</w:t>
      </w:r>
    </w:p>
    <w:p>
      <w:pPr>
        <w:spacing w:after="0" w:line="301" w:lineRule="exact"/>
        <w:rPr>
          <w:sz w:val="20"/>
          <w:szCs w:val="20"/>
          <w:color w:val="auto"/>
        </w:rPr>
      </w:pPr>
    </w:p>
    <w:p>
      <w:pPr>
        <w:jc w:val="right"/>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508000</wp:posOffset>
            </wp:positionV>
            <wp:extent cx="7178040" cy="4000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45">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8"/>
          </w:cols>
          <w:pgMar w:left="312" w:top="1181" w:right="319" w:bottom="1440" w:gutter="0" w:footer="0" w:header="0"/>
        </w:sectPr>
      </w:pPr>
    </w:p>
    <w:bookmarkStart w:id="256" w:name="page257"/>
    <w:bookmarkEnd w:id="256"/>
    <w:p>
      <w:pPr>
        <w:ind w:left="8"/>
        <w:spacing w:after="0" w:line="279" w:lineRule="auto"/>
        <w:rPr>
          <w:sz w:val="20"/>
          <w:szCs w:val="20"/>
          <w:color w:val="auto"/>
        </w:rPr>
      </w:pPr>
      <w:r>
        <w:rPr>
          <w:rFonts w:ascii="Arial" w:cs="Arial" w:eastAsia="Arial" w:hAnsi="Arial"/>
          <w:sz w:val="15"/>
          <w:szCs w:val="15"/>
          <w:color w:val="auto"/>
        </w:rPr>
        <w:t xml:space="preserve">The Board may amend this Policy from time to time in its discretion, subject to any limitations under applicable law, including, in the case of </w:t>
      </w:r>
      <w:r>
        <w:rPr>
          <w:rFonts w:ascii="Arial" w:cs="Arial" w:eastAsia="Arial" w:hAnsi="Arial"/>
          <w:sz w:val="15"/>
          <w:szCs w:val="15"/>
          <w:u w:val="single" w:color="auto"/>
          <w:color w:val="auto"/>
        </w:rPr>
        <w:t>Section A</w:t>
      </w:r>
      <w:r>
        <w:rPr>
          <w:rFonts w:ascii="Arial" w:cs="Arial" w:eastAsia="Arial" w:hAnsi="Arial"/>
          <w:sz w:val="15"/>
          <w:szCs w:val="15"/>
          <w:color w:val="auto"/>
        </w:rPr>
        <w:t xml:space="preserve"> of this Policy, the Applicable Rules.</w:t>
      </w:r>
    </w:p>
    <w:p>
      <w:pPr>
        <w:spacing w:after="0" w:line="126" w:lineRule="exact"/>
        <w:rPr>
          <w:sz w:val="20"/>
          <w:szCs w:val="20"/>
          <w:color w:val="auto"/>
        </w:rPr>
      </w:pPr>
    </w:p>
    <w:p>
      <w:pPr>
        <w:ind w:left="368" w:hanging="368"/>
        <w:spacing w:after="0"/>
        <w:tabs>
          <w:tab w:leader="none" w:pos="368" w:val="left"/>
        </w:tabs>
        <w:numPr>
          <w:ilvl w:val="0"/>
          <w:numId w:val="160"/>
        </w:numPr>
        <w:rPr>
          <w:rFonts w:ascii="Arial" w:cs="Arial" w:eastAsia="Arial" w:hAnsi="Arial"/>
          <w:sz w:val="15"/>
          <w:szCs w:val="15"/>
          <w:b w:val="1"/>
          <w:bCs w:val="1"/>
          <w:color w:val="auto"/>
        </w:rPr>
      </w:pPr>
      <w:r>
        <w:rPr>
          <w:rFonts w:ascii="Arial" w:cs="Arial" w:eastAsia="Arial" w:hAnsi="Arial"/>
          <w:sz w:val="15"/>
          <w:szCs w:val="15"/>
          <w:b w:val="1"/>
          <w:bCs w:val="1"/>
          <w:color w:val="auto"/>
        </w:rPr>
        <w:t>Governing Law</w:t>
      </w:r>
    </w:p>
    <w:p>
      <w:pPr>
        <w:spacing w:after="0" w:line="186" w:lineRule="exact"/>
        <w:rPr>
          <w:sz w:val="20"/>
          <w:szCs w:val="20"/>
          <w:color w:val="auto"/>
        </w:rPr>
      </w:pPr>
    </w:p>
    <w:p>
      <w:pPr>
        <w:jc w:val="both"/>
        <w:ind w:left="8"/>
        <w:spacing w:after="0" w:line="253" w:lineRule="auto"/>
        <w:rPr>
          <w:sz w:val="20"/>
          <w:szCs w:val="20"/>
          <w:color w:val="auto"/>
        </w:rPr>
      </w:pPr>
      <w:r>
        <w:rPr>
          <w:rFonts w:ascii="Arial" w:cs="Arial" w:eastAsia="Arial" w:hAnsi="Arial"/>
          <w:sz w:val="15"/>
          <w:szCs w:val="15"/>
          <w:color w:val="auto"/>
        </w:rPr>
        <w:t>This Policy and all determinations made and actions taken pursuant hereto, to the extent not otherwise governed by mandatory provisions of the Applicable Rules, shall be governed by and construed in accordance with the laws of the State of Delaware without regard to choice of law principles. If any provision of this Policy shall be held illegal or invalid for any reason, such illegality or invalidity shall not affect the remaining parts of this Policy, but this Policy shall be construed and enforced as if the illegal or invalid provision had never been included in this Policy.</w:t>
      </w:r>
    </w:p>
    <w:p>
      <w:pPr>
        <w:spacing w:after="0" w:line="147" w:lineRule="exact"/>
        <w:rPr>
          <w:sz w:val="20"/>
          <w:szCs w:val="20"/>
          <w:color w:val="auto"/>
        </w:rPr>
      </w:pPr>
    </w:p>
    <w:p>
      <w:pPr>
        <w:ind w:left="8"/>
        <w:spacing w:after="0"/>
        <w:rPr>
          <w:sz w:val="20"/>
          <w:szCs w:val="20"/>
          <w:color w:val="auto"/>
        </w:rPr>
      </w:pPr>
      <w:r>
        <w:rPr>
          <w:rFonts w:ascii="Arial" w:cs="Arial" w:eastAsia="Arial" w:hAnsi="Arial"/>
          <w:sz w:val="15"/>
          <w:szCs w:val="15"/>
          <w:i w:val="1"/>
          <w:iCs w:val="1"/>
          <w:color w:val="auto"/>
        </w:rPr>
        <w:t>Adopted: August 4, 2020</w:t>
      </w:r>
    </w:p>
    <w:p>
      <w:pPr>
        <w:spacing w:after="0" w:line="14" w:lineRule="exact"/>
        <w:rPr>
          <w:sz w:val="20"/>
          <w:szCs w:val="20"/>
          <w:color w:val="auto"/>
        </w:rPr>
      </w:pPr>
    </w:p>
    <w:p>
      <w:pPr>
        <w:ind w:left="8"/>
        <w:spacing w:after="0"/>
        <w:rPr>
          <w:sz w:val="20"/>
          <w:szCs w:val="20"/>
          <w:color w:val="auto"/>
        </w:rPr>
      </w:pPr>
      <w:r>
        <w:rPr>
          <w:rFonts w:ascii="Arial" w:cs="Arial" w:eastAsia="Arial" w:hAnsi="Arial"/>
          <w:sz w:val="15"/>
          <w:szCs w:val="15"/>
          <w:i w:val="1"/>
          <w:iCs w:val="1"/>
          <w:color w:val="auto"/>
        </w:rPr>
        <w:t>Revised: October 31, 2023</w:t>
      </w:r>
    </w:p>
    <w:p>
      <w:pPr>
        <w:spacing w:after="0" w:line="285" w:lineRule="exact"/>
        <w:rPr>
          <w:sz w:val="20"/>
          <w:szCs w:val="20"/>
          <w:color w:val="auto"/>
        </w:rPr>
      </w:pPr>
    </w:p>
    <w:p>
      <w:pPr>
        <w:jc w:val="right"/>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508000</wp:posOffset>
            </wp:positionV>
            <wp:extent cx="7178040" cy="4000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46">
                      <a:extLst>
                        <a:ext uri="{28A0092B-C50C-407E-A947-70E740481C1C}"/>
                      </a:extLst>
                    </a:blip>
                    <a:srcRect/>
                    <a:stretch>
                      <a:fillRect/>
                    </a:stretch>
                  </pic:blipFill>
                  <pic:spPr bwMode="auto">
                    <a:xfrm>
                      <a:off x="0" y="0"/>
                      <a:ext cx="7178040" cy="40005"/>
                    </a:xfrm>
                    <a:prstGeom prst="rect">
                      <a:avLst/>
                    </a:prstGeom>
                    <a:noFill/>
                  </pic:spPr>
                </pic:pic>
              </a:graphicData>
            </a:graphic>
          </wp:anchor>
        </w:drawing>
      </w:r>
    </w:p>
    <w:p>
      <w:pPr>
        <w:sectPr>
          <w:pgSz w:w="11900" w:h="16838" w:orient="portrait"/>
          <w:cols w:equalWidth="0" w:num="1">
            <w:col w:w="11268"/>
          </w:cols>
          <w:pgMar w:left="312" w:top="1184" w:right="319" w:bottom="1440" w:gutter="0" w:footer="0" w:header="0"/>
        </w:sectPr>
      </w:pPr>
    </w:p>
    <w:bookmarkStart w:id="257" w:name="page258"/>
    <w:bookmarkEnd w:id="25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962813B"/>
    <w:multiLevelType w:val="hybridMultilevel"/>
    <w:lvl w:ilvl="0">
      <w:lvlJc w:val="left"/>
      <w:lvlText w:val="☒"/>
      <w:numFmt w:val="bullet"/>
      <w:start w:val="1"/>
    </w:lvl>
  </w:abstractNum>
  <w:abstractNum w:abstractNumId="1">
    <w:nsid w:val="60B6DF70"/>
    <w:multiLevelType w:val="hybridMultilevel"/>
    <w:lvl w:ilvl="0">
      <w:lvlJc w:val="left"/>
      <w:lvlText w:val="•"/>
      <w:numFmt w:val="bullet"/>
      <w:start w:val="1"/>
    </w:lvl>
  </w:abstractNum>
  <w:abstractNum w:abstractNumId="2">
    <w:nsid w:val="6A5EE64"/>
    <w:multiLevelType w:val="hybridMultilevel"/>
    <w:lvl w:ilvl="0">
      <w:lvlJc w:val="left"/>
      <w:lvlText w:val="•"/>
      <w:numFmt w:val="bullet"/>
      <w:start w:val="1"/>
    </w:lvl>
  </w:abstractNum>
  <w:abstractNum w:abstractNumId="3">
    <w:nsid w:val="14330624"/>
    <w:multiLevelType w:val="hybridMultilevel"/>
    <w:lvl w:ilvl="0">
      <w:lvlJc w:val="left"/>
      <w:lvlText w:val="•"/>
      <w:numFmt w:val="bullet"/>
      <w:start w:val="1"/>
    </w:lvl>
  </w:abstractNum>
  <w:abstractNum w:abstractNumId="4">
    <w:nsid w:val="7FFFCA11"/>
    <w:multiLevelType w:val="hybridMultilevel"/>
    <w:lvl w:ilvl="0">
      <w:lvlJc w:val="left"/>
      <w:lvlText w:val="•"/>
      <w:numFmt w:val="bullet"/>
      <w:start w:val="1"/>
    </w:lvl>
  </w:abstractNum>
  <w:abstractNum w:abstractNumId="5">
    <w:nsid w:val="1A27709E"/>
    <w:multiLevelType w:val="hybridMultilevel"/>
    <w:lvl w:ilvl="0">
      <w:lvlJc w:val="left"/>
      <w:lvlText w:val="•"/>
      <w:numFmt w:val="bullet"/>
      <w:start w:val="1"/>
    </w:lvl>
  </w:abstractNum>
  <w:abstractNum w:abstractNumId="6">
    <w:nsid w:val="71EA1109"/>
    <w:multiLevelType w:val="hybridMultilevel"/>
    <w:lvl w:ilvl="0">
      <w:lvlJc w:val="left"/>
      <w:lvlText w:val="•"/>
      <w:numFmt w:val="bullet"/>
      <w:start w:val="1"/>
    </w:lvl>
  </w:abstractNum>
  <w:abstractNum w:abstractNumId="7">
    <w:nsid w:val="100F59DC"/>
    <w:multiLevelType w:val="hybridMultilevel"/>
    <w:lvl w:ilvl="0">
      <w:lvlJc w:val="left"/>
      <w:lvlText w:val="•"/>
      <w:numFmt w:val="bullet"/>
      <w:start w:val="1"/>
    </w:lvl>
  </w:abstractNum>
  <w:abstractNum w:abstractNumId="8">
    <w:nsid w:val="7FB7E0AA"/>
    <w:multiLevelType w:val="hybridMultilevel"/>
    <w:lvl w:ilvl="0">
      <w:lvlJc w:val="left"/>
      <w:lvlText w:val="•"/>
      <w:numFmt w:val="bullet"/>
      <w:start w:val="1"/>
    </w:lvl>
  </w:abstractNum>
  <w:abstractNum w:abstractNumId="9">
    <w:nsid w:val="6EB5BD4"/>
    <w:multiLevelType w:val="hybridMultilevel"/>
    <w:lvl w:ilvl="0">
      <w:lvlJc w:val="left"/>
      <w:lvlText w:val="•"/>
      <w:numFmt w:val="bullet"/>
      <w:start w:val="1"/>
    </w:lvl>
  </w:abstractNum>
  <w:abstractNum w:abstractNumId="10">
    <w:nsid w:val="6F6DD9AC"/>
    <w:multiLevelType w:val="hybridMultilevel"/>
    <w:lvl w:ilvl="0">
      <w:lvlJc w:val="left"/>
      <w:lvlText w:val="•"/>
      <w:numFmt w:val="bullet"/>
      <w:start w:val="1"/>
    </w:lvl>
  </w:abstractNum>
  <w:abstractNum w:abstractNumId="11">
    <w:nsid w:val="94211F2"/>
    <w:multiLevelType w:val="hybridMultilevel"/>
    <w:lvl w:ilvl="0">
      <w:lvlJc w:val="left"/>
      <w:lvlText w:val="•"/>
      <w:numFmt w:val="bullet"/>
      <w:start w:val="1"/>
    </w:lvl>
  </w:abstractNum>
  <w:abstractNum w:abstractNumId="12">
    <w:nsid w:val="885E1B"/>
    <w:multiLevelType w:val="hybridMultilevel"/>
    <w:lvl w:ilvl="0">
      <w:lvlJc w:val="left"/>
      <w:lvlText w:val="•"/>
      <w:numFmt w:val="bullet"/>
      <w:start w:val="1"/>
    </w:lvl>
  </w:abstractNum>
  <w:abstractNum w:abstractNumId="13">
    <w:nsid w:val="76272110"/>
    <w:multiLevelType w:val="hybridMultilevel"/>
    <w:lvl w:ilvl="0">
      <w:lvlJc w:val="left"/>
      <w:lvlText w:val="•"/>
      <w:numFmt w:val="bullet"/>
      <w:start w:val="1"/>
    </w:lvl>
  </w:abstractNum>
  <w:abstractNum w:abstractNumId="14">
    <w:nsid w:val="4C04A8AF"/>
    <w:multiLevelType w:val="hybridMultilevel"/>
    <w:lvl w:ilvl="0">
      <w:lvlJc w:val="left"/>
      <w:lvlText w:val="•"/>
      <w:numFmt w:val="bullet"/>
      <w:start w:val="1"/>
    </w:lvl>
  </w:abstractNum>
  <w:abstractNum w:abstractNumId="15">
    <w:nsid w:val="1716703B"/>
    <w:multiLevelType w:val="hybridMultilevel"/>
    <w:lvl w:ilvl="0">
      <w:lvlJc w:val="left"/>
      <w:lvlText w:val="•"/>
      <w:numFmt w:val="bullet"/>
      <w:start w:val="1"/>
    </w:lvl>
  </w:abstractNum>
  <w:abstractNum w:abstractNumId="16">
    <w:nsid w:val="14E17E33"/>
    <w:multiLevelType w:val="hybridMultilevel"/>
    <w:lvl w:ilvl="0">
      <w:lvlJc w:val="left"/>
      <w:lvlText w:val="•"/>
      <w:numFmt w:val="bullet"/>
      <w:start w:val="1"/>
    </w:lvl>
  </w:abstractNum>
  <w:abstractNum w:abstractNumId="17">
    <w:nsid w:val="3222E7CD"/>
    <w:multiLevelType w:val="hybridMultilevel"/>
    <w:lvl w:ilvl="0">
      <w:lvlJc w:val="left"/>
      <w:lvlText w:val="•"/>
      <w:numFmt w:val="bullet"/>
      <w:start w:val="1"/>
    </w:lvl>
  </w:abstractNum>
  <w:abstractNum w:abstractNumId="18">
    <w:nsid w:val="74DE0EE3"/>
    <w:multiLevelType w:val="hybridMultilevel"/>
    <w:lvl w:ilvl="0">
      <w:lvlJc w:val="left"/>
      <w:lvlText w:val="•"/>
      <w:numFmt w:val="bullet"/>
      <w:start w:val="1"/>
    </w:lvl>
  </w:abstractNum>
  <w:abstractNum w:abstractNumId="19">
    <w:nsid w:val="68EBC550"/>
    <w:multiLevelType w:val="hybridMultilevel"/>
    <w:lvl w:ilvl="0">
      <w:lvlJc w:val="left"/>
      <w:lvlText w:val="•"/>
      <w:numFmt w:val="bullet"/>
      <w:start w:val="1"/>
    </w:lvl>
  </w:abstractNum>
  <w:abstractNum w:abstractNumId="20">
    <w:nsid w:val="2DF6D648"/>
    <w:multiLevelType w:val="hybridMultilevel"/>
    <w:lvl w:ilvl="0">
      <w:lvlJc w:val="left"/>
      <w:lvlText w:val="•"/>
      <w:numFmt w:val="bullet"/>
      <w:start w:val="1"/>
    </w:lvl>
  </w:abstractNum>
  <w:abstractNum w:abstractNumId="21">
    <w:nsid w:val="46B7D447"/>
    <w:multiLevelType w:val="hybridMultilevel"/>
    <w:lvl w:ilvl="0">
      <w:lvlJc w:val="left"/>
      <w:lvlText w:val="(%1)"/>
      <w:numFmt w:val="decimal"/>
      <w:start w:val="1"/>
    </w:lvl>
  </w:abstractNum>
  <w:abstractNum w:abstractNumId="22">
    <w:nsid w:val="4A2AC315"/>
    <w:multiLevelType w:val="hybridMultilevel"/>
    <w:lvl w:ilvl="0">
      <w:lvlJc w:val="left"/>
      <w:lvlText w:val="•"/>
      <w:numFmt w:val="bullet"/>
      <w:start w:val="1"/>
    </w:lvl>
  </w:abstractNum>
  <w:abstractNum w:abstractNumId="23">
    <w:nsid w:val="39EE015C"/>
    <w:multiLevelType w:val="hybridMultilevel"/>
    <w:lvl w:ilvl="0">
      <w:lvlJc w:val="left"/>
      <w:lvlText w:val="•"/>
      <w:numFmt w:val="bullet"/>
      <w:start w:val="1"/>
    </w:lvl>
  </w:abstractNum>
  <w:abstractNum w:abstractNumId="24">
    <w:nsid w:val="57FC4FBB"/>
    <w:multiLevelType w:val="hybridMultilevel"/>
    <w:lvl w:ilvl="0">
      <w:lvlJc w:val="left"/>
      <w:lvlText w:val="(%1)"/>
      <w:numFmt w:val="decimal"/>
      <w:start w:val="1"/>
    </w:lvl>
  </w:abstractNum>
  <w:abstractNum w:abstractNumId="25">
    <w:nsid w:val="CC1016F"/>
    <w:multiLevelType w:val="hybridMultilevel"/>
    <w:lvl w:ilvl="0">
      <w:lvlJc w:val="left"/>
      <w:lvlText w:val="(%1)"/>
      <w:numFmt w:val="decimal"/>
      <w:start w:val="1"/>
    </w:lvl>
  </w:abstractNum>
  <w:abstractNum w:abstractNumId="26">
    <w:nsid w:val="43F18422"/>
    <w:multiLevelType w:val="hybridMultilevel"/>
    <w:lvl w:ilvl="0">
      <w:lvlJc w:val="left"/>
      <w:lvlText w:val="(%1)"/>
      <w:numFmt w:val="decimal"/>
      <w:start w:val="1"/>
    </w:lvl>
  </w:abstractNum>
  <w:abstractNum w:abstractNumId="27">
    <w:nsid w:val="60EF0119"/>
    <w:multiLevelType w:val="hybridMultilevel"/>
    <w:lvl w:ilvl="0">
      <w:lvlJc w:val="left"/>
      <w:lvlText w:val="%1)"/>
      <w:numFmt w:val="decimal"/>
      <w:start w:val="1"/>
    </w:lvl>
  </w:abstractNum>
  <w:abstractNum w:abstractNumId="28">
    <w:nsid w:val="26F324BA"/>
    <w:multiLevelType w:val="hybridMultilevel"/>
    <w:lvl w:ilvl="0">
      <w:lvlJc w:val="left"/>
      <w:lvlText w:val="(%1)"/>
      <w:numFmt w:val="lowerLetter"/>
      <w:start w:val="2"/>
    </w:lvl>
  </w:abstractNum>
  <w:abstractNum w:abstractNumId="29">
    <w:nsid w:val="7F01579B"/>
    <w:multiLevelType w:val="hybridMultilevel"/>
    <w:lvl w:ilvl="0">
      <w:lvlJc w:val="left"/>
      <w:lvlText w:val="(%1)"/>
      <w:numFmt w:val="lowerRoman"/>
      <w:start w:val="1"/>
    </w:lvl>
  </w:abstractNum>
  <w:abstractNum w:abstractNumId="30">
    <w:nsid w:val="49DA307D"/>
    <w:multiLevelType w:val="hybridMultilevel"/>
    <w:lvl w:ilvl="0">
      <w:lvlJc w:val="left"/>
      <w:lvlText w:val="(%1)"/>
      <w:numFmt w:val="decimal"/>
      <w:start w:val="1"/>
    </w:lvl>
  </w:abstractNum>
  <w:abstractNum w:abstractNumId="31">
    <w:nsid w:val="7055A5F5"/>
    <w:multiLevelType w:val="hybridMultilevel"/>
    <w:lvl w:ilvl="0">
      <w:lvlJc w:val="left"/>
      <w:lvlText w:val="(%1)"/>
      <w:numFmt w:val="decimal"/>
      <w:start w:val="1"/>
    </w:lvl>
  </w:abstractNum>
  <w:abstractNum w:abstractNumId="32">
    <w:nsid w:val="5FB8370B"/>
    <w:multiLevelType w:val="hybridMultilevel"/>
    <w:lvl w:ilvl="0">
      <w:lvlJc w:val="left"/>
      <w:lvlText w:val="(%1)"/>
      <w:numFmt w:val="decimal"/>
      <w:start w:val="1"/>
    </w:lvl>
  </w:abstractNum>
  <w:abstractNum w:abstractNumId="33">
    <w:nsid w:val="50801EE1"/>
    <w:multiLevelType w:val="hybridMultilevel"/>
    <w:lvl w:ilvl="0">
      <w:lvlJc w:val="left"/>
      <w:lvlText w:val="(%1)"/>
      <w:numFmt w:val="decimal"/>
      <w:start w:val="1"/>
    </w:lvl>
  </w:abstractNum>
  <w:abstractNum w:abstractNumId="34">
    <w:nsid w:val="488AC1A"/>
    <w:multiLevelType w:val="hybridMultilevel"/>
    <w:lvl w:ilvl="0">
      <w:lvlJc w:val="left"/>
      <w:lvlText w:val="(%1)"/>
      <w:numFmt w:val="lowerRoman"/>
      <w:start w:val="1"/>
    </w:lvl>
  </w:abstractNum>
  <w:abstractNum w:abstractNumId="35">
    <w:nsid w:val="5FB8011C"/>
    <w:multiLevelType w:val="hybridMultilevel"/>
    <w:lvl w:ilvl="0">
      <w:lvlJc w:val="left"/>
      <w:lvlText w:val="(%1)"/>
      <w:numFmt w:val="decimal"/>
      <w:start w:val="1"/>
    </w:lvl>
  </w:abstractNum>
  <w:abstractNum w:abstractNumId="36">
    <w:nsid w:val="6AA78F7F"/>
    <w:multiLevelType w:val="hybridMultilevel"/>
    <w:lvl w:ilvl="0">
      <w:lvlJc w:val="left"/>
      <w:lvlText w:val="(%1)"/>
      <w:numFmt w:val="lowerLetter"/>
      <w:start w:val="1"/>
    </w:lvl>
    <w:lvl w:ilvl="1">
      <w:lvlJc w:val="left"/>
      <w:lvlText w:val="(%2)"/>
      <w:numFmt w:val="decimal"/>
      <w:start w:val="1"/>
    </w:lvl>
  </w:abstractNum>
  <w:abstractNum w:abstractNumId="37">
    <w:nsid w:val="7672BD23"/>
    <w:multiLevelType w:val="hybridMultilevel"/>
    <w:lvl w:ilvl="0">
      <w:lvlJc w:val="left"/>
      <w:lvlText w:val="*"/>
      <w:numFmt w:val="bullet"/>
      <w:start w:val="1"/>
    </w:lvl>
  </w:abstractNum>
  <w:abstractNum w:abstractNumId="38">
    <w:nsid w:val="6FC75AF8"/>
    <w:multiLevelType w:val="hybridMultilevel"/>
    <w:lvl w:ilvl="0">
      <w:lvlJc w:val="left"/>
      <w:lvlText w:val="**"/>
      <w:numFmt w:val="bullet"/>
      <w:start w:val="1"/>
    </w:lvl>
  </w:abstractNum>
  <w:abstractNum w:abstractNumId="39">
    <w:nsid w:val="6A5F7029"/>
    <w:multiLevelType w:val="hybridMultilevel"/>
    <w:lvl w:ilvl="0">
      <w:lvlJc w:val="left"/>
      <w:lvlText w:val="•"/>
      <w:numFmt w:val="bullet"/>
      <w:start w:val="1"/>
    </w:lvl>
  </w:abstractNum>
  <w:abstractNum w:abstractNumId="40">
    <w:nsid w:val="7D5E18F8"/>
    <w:multiLevelType w:val="hybridMultilevel"/>
    <w:lvl w:ilvl="0">
      <w:lvlJc w:val="left"/>
      <w:lvlText w:val="•"/>
      <w:numFmt w:val="bullet"/>
      <w:start w:val="1"/>
    </w:lvl>
  </w:abstractNum>
  <w:abstractNum w:abstractNumId="41">
    <w:nsid w:val="5F3534A4"/>
    <w:multiLevelType w:val="hybridMultilevel"/>
    <w:lvl w:ilvl="0">
      <w:lvlJc w:val="left"/>
      <w:lvlText w:val="•"/>
      <w:numFmt w:val="bullet"/>
      <w:start w:val="1"/>
    </w:lvl>
  </w:abstractNum>
  <w:abstractNum w:abstractNumId="42">
    <w:nsid w:val="73A1821B"/>
    <w:multiLevelType w:val="hybridMultilevel"/>
    <w:lvl w:ilvl="0">
      <w:lvlJc w:val="left"/>
      <w:lvlText w:val="%1."/>
      <w:numFmt w:val="decimal"/>
      <w:start w:val="1"/>
    </w:lvl>
    <w:lvl w:ilvl="1">
      <w:lvlJc w:val="left"/>
      <w:lvlText w:val="(%2)"/>
      <w:numFmt w:val="lowerLetter"/>
      <w:start w:val="1"/>
    </w:lvl>
  </w:abstractNum>
  <w:abstractNum w:abstractNumId="43">
    <w:nsid w:val="7DE67713"/>
    <w:multiLevelType w:val="hybridMultilevel"/>
    <w:lvl w:ilvl="0">
      <w:lvlJc w:val="left"/>
      <w:lvlText w:val="*"/>
      <w:numFmt w:val="bullet"/>
      <w:start w:val="1"/>
    </w:lvl>
    <w:lvl w:ilvl="1">
      <w:lvlJc w:val="left"/>
      <w:lvlText w:val="(%2)"/>
      <w:numFmt w:val="lowerLetter"/>
      <w:start w:val="4"/>
    </w:lvl>
  </w:abstractNum>
  <w:abstractNum w:abstractNumId="44">
    <w:nsid w:val="555C55B5"/>
    <w:multiLevelType w:val="hybridMultilevel"/>
    <w:lvl w:ilvl="0">
      <w:lvlJc w:val="left"/>
      <w:lvlText w:val="(%1)"/>
      <w:numFmt w:val="lowerLetter"/>
      <w:start w:val="7"/>
    </w:lvl>
  </w:abstractNum>
  <w:abstractNum w:abstractNumId="45">
    <w:nsid w:val="3FA62ACA"/>
    <w:multiLevelType w:val="hybridMultilevel"/>
    <w:lvl w:ilvl="0">
      <w:lvlJc w:val="left"/>
      <w:lvlText w:val="(%1)"/>
      <w:numFmt w:val="lowerLetter"/>
      <w:start w:val="18"/>
    </w:lvl>
  </w:abstractNum>
  <w:abstractNum w:abstractNumId="46">
    <w:nsid w:val="14FCE74E"/>
    <w:multiLevelType w:val="hybridMultilevel"/>
    <w:lvl w:ilvl="0">
      <w:lvlJc w:val="left"/>
      <w:lvlText w:val="(%1)"/>
      <w:numFmt w:val="lowerLetter"/>
      <w:start w:val="27"/>
    </w:lvl>
  </w:abstractNum>
  <w:abstractNum w:abstractNumId="47">
    <w:nsid w:val="6A3DD3E8"/>
    <w:multiLevelType w:val="hybridMultilevel"/>
    <w:lvl w:ilvl="0">
      <w:lvlJc w:val="left"/>
      <w:lvlText w:val="(%1)"/>
      <w:numFmt w:val="lowerLetter"/>
      <w:start w:val="30"/>
    </w:lvl>
  </w:abstractNum>
  <w:abstractNum w:abstractNumId="48">
    <w:nsid w:val="71C91298"/>
    <w:multiLevelType w:val="hybridMultilevel"/>
    <w:lvl w:ilvl="0">
      <w:lvlJc w:val="left"/>
      <w:lvlText w:val="(%1)"/>
      <w:numFmt w:val="lowerLetter"/>
      <w:start w:val="39"/>
    </w:lvl>
  </w:abstractNum>
  <w:abstractNum w:abstractNumId="49">
    <w:nsid w:val="9DAF632"/>
    <w:multiLevelType w:val="hybridMultilevel"/>
    <w:lvl w:ilvl="0">
      <w:lvlJc w:val="left"/>
      <w:lvlText w:val="%1."/>
      <w:numFmt w:val="decimal"/>
      <w:start w:val="2"/>
    </w:lvl>
    <w:lvl w:ilvl="1">
      <w:lvlJc w:val="left"/>
      <w:lvlText w:val="(%2)"/>
      <w:numFmt w:val="lowerLetter"/>
      <w:start w:val="1"/>
    </w:lvl>
  </w:abstractNum>
  <w:abstractNum w:abstractNumId="50">
    <w:nsid w:val="53299938"/>
    <w:multiLevelType w:val="hybridMultilevel"/>
    <w:lvl w:ilvl="0">
      <w:lvlJc w:val="left"/>
      <w:lvlText w:val="%1."/>
      <w:numFmt w:val="decimal"/>
      <w:start w:val="6"/>
    </w:lvl>
    <w:lvl w:ilvl="1">
      <w:lvlJc w:val="left"/>
      <w:lvlText w:val="(%2)"/>
      <w:numFmt w:val="lowerLetter"/>
      <w:start w:val="1"/>
    </w:lvl>
  </w:abstractNum>
  <w:abstractNum w:abstractNumId="51">
    <w:nsid w:val="1FBFE8E0"/>
    <w:multiLevelType w:val="hybridMultilevel"/>
    <w:lvl w:ilvl="0">
      <w:lvlJc w:val="left"/>
      <w:lvlText w:val="(%1)"/>
      <w:numFmt w:val="lowerLetter"/>
      <w:start w:val="2"/>
    </w:lvl>
  </w:abstractNum>
  <w:abstractNum w:abstractNumId="52">
    <w:nsid w:val="5092CA79"/>
    <w:multiLevelType w:val="hybridMultilevel"/>
    <w:lvl w:ilvl="0">
      <w:lvlJc w:val="left"/>
      <w:lvlText w:val="(%1)"/>
      <w:numFmt w:val="decimal"/>
      <w:start w:val="1"/>
    </w:lvl>
  </w:abstractNum>
  <w:abstractNum w:abstractNumId="53">
    <w:nsid w:val="1D545C4D"/>
    <w:multiLevelType w:val="hybridMultilevel"/>
    <w:lvl w:ilvl="0">
      <w:lvlJc w:val="left"/>
      <w:lvlText w:val="%1"/>
      <w:numFmt w:val="lowerLetter"/>
      <w:start w:val="1"/>
    </w:lvl>
    <w:lvl w:ilvl="1">
      <w:lvlJc w:val="left"/>
      <w:lvlText w:val="(%2)"/>
      <w:numFmt w:val="decimal"/>
      <w:start w:val="10"/>
    </w:lvl>
  </w:abstractNum>
  <w:abstractNum w:abstractNumId="54">
    <w:nsid w:val="59ADEA3D"/>
    <w:multiLevelType w:val="hybridMultilevel"/>
    <w:lvl w:ilvl="0">
      <w:lvlJc w:val="left"/>
      <w:lvlText w:val="(%1)"/>
      <w:numFmt w:val="lowerLetter"/>
      <w:start w:val="6"/>
    </w:lvl>
    <w:lvl w:ilvl="1">
      <w:lvlJc w:val="left"/>
      <w:lvlText w:val="(%2)"/>
      <w:numFmt w:val="decimal"/>
      <w:start w:val="1"/>
    </w:lvl>
  </w:abstractNum>
  <w:abstractNum w:abstractNumId="55">
    <w:nsid w:val="288F1A34"/>
    <w:multiLevelType w:val="hybridMultilevel"/>
    <w:lvl w:ilvl="0">
      <w:lvlJc w:val="left"/>
      <w:lvlText w:val="(%1)"/>
      <w:numFmt w:val="decimal"/>
      <w:start w:val="7"/>
    </w:lvl>
  </w:abstractNum>
  <w:abstractNum w:abstractNumId="56">
    <w:nsid w:val="2A155DBC"/>
    <w:multiLevelType w:val="hybridMultilevel"/>
    <w:lvl w:ilvl="0">
      <w:lvlJc w:val="left"/>
      <w:lvlText w:val="%1"/>
      <w:numFmt w:val="lowerLetter"/>
      <w:start w:val="1"/>
    </w:lvl>
    <w:lvl w:ilvl="1">
      <w:lvlJc w:val="left"/>
      <w:lvlText w:val="(%2)"/>
      <w:numFmt w:val="decimal"/>
      <w:start w:val="19"/>
    </w:lvl>
  </w:abstractNum>
  <w:abstractNum w:abstractNumId="57">
    <w:nsid w:val="1D9F6E5F"/>
    <w:multiLevelType w:val="hybridMultilevel"/>
    <w:lvl w:ilvl="0">
      <w:lvlJc w:val="left"/>
      <w:lvlText w:val="(%1)"/>
      <w:numFmt w:val="lowerLetter"/>
      <w:start w:val="7"/>
    </w:lvl>
    <w:lvl w:ilvl="1">
      <w:lvlJc w:val="left"/>
      <w:lvlText w:val="(%2)"/>
      <w:numFmt w:val="decimal"/>
      <w:start w:val="1"/>
    </w:lvl>
  </w:abstractNum>
  <w:abstractNum w:abstractNumId="58">
    <w:nsid w:val="97E1B4E"/>
    <w:multiLevelType w:val="hybridMultilevel"/>
    <w:lvl w:ilvl="0">
      <w:lvlJc w:val="left"/>
      <w:lvlText w:val="(%1)"/>
      <w:numFmt w:val="decimal"/>
      <w:start w:val="4"/>
    </w:lvl>
  </w:abstractNum>
  <w:abstractNum w:abstractNumId="59">
    <w:nsid w:val="51088277"/>
    <w:multiLevelType w:val="hybridMultilevel"/>
    <w:lvl w:ilvl="0">
      <w:lvlJc w:val="left"/>
      <w:lvlText w:val="(%1)"/>
      <w:numFmt w:val="lowerRoman"/>
      <w:start w:val="1"/>
    </w:lvl>
  </w:abstractNum>
  <w:abstractNum w:abstractNumId="60">
    <w:nsid w:val="1CA0C5FA"/>
    <w:multiLevelType w:val="hybridMultilevel"/>
    <w:lvl w:ilvl="0">
      <w:lvlJc w:val="left"/>
      <w:lvlText w:val="%1."/>
      <w:numFmt w:val="decimal"/>
      <w:start w:val="7"/>
    </w:lvl>
    <w:lvl w:ilvl="1">
      <w:lvlJc w:val="left"/>
      <w:lvlText w:val="(%2)"/>
      <w:numFmt w:val="lowerLetter"/>
      <w:start w:val="1"/>
    </w:lvl>
  </w:abstractNum>
  <w:abstractNum w:abstractNumId="61">
    <w:nsid w:val="53584BCB"/>
    <w:multiLevelType w:val="hybridMultilevel"/>
    <w:lvl w:ilvl="0">
      <w:lvlJc w:val="left"/>
      <w:lvlText w:val="(%1)"/>
      <w:numFmt w:val="decimal"/>
      <w:start w:val="1"/>
    </w:lvl>
  </w:abstractNum>
  <w:abstractNum w:abstractNumId="62">
    <w:nsid w:val="415E286C"/>
    <w:multiLevelType w:val="hybridMultilevel"/>
    <w:lvl w:ilvl="0">
      <w:lvlJc w:val="left"/>
      <w:lvlText w:val="%1"/>
      <w:numFmt w:val="lowerLetter"/>
      <w:start w:val="1"/>
    </w:lvl>
    <w:lvl w:ilvl="1">
      <w:lvlJc w:val="left"/>
      <w:lvlText w:val="(%2)"/>
      <w:numFmt w:val="decimal"/>
      <w:start w:val="7"/>
    </w:lvl>
  </w:abstractNum>
  <w:abstractNum w:abstractNumId="63">
    <w:nsid w:val="7C58FD05"/>
    <w:multiLevelType w:val="hybridMultilevel"/>
    <w:lvl w:ilvl="0">
      <w:lvlJc w:val="left"/>
      <w:lvlText w:val="(%1)"/>
      <w:numFmt w:val="lowerLetter"/>
      <w:start w:val="2"/>
    </w:lvl>
    <w:lvl w:ilvl="1">
      <w:lvlJc w:val="left"/>
      <w:lvlText w:val="%2"/>
      <w:numFmt w:val="decimal"/>
      <w:start w:val="1"/>
    </w:lvl>
  </w:abstractNum>
  <w:abstractNum w:abstractNumId="64">
    <w:nsid w:val="23D86AAC"/>
    <w:multiLevelType w:val="hybridMultilevel"/>
    <w:lvl w:ilvl="0">
      <w:lvlJc w:val="left"/>
      <w:lvlText w:val="%1."/>
      <w:numFmt w:val="decimal"/>
      <w:start w:val="10"/>
    </w:lvl>
    <w:lvl w:ilvl="1">
      <w:lvlJc w:val="left"/>
      <w:lvlText w:val="(%2)"/>
      <w:numFmt w:val="lowerLetter"/>
      <w:start w:val="1"/>
    </w:lvl>
  </w:abstractNum>
  <w:abstractNum w:abstractNumId="65">
    <w:nsid w:val="45E6D486"/>
    <w:multiLevelType w:val="hybridMultilevel"/>
    <w:lvl w:ilvl="0">
      <w:lvlJc w:val="left"/>
      <w:lvlText w:val="(%1)"/>
      <w:numFmt w:val="lowerLetter"/>
      <w:start w:val="2"/>
    </w:lvl>
    <w:lvl w:ilvl="1">
      <w:lvlJc w:val="left"/>
      <w:lvlText w:val="(%2)"/>
      <w:numFmt w:val="decimal"/>
      <w:start w:val="1"/>
    </w:lvl>
  </w:abstractNum>
  <w:abstractNum w:abstractNumId="66">
    <w:nsid w:val="5C10FE21"/>
    <w:multiLevelType w:val="hybridMultilevel"/>
    <w:lvl w:ilvl="0">
      <w:lvlJc w:val="left"/>
      <w:lvlText w:val="%1"/>
      <w:numFmt w:val="decimal"/>
      <w:start w:val="1"/>
    </w:lvl>
    <w:lvl w:ilvl="1">
      <w:lvlJc w:val="left"/>
      <w:lvlText w:val="(%2)"/>
      <w:numFmt w:val="lowerLetter"/>
      <w:start w:val="6"/>
    </w:lvl>
  </w:abstractNum>
  <w:abstractNum w:abstractNumId="67">
    <w:nsid w:val="E7FFA2B"/>
    <w:multiLevelType w:val="hybridMultilevel"/>
    <w:lvl w:ilvl="0">
      <w:lvlJc w:val="left"/>
      <w:lvlText w:val="%1."/>
      <w:numFmt w:val="decimal"/>
      <w:start w:val="12"/>
    </w:lvl>
    <w:lvl w:ilvl="1">
      <w:lvlJc w:val="left"/>
      <w:lvlText w:val="%2"/>
      <w:numFmt w:val="lowerLetter"/>
      <w:start w:val="1"/>
    </w:lvl>
  </w:abstractNum>
  <w:abstractNum w:abstractNumId="68">
    <w:nsid w:val="3C5991AA"/>
    <w:multiLevelType w:val="hybridMultilevel"/>
    <w:lvl w:ilvl="0">
      <w:lvlJc w:val="left"/>
      <w:lvlText w:val="%1."/>
      <w:numFmt w:val="decimal"/>
      <w:start w:val="15"/>
    </w:lvl>
    <w:lvl w:ilvl="1">
      <w:lvlJc w:val="left"/>
      <w:lvlText w:val="(%2)"/>
      <w:numFmt w:val="lowerLetter"/>
      <w:start w:val="1"/>
    </w:lvl>
  </w:abstractNum>
  <w:abstractNum w:abstractNumId="69">
    <w:nsid w:val="4BD8591A"/>
    <w:multiLevelType w:val="hybridMultilevel"/>
    <w:lvl w:ilvl="0">
      <w:lvlJc w:val="left"/>
      <w:lvlText w:val="%1"/>
      <w:numFmt w:val="decimal"/>
      <w:start w:val="1"/>
    </w:lvl>
    <w:lvl w:ilvl="1">
      <w:lvlJc w:val="left"/>
      <w:lvlText w:val="(%2)"/>
      <w:numFmt w:val="lowerLetter"/>
      <w:start w:val="2"/>
    </w:lvl>
  </w:abstractNum>
  <w:abstractNum w:abstractNumId="70">
    <w:nsid w:val="78DF6A55"/>
    <w:multiLevelType w:val="hybridMultilevel"/>
    <w:lvl w:ilvl="0">
      <w:lvlJc w:val="left"/>
      <w:lvlText w:val="%1."/>
      <w:numFmt w:val="decimal"/>
      <w:start w:val="16"/>
    </w:lvl>
    <w:lvl w:ilvl="1">
      <w:lvlJc w:val="left"/>
      <w:lvlText w:val="(%2)"/>
      <w:numFmt w:val="lowerLetter"/>
      <w:start w:val="1"/>
    </w:lvl>
  </w:abstractNum>
  <w:abstractNum w:abstractNumId="71">
    <w:nsid w:val="39B7AAA2"/>
    <w:multiLevelType w:val="hybridMultilevel"/>
    <w:lvl w:ilvl="0">
      <w:lvlJc w:val="left"/>
      <w:lvlText w:val="(%1)"/>
      <w:numFmt w:val="lowerLetter"/>
      <w:start w:val="2"/>
    </w:lvl>
  </w:abstractNum>
  <w:abstractNum w:abstractNumId="72">
    <w:nsid w:val="2B0D8DBE"/>
    <w:multiLevelType w:val="hybridMultilevel"/>
    <w:lvl w:ilvl="0">
      <w:lvlJc w:val="left"/>
      <w:lvlText w:val="(%1)"/>
      <w:numFmt w:val="lowerLetter"/>
      <w:start w:val="6"/>
    </w:lvl>
  </w:abstractNum>
  <w:abstractNum w:abstractNumId="73">
    <w:nsid w:val="6C80EC70"/>
    <w:multiLevelType w:val="hybridMultilevel"/>
    <w:lvl w:ilvl="0">
      <w:lvlJc w:val="left"/>
      <w:lvlText w:val="%1."/>
      <w:numFmt w:val="decimal"/>
      <w:start w:val="17"/>
    </w:lvl>
    <w:lvl w:ilvl="1">
      <w:lvlJc w:val="left"/>
      <w:lvlText w:val="(%2)"/>
      <w:numFmt w:val="lowerLetter"/>
      <w:start w:val="1"/>
    </w:lvl>
  </w:abstractNum>
  <w:abstractNum w:abstractNumId="74">
    <w:nsid w:val="379E21B5"/>
    <w:multiLevelType w:val="hybridMultilevel"/>
    <w:lvl w:ilvl="0">
      <w:lvlJc w:val="left"/>
      <w:lvlText w:val="(%1)"/>
      <w:numFmt w:val="lowerLetter"/>
      <w:start w:val="2"/>
    </w:lvl>
    <w:lvl w:ilvl="1">
      <w:lvlJc w:val="left"/>
      <w:lvlText w:val="(%2)"/>
      <w:numFmt w:val="decimal"/>
      <w:start w:val="1"/>
    </w:lvl>
  </w:abstractNum>
  <w:abstractNum w:abstractNumId="75">
    <w:nsid w:val="69E373"/>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76">
    <w:nsid w:val="2C27173B"/>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abstractNum>
  <w:abstractNum w:abstractNumId="77">
    <w:nsid w:val="4C9B0904"/>
    <w:multiLevelType w:val="hybridMultilevel"/>
    <w:lvl w:ilvl="0">
      <w:lvlJc w:val="left"/>
      <w:lvlText w:val="%1."/>
      <w:numFmt w:val="decimal"/>
      <w:start w:val="19"/>
    </w:lvl>
    <w:lvl w:ilvl="1">
      <w:lvlJc w:val="left"/>
      <w:lvlText w:val="%2"/>
      <w:numFmt w:val="lowerLetter"/>
      <w:start w:val="1"/>
    </w:lvl>
    <w:lvl w:ilvl="2">
      <w:lvlJc w:val="left"/>
      <w:lvlText w:val="%3"/>
      <w:numFmt w:val="decimal"/>
      <w:start w:val="1"/>
    </w:lvl>
  </w:abstractNum>
  <w:abstractNum w:abstractNumId="78">
    <w:nsid w:val="6AA7B75C"/>
    <w:multiLevelType w:val="hybridMultilevel"/>
    <w:lvl w:ilvl="0">
      <w:lvlJc w:val="left"/>
      <w:lvlText w:val="%1."/>
      <w:numFmt w:val="decimal"/>
      <w:start w:val="20"/>
    </w:lvl>
    <w:lvl w:ilvl="1">
      <w:lvlJc w:val="left"/>
      <w:lvlText w:val="(%2)"/>
      <w:numFmt w:val="lowerLetter"/>
      <w:start w:val="1"/>
    </w:lvl>
  </w:abstractNum>
  <w:abstractNum w:abstractNumId="79">
    <w:nsid w:val="1DF029D3"/>
    <w:multiLevelType w:val="hybridMultilevel"/>
    <w:lvl w:ilvl="0">
      <w:lvlJc w:val="left"/>
      <w:lvlText w:val="%1."/>
      <w:numFmt w:val="decimal"/>
      <w:start w:val="22"/>
    </w:lvl>
    <w:lvl w:ilvl="1">
      <w:lvlJc w:val="left"/>
      <w:lvlText w:val="(%2)"/>
      <w:numFmt w:val="lowerLetter"/>
      <w:start w:val="1"/>
    </w:lvl>
  </w:abstractNum>
  <w:abstractNum w:abstractNumId="80">
    <w:nsid w:val="5675FF36"/>
    <w:multiLevelType w:val="hybridMultilevel"/>
    <w:lvl w:ilvl="0">
      <w:lvlJc w:val="left"/>
      <w:lvlText w:val="%1."/>
      <w:numFmt w:val="decimal"/>
      <w:start w:val="23"/>
    </w:lvl>
  </w:abstractNum>
  <w:abstractNum w:abstractNumId="81">
    <w:nsid w:val="3DD15094"/>
    <w:multiLevelType w:val="hybridMultilevel"/>
    <w:lvl w:ilvl="0">
      <w:lvlJc w:val="left"/>
      <w:lvlText w:val="%1."/>
      <w:numFmt w:val="decimal"/>
      <w:start w:val="25"/>
    </w:lvl>
  </w:abstractNum>
  <w:abstractNum w:abstractNumId="82">
    <w:nsid w:val="3DB012B3"/>
    <w:multiLevelType w:val="hybridMultilevel"/>
    <w:lvl w:ilvl="0">
      <w:lvlJc w:val="left"/>
      <w:lvlText w:val="%1."/>
      <w:numFmt w:val="decimal"/>
      <w:start w:val="26"/>
    </w:lvl>
    <w:lvl w:ilvl="1">
      <w:lvlJc w:val="left"/>
      <w:lvlText w:val="(%2)"/>
      <w:numFmt w:val="lowerLetter"/>
      <w:start w:val="1"/>
    </w:lvl>
    <w:lvl w:ilvl="2">
      <w:lvlJc w:val="left"/>
      <w:lvlText w:val="(%3)"/>
      <w:numFmt w:val="decimal"/>
      <w:start w:val="1"/>
    </w:lvl>
  </w:abstractNum>
  <w:abstractNum w:abstractNumId="83">
    <w:nsid w:val="2708C9AF"/>
    <w:multiLevelType w:val="hybridMultilevel"/>
    <w:lvl w:ilvl="0">
      <w:lvlJc w:val="left"/>
      <w:lvlText w:val="%1"/>
      <w:numFmt w:val="lowerLetter"/>
      <w:start w:val="1"/>
    </w:lvl>
    <w:lvl w:ilvl="1">
      <w:lvlJc w:val="left"/>
      <w:lvlText w:val="(%2)"/>
      <w:numFmt w:val="decimal"/>
      <w:start w:val="2"/>
    </w:lvl>
  </w:abstractNum>
  <w:abstractNum w:abstractNumId="84">
    <w:nsid w:val="5B25ACE2"/>
    <w:multiLevelType w:val="hybridMultilevel"/>
    <w:lvl w:ilvl="0">
      <w:lvlJc w:val="left"/>
      <w:lvlText w:val="(%1)"/>
      <w:numFmt w:val="lowerLetter"/>
      <w:start w:val="2"/>
    </w:lvl>
    <w:lvl w:ilvl="1">
      <w:lvlJc w:val="left"/>
      <w:lvlText w:val="%2"/>
      <w:numFmt w:val="decimal"/>
      <w:start w:val="1"/>
    </w:lvl>
  </w:abstractNum>
  <w:abstractNum w:abstractNumId="85">
    <w:nsid w:val="175DFCF0"/>
    <w:multiLevelType w:val="hybridMultilevel"/>
    <w:lvl w:ilvl="0">
      <w:lvlJc w:val="left"/>
      <w:lvlText w:val="%1"/>
      <w:numFmt w:val="decimal"/>
      <w:start w:val="1"/>
    </w:lvl>
    <w:lvl w:ilvl="1">
      <w:lvlJc w:val="left"/>
      <w:lvlText w:val="(%2)"/>
      <w:numFmt w:val="lowerLetter"/>
      <w:start w:val="5"/>
    </w:lvl>
  </w:abstractNum>
  <w:abstractNum w:abstractNumId="86">
    <w:nsid w:val="4F97E3E4"/>
    <w:multiLevelType w:val="hybridMultilevel"/>
    <w:lvl w:ilvl="0">
      <w:lvlJc w:val="left"/>
      <w:lvlText w:val="%1."/>
      <w:numFmt w:val="decimal"/>
      <w:start w:val="28"/>
    </w:lvl>
    <w:lvl w:ilvl="1">
      <w:lvlJc w:val="left"/>
      <w:lvlText w:val="%2"/>
      <w:numFmt w:val="lowerLetter"/>
      <w:start w:val="1"/>
    </w:lvl>
  </w:abstractNum>
  <w:abstractNum w:abstractNumId="87">
    <w:nsid w:val="53B0A9E"/>
    <w:multiLevelType w:val="hybridMultilevel"/>
    <w:lvl w:ilvl="0">
      <w:lvlJc w:val="left"/>
      <w:lvlText w:val="%1."/>
      <w:numFmt w:val="decimal"/>
      <w:start w:val="29"/>
    </w:lvl>
    <w:lvl w:ilvl="1">
      <w:lvlJc w:val="left"/>
      <w:lvlText w:val="(%2)"/>
      <w:numFmt w:val="lowerLetter"/>
      <w:start w:val="1"/>
    </w:lvl>
  </w:abstractNum>
  <w:abstractNum w:abstractNumId="88">
    <w:nsid w:val="34FD6B4F"/>
    <w:multiLevelType w:val="hybridMultilevel"/>
    <w:lvl w:ilvl="0">
      <w:lvlJc w:val="left"/>
      <w:lvlText w:val="%1."/>
      <w:numFmt w:val="decimal"/>
      <w:start w:val="33"/>
    </w:lvl>
    <w:lvl w:ilvl="1">
      <w:lvlJc w:val="left"/>
      <w:lvlText w:val="(%2)"/>
      <w:numFmt w:val="lowerLetter"/>
      <w:start w:val="1"/>
    </w:lvl>
  </w:abstractNum>
  <w:abstractNum w:abstractNumId="89">
    <w:nsid w:val="5915FF32"/>
    <w:multiLevelType w:val="hybridMultilevel"/>
    <w:lvl w:ilvl="0">
      <w:lvlJc w:val="left"/>
      <w:lvlText w:val="%1."/>
      <w:numFmt w:val="decimal"/>
      <w:start w:val="34"/>
    </w:lvl>
  </w:abstractNum>
  <w:abstractNum w:abstractNumId="90">
    <w:nsid w:val="56438D15"/>
    <w:multiLevelType w:val="hybridMultilevel"/>
    <w:lvl w:ilvl="0">
      <w:lvlJc w:val="left"/>
      <w:lvlText w:val="%1."/>
      <w:numFmt w:val="decimal"/>
      <w:start w:val="36"/>
    </w:lvl>
  </w:abstractNum>
  <w:abstractNum w:abstractNumId="91">
    <w:nsid w:val="519E3149"/>
    <w:multiLevelType w:val="hybridMultilevel"/>
    <w:lvl w:ilvl="0">
      <w:lvlJc w:val="left"/>
      <w:lvlText w:val="%1."/>
      <w:numFmt w:val="decimal"/>
      <w:start w:val="40"/>
    </w:lvl>
  </w:abstractNum>
  <w:abstractNum w:abstractNumId="92">
    <w:nsid w:val="2C6E4AFD"/>
    <w:multiLevelType w:val="hybridMultilevel"/>
    <w:lvl w:ilvl="0">
      <w:lvlJc w:val="left"/>
      <w:lvlText w:val="%1."/>
      <w:numFmt w:val="decimal"/>
      <w:start w:val="49"/>
    </w:lvl>
  </w:abstractNum>
  <w:abstractNum w:abstractNumId="93">
    <w:nsid w:val="17A1B582"/>
    <w:multiLevelType w:val="hybridMultilevel"/>
    <w:lvl w:ilvl="0">
      <w:lvlJc w:val="left"/>
      <w:lvlText w:val="%1"/>
      <w:numFmt w:val="lowerRoman"/>
      <w:start w:val="1"/>
    </w:lvl>
    <w:lvl w:ilvl="1">
      <w:lvlJc w:val="left"/>
      <w:lvlText w:val="%2."/>
      <w:numFmt w:val="decimal"/>
      <w:start w:val="54"/>
    </w:lvl>
  </w:abstractNum>
  <w:abstractNum w:abstractNumId="94">
    <w:nsid w:val="4DF72E4E"/>
    <w:multiLevelType w:val="hybridMultilevel"/>
    <w:lvl w:ilvl="0">
      <w:lvlJc w:val="left"/>
      <w:lvlText w:val="(%1)"/>
      <w:numFmt w:val="lowerRoman"/>
      <w:start w:val="1"/>
    </w:lvl>
    <w:lvl w:ilvl="1">
      <w:lvlJc w:val="left"/>
      <w:lvlText w:val="%2"/>
      <w:numFmt w:val="decimal"/>
      <w:start w:val="1"/>
    </w:lvl>
  </w:abstractNum>
  <w:abstractNum w:abstractNumId="95">
    <w:nsid w:val="5046B5A9"/>
    <w:multiLevelType w:val="hybridMultilevel"/>
    <w:lvl w:ilvl="0">
      <w:lvlJc w:val="left"/>
      <w:lvlText w:val="%1."/>
      <w:numFmt w:val="decimal"/>
      <w:start w:val="57"/>
    </w:lvl>
  </w:abstractNum>
  <w:abstractNum w:abstractNumId="96">
    <w:nsid w:val="5D888A08"/>
    <w:multiLevelType w:val="hybridMultilevel"/>
    <w:lvl w:ilvl="0">
      <w:lvlJc w:val="left"/>
      <w:lvlText w:val="%1."/>
      <w:numFmt w:val="decimal"/>
      <w:start w:val="1"/>
    </w:lvl>
  </w:abstractNum>
  <w:abstractNum w:abstractNumId="97">
    <w:nsid w:val="2A082C70"/>
    <w:multiLevelType w:val="hybridMultilevel"/>
    <w:lvl w:ilvl="0">
      <w:lvlJc w:val="left"/>
      <w:lvlText w:val="%1."/>
      <w:numFmt w:val="decimal"/>
      <w:start w:val="8"/>
    </w:lvl>
  </w:abstractNum>
  <w:abstractNum w:abstractNumId="98">
    <w:nsid w:val="5EC6AFD4"/>
    <w:multiLevelType w:val="hybridMultilevel"/>
    <w:lvl w:ilvl="0">
      <w:lvlJc w:val="left"/>
      <w:lvlText w:val="%1."/>
      <w:numFmt w:val="decimal"/>
      <w:start w:val="19"/>
    </w:lvl>
  </w:abstractNum>
  <w:abstractNum w:abstractNumId="99">
    <w:nsid w:val="19E21BB2"/>
    <w:multiLevelType w:val="hybridMultilevel"/>
    <w:lvl w:ilvl="0">
      <w:lvlJc w:val="left"/>
      <w:lvlText w:val="%1."/>
      <w:numFmt w:val="decimal"/>
      <w:start w:val="1"/>
    </w:lvl>
  </w:abstractNum>
  <w:abstractNum w:abstractNumId="100">
    <w:nsid w:val="75E0858A"/>
    <w:multiLevelType w:val="hybridMultilevel"/>
    <w:lvl w:ilvl="0">
      <w:lvlJc w:val="left"/>
      <w:lvlText w:val="%1"/>
      <w:numFmt w:val="decimal"/>
      <w:start w:val="1"/>
    </w:lvl>
    <w:lvl w:ilvl="1">
      <w:lvlJc w:val="left"/>
      <w:lvlText w:val="%2."/>
      <w:numFmt w:val="decimal"/>
      <w:start w:val="2"/>
    </w:lvl>
  </w:abstractNum>
  <w:abstractNum w:abstractNumId="101">
    <w:nsid w:val="57A61A29"/>
    <w:multiLevelType w:val="hybridMultilevel"/>
    <w:lvl w:ilvl="0">
      <w:lvlJc w:val="left"/>
      <w:lvlText w:val="(%1)"/>
      <w:numFmt w:val="decimal"/>
      <w:start w:val="4"/>
    </w:lvl>
    <w:lvl w:ilvl="1">
      <w:lvlJc w:val="left"/>
      <w:lvlText w:val="%2"/>
      <w:numFmt w:val="decimal"/>
      <w:start w:val="1"/>
    </w:lvl>
  </w:abstractNum>
  <w:abstractNum w:abstractNumId="102">
    <w:nsid w:val="5399C654"/>
    <w:multiLevelType w:val="hybridMultilevel"/>
    <w:lvl w:ilvl="0">
      <w:lvlJc w:val="left"/>
      <w:lvlText w:val="(%1)"/>
      <w:numFmt w:val="decimal"/>
      <w:start w:val="16"/>
    </w:lvl>
    <w:lvl w:ilvl="1">
      <w:lvlJc w:val="left"/>
      <w:lvlText w:val="%2."/>
      <w:numFmt w:val="decimal"/>
      <w:start w:val="3"/>
    </w:lvl>
  </w:abstractNum>
  <w:abstractNum w:abstractNumId="103">
    <w:nsid w:val="20EE1348"/>
    <w:multiLevelType w:val="hybridMultilevel"/>
    <w:lvl w:ilvl="0">
      <w:lvlJc w:val="left"/>
      <w:lvlText w:val="%1."/>
      <w:numFmt w:val="decimal"/>
      <w:start w:val="4"/>
    </w:lvl>
  </w:abstractNum>
  <w:abstractNum w:abstractNumId="104">
    <w:nsid w:val="4427069A"/>
    <w:multiLevelType w:val="hybridMultilevel"/>
    <w:lvl w:ilvl="0">
      <w:lvlJc w:val="left"/>
      <w:lvlText w:val="%1"/>
      <w:numFmt w:val="lowerLetter"/>
      <w:start w:val="1"/>
    </w:lvl>
    <w:lvl w:ilvl="1">
      <w:lvlJc w:val="left"/>
      <w:lvlText w:val="%2."/>
      <w:numFmt w:val="decimal"/>
      <w:start w:val="6"/>
    </w:lvl>
  </w:abstractNum>
  <w:abstractNum w:abstractNumId="105">
    <w:nsid w:val="B37E80A"/>
    <w:multiLevelType w:val="hybridMultilevel"/>
    <w:lvl w:ilvl="0">
      <w:lvlJc w:val="left"/>
      <w:lvlText w:val="(%1)"/>
      <w:numFmt w:val="lowerLetter"/>
      <w:start w:val="4"/>
    </w:lvl>
    <w:lvl w:ilvl="1">
      <w:lvlJc w:val="left"/>
      <w:lvlText w:val="%2."/>
      <w:numFmt w:val="decimal"/>
      <w:start w:val="8"/>
    </w:lvl>
  </w:abstractNum>
  <w:abstractNum w:abstractNumId="106">
    <w:nsid w:val="2157F6BC"/>
    <w:multiLevelType w:val="hybridMultilevel"/>
    <w:lvl w:ilvl="0">
      <w:lvlJc w:val="left"/>
      <w:lvlText w:val="%1."/>
      <w:numFmt w:val="decimal"/>
      <w:start w:val="10"/>
    </w:lvl>
  </w:abstractNum>
  <w:abstractNum w:abstractNumId="107">
    <w:nsid w:val="704E1DD5"/>
    <w:multiLevelType w:val="hybridMultilevel"/>
    <w:lvl w:ilvl="0">
      <w:lvlJc w:val="left"/>
      <w:lvlText w:val="%1."/>
      <w:numFmt w:val="decimal"/>
      <w:start w:val="1"/>
    </w:lvl>
    <w:lvl w:ilvl="1">
      <w:lvlJc w:val="left"/>
      <w:lvlText w:val="%2."/>
      <w:numFmt w:val="lowerLetter"/>
      <w:start w:val="1"/>
    </w:lvl>
  </w:abstractNum>
  <w:abstractNum w:abstractNumId="108">
    <w:nsid w:val="57D2F10E"/>
    <w:multiLevelType w:val="hybridMultilevel"/>
    <w:lvl w:ilvl="0">
      <w:lvlJc w:val="left"/>
      <w:lvlText w:val="%1."/>
      <w:numFmt w:val="lowerLetter"/>
      <w:start w:val="2"/>
    </w:lvl>
  </w:abstractNum>
  <w:abstractNum w:abstractNumId="109">
    <w:nsid w:val="BFFAE18"/>
    <w:multiLevelType w:val="hybridMultilevel"/>
    <w:lvl w:ilvl="0">
      <w:lvlJc w:val="left"/>
      <w:lvlText w:val="%1"/>
      <w:numFmt w:val="lowerRoman"/>
      <w:start w:val="1"/>
    </w:lvl>
    <w:lvl w:ilvl="1">
      <w:lvlJc w:val="left"/>
      <w:lvlText w:val="%2."/>
      <w:numFmt w:val="decimal"/>
      <w:start w:val="1"/>
    </w:lvl>
  </w:abstractNum>
  <w:abstractNum w:abstractNumId="110">
    <w:nsid w:val="E3E47A8"/>
    <w:multiLevelType w:val="hybridMultilevel"/>
    <w:lvl w:ilvl="0">
      <w:lvlJc w:val="left"/>
      <w:lvlText w:val="(%1)"/>
      <w:numFmt w:val="lowerRoman"/>
      <w:start w:val="2"/>
    </w:lvl>
    <w:lvl w:ilvl="1">
      <w:lvlJc w:val="left"/>
      <w:lvlText w:val="%2."/>
      <w:numFmt w:val="decimal"/>
      <w:start w:val="3"/>
    </w:lvl>
  </w:abstractNum>
  <w:abstractNum w:abstractNumId="111">
    <w:nsid w:val="2E48F044"/>
    <w:multiLevelType w:val="hybridMultilevel"/>
    <w:lvl w:ilvl="0">
      <w:lvlJc w:val="left"/>
      <w:lvlText w:val="%1."/>
      <w:numFmt w:val="decimal"/>
      <w:start w:val="5"/>
    </w:lvl>
    <w:lvl w:ilvl="1">
      <w:lvlJc w:val="left"/>
      <w:lvlText w:val="(%2)"/>
      <w:numFmt w:val="lowerLetter"/>
      <w:start w:val="1"/>
    </w:lvl>
  </w:abstractNum>
  <w:abstractNum w:abstractNumId="112">
    <w:nsid w:val="49D0FEAC"/>
    <w:multiLevelType w:val="hybridMultilevel"/>
    <w:lvl w:ilvl="0">
      <w:lvlJc w:val="left"/>
      <w:lvlText w:val="%1."/>
      <w:numFmt w:val="decimal"/>
      <w:start w:val="1"/>
    </w:lvl>
  </w:abstractNum>
  <w:abstractNum w:abstractNumId="113">
    <w:nsid w:val="4BEE5A5B"/>
    <w:multiLevelType w:val="hybridMultilevel"/>
    <w:lvl w:ilvl="0">
      <w:lvlJc w:val="left"/>
      <w:lvlText w:val="%1."/>
      <w:numFmt w:val="decimal"/>
      <w:start w:val="4"/>
    </w:lvl>
  </w:abstractNum>
  <w:abstractNum w:abstractNumId="114">
    <w:nsid w:val="5551B9F3"/>
    <w:multiLevelType w:val="hybridMultilevel"/>
    <w:lvl w:ilvl="0">
      <w:lvlJc w:val="left"/>
      <w:lvlText w:val="%1."/>
      <w:numFmt w:val="upperLetter"/>
      <w:start w:val="1"/>
    </w:lvl>
  </w:abstractNum>
  <w:abstractNum w:abstractNumId="115">
    <w:nsid w:val="24F6AB8E"/>
    <w:multiLevelType w:val="hybridMultilevel"/>
    <w:lvl w:ilvl="0">
      <w:lvlJc w:val="left"/>
      <w:lvlText w:val="%1."/>
      <w:numFmt w:val="decimal"/>
      <w:start w:val="1"/>
    </w:lvl>
  </w:abstractNum>
  <w:abstractNum w:abstractNumId="116">
    <w:nsid w:val="634C574C"/>
    <w:multiLevelType w:val="hybridMultilevel"/>
    <w:lvl w:ilvl="0">
      <w:lvlJc w:val="left"/>
      <w:lvlText w:val="%1."/>
      <w:numFmt w:val="decimal"/>
      <w:start w:val="3"/>
    </w:lvl>
  </w:abstractNum>
  <w:abstractNum w:abstractNumId="117">
    <w:nsid w:val="24E99DD7"/>
    <w:multiLevelType w:val="hybridMultilevel"/>
    <w:lvl w:ilvl="0">
      <w:lvlJc w:val="left"/>
      <w:lvlText w:val="%1."/>
      <w:numFmt w:val="decimal"/>
      <w:start w:val="5"/>
    </w:lvl>
  </w:abstractNum>
  <w:abstractNum w:abstractNumId="118">
    <w:nsid w:val="2A31B62D"/>
    <w:multiLevelType w:val="hybridMultilevel"/>
    <w:lvl w:ilvl="0">
      <w:lvlJc w:val="left"/>
      <w:lvlText w:val="%1."/>
      <w:numFmt w:val="decimal"/>
      <w:start w:val="6"/>
    </w:lvl>
  </w:abstractNum>
  <w:abstractNum w:abstractNumId="119">
    <w:nsid w:val="1849C29B"/>
    <w:multiLevelType w:val="hybridMultilevel"/>
    <w:lvl w:ilvl="0">
      <w:lvlJc w:val="left"/>
      <w:lvlText w:val="%1."/>
      <w:numFmt w:val="decimal"/>
      <w:start w:val="7"/>
    </w:lvl>
  </w:abstractNum>
  <w:abstractNum w:abstractNumId="120">
    <w:nsid w:val="7DFF9D09"/>
    <w:multiLevelType w:val="hybridMultilevel"/>
    <w:lvl w:ilvl="0">
      <w:lvlJc w:val="left"/>
      <w:lvlText w:val="%1."/>
      <w:numFmt w:val="decimal"/>
      <w:start w:val="10"/>
    </w:lvl>
  </w:abstractNum>
  <w:abstractNum w:abstractNumId="121">
    <w:nsid w:val="754342"/>
    <w:multiLevelType w:val="hybridMultilevel"/>
    <w:lvl w:ilvl="0">
      <w:lvlJc w:val="left"/>
      <w:lvlText w:val="%1"/>
      <w:numFmt w:val="lowerLetter"/>
      <w:start w:val="1"/>
    </w:lvl>
    <w:lvl w:ilvl="1">
      <w:lvlJc w:val="left"/>
      <w:lvlText w:val="%2."/>
      <w:numFmt w:val="decimal"/>
      <w:start w:val="14"/>
    </w:lvl>
  </w:abstractNum>
  <w:abstractNum w:abstractNumId="122">
    <w:nsid w:val="69E7F3E5"/>
    <w:multiLevelType w:val="hybridMultilevel"/>
    <w:lvl w:ilvl="0">
      <w:lvlJc w:val="left"/>
      <w:lvlText w:val="(%1)"/>
      <w:numFmt w:val="lowerLetter"/>
      <w:start w:val="3"/>
    </w:lvl>
    <w:lvl w:ilvl="1">
      <w:lvlJc w:val="left"/>
      <w:lvlText w:val="%2."/>
      <w:numFmt w:val="decimal"/>
      <w:start w:val="15"/>
    </w:lvl>
  </w:abstractNum>
  <w:abstractNum w:abstractNumId="123">
    <w:nsid w:val="2A6DE806"/>
    <w:multiLevelType w:val="hybridMultilevel"/>
    <w:lvl w:ilvl="0">
      <w:lvlJc w:val="left"/>
      <w:lvlText w:val="%1."/>
      <w:numFmt w:val="decimal"/>
      <w:start w:val="18"/>
    </w:lvl>
  </w:abstractNum>
  <w:abstractNum w:abstractNumId="124">
    <w:nsid w:val="1816F8C4"/>
    <w:multiLevelType w:val="hybridMultilevel"/>
    <w:lvl w:ilvl="0">
      <w:lvlJc w:val="left"/>
      <w:lvlText w:val="%1"/>
      <w:numFmt w:val="decimal"/>
      <w:start w:val="1"/>
    </w:lvl>
    <w:lvl w:ilvl="1">
      <w:lvlJc w:val="left"/>
      <w:lvlText w:val="(%2)"/>
      <w:numFmt w:val="lowerLetter"/>
      <w:start w:val="1"/>
    </w:lvl>
  </w:abstractNum>
  <w:abstractNum w:abstractNumId="125">
    <w:nsid w:val="37DF2233"/>
    <w:multiLevelType w:val="hybridMultilevel"/>
    <w:lvl w:ilvl="0">
      <w:lvlJc w:val="left"/>
      <w:lvlText w:val="(%1)"/>
      <w:numFmt w:val="decimal"/>
      <w:start w:val="7"/>
    </w:lvl>
    <w:lvl w:ilvl="1">
      <w:lvlJc w:val="left"/>
      <w:lvlText w:val="(%2)"/>
      <w:numFmt w:val="lowerLetter"/>
      <w:start w:val="2"/>
    </w:lvl>
  </w:abstractNum>
  <w:abstractNum w:abstractNumId="126">
    <w:nsid w:val="7AB49DAF"/>
    <w:multiLevelType w:val="hybridMultilevel"/>
    <w:lvl w:ilvl="0">
      <w:lvlJc w:val="left"/>
      <w:lvlText w:val="(%1)"/>
      <w:numFmt w:val="lowerLetter"/>
      <w:start w:val="1"/>
    </w:lvl>
  </w:abstractNum>
  <w:abstractNum w:abstractNumId="127">
    <w:nsid w:val="759F82CD"/>
    <w:multiLevelType w:val="hybridMultilevel"/>
    <w:lvl w:ilvl="0">
      <w:lvlJc w:val="left"/>
      <w:lvlText w:val="%1."/>
      <w:numFmt w:val="upperLetter"/>
      <w:start w:val="1"/>
    </w:lvl>
  </w:abstractNum>
  <w:abstractNum w:abstractNumId="128">
    <w:nsid w:val="61E74EA3"/>
    <w:multiLevelType w:val="hybridMultilevel"/>
    <w:lvl w:ilvl="0">
      <w:lvlJc w:val="left"/>
      <w:lvlText w:val="%1."/>
      <w:numFmt w:val="decimal"/>
      <w:start w:val="1"/>
    </w:lvl>
  </w:abstractNum>
  <w:abstractNum w:abstractNumId="129">
    <w:nsid w:val="597B4D84"/>
    <w:multiLevelType w:val="hybridMultilevel"/>
    <w:lvl w:ilvl="0">
      <w:lvlJc w:val="left"/>
      <w:lvlText w:val="%1."/>
      <w:numFmt w:val="decimal"/>
      <w:start w:val="3"/>
    </w:lvl>
  </w:abstractNum>
  <w:abstractNum w:abstractNumId="130">
    <w:nsid w:val="F819E7F"/>
    <w:multiLevelType w:val="hybridMultilevel"/>
    <w:lvl w:ilvl="0">
      <w:lvlJc w:val="left"/>
      <w:lvlText w:val="%1."/>
      <w:numFmt w:val="decimal"/>
      <w:start w:val="5"/>
    </w:lvl>
  </w:abstractNum>
  <w:abstractNum w:abstractNumId="131">
    <w:nsid w:val="57C7D42D"/>
    <w:multiLevelType w:val="hybridMultilevel"/>
    <w:lvl w:ilvl="0">
      <w:lvlJc w:val="left"/>
      <w:lvlText w:val="(%1)"/>
      <w:numFmt w:val="lowerLetter"/>
      <w:start w:val="1"/>
    </w:lvl>
    <w:lvl w:ilvl="1">
      <w:lvlJc w:val="left"/>
      <w:lvlText w:val="-"/>
      <w:numFmt w:val="bullet"/>
      <w:start w:val="1"/>
    </w:lvl>
  </w:abstractNum>
  <w:abstractNum w:abstractNumId="132">
    <w:nsid w:val="312167AD"/>
    <w:multiLevelType w:val="hybridMultilevel"/>
    <w:lvl w:ilvl="0">
      <w:lvlJc w:val="left"/>
      <w:lvlText w:val="(%1)"/>
      <w:numFmt w:val="lowerLetter"/>
      <w:start w:val="2"/>
    </w:lvl>
  </w:abstractNum>
  <w:abstractNum w:abstractNumId="133">
    <w:nsid w:val="631B64D4"/>
    <w:multiLevelType w:val="hybridMultilevel"/>
    <w:lvl w:ilvl="0">
      <w:lvlJc w:val="left"/>
      <w:lvlText w:val="%1."/>
      <w:numFmt w:val="decimal"/>
      <w:start w:val="6"/>
    </w:lvl>
    <w:lvl w:ilvl="1">
      <w:lvlJc w:val="left"/>
      <w:lvlText w:val="-"/>
      <w:numFmt w:val="bullet"/>
      <w:start w:val="1"/>
    </w:lvl>
  </w:abstractNum>
  <w:abstractNum w:abstractNumId="134">
    <w:nsid w:val="78B5E776"/>
    <w:multiLevelType w:val="hybridMultilevel"/>
    <w:lvl w:ilvl="0">
      <w:lvlJc w:val="left"/>
      <w:lvlText w:val="%1."/>
      <w:numFmt w:val="decimal"/>
      <w:start w:val="9"/>
    </w:lvl>
  </w:abstractNum>
  <w:abstractNum w:abstractNumId="135">
    <w:nsid w:val="75486E47"/>
    <w:multiLevelType w:val="hybridMultilevel"/>
    <w:lvl w:ilvl="0">
      <w:lvlJc w:val="left"/>
      <w:lvlText w:val="%1."/>
      <w:numFmt w:val="decimal"/>
      <w:start w:val="1"/>
    </w:lvl>
  </w:abstractNum>
  <w:abstractNum w:abstractNumId="136">
    <w:nsid w:val="6E534CDE"/>
    <w:multiLevelType w:val="hybridMultilevel"/>
    <w:lvl w:ilvl="0">
      <w:lvlJc w:val="left"/>
      <w:lvlText w:val="%1."/>
      <w:numFmt w:val="decimal"/>
      <w:start w:val="1"/>
    </w:lvl>
  </w:abstractNum>
  <w:abstractNum w:abstractNumId="137">
    <w:nsid w:val="1A0DDE32"/>
    <w:multiLevelType w:val="hybridMultilevel"/>
    <w:lvl w:ilvl="0">
      <w:lvlJc w:val="left"/>
      <w:lvlText w:val="(%1)"/>
      <w:numFmt w:val="decimal"/>
      <w:start w:val="1"/>
    </w:lvl>
  </w:abstractNum>
  <w:abstractNum w:abstractNumId="138">
    <w:nsid w:val="65968C1C"/>
    <w:multiLevelType w:val="hybridMultilevel"/>
    <w:lvl w:ilvl="0">
      <w:lvlJc w:val="left"/>
      <w:lvlText w:val="%1."/>
      <w:numFmt w:val="decimal"/>
      <w:start w:val="1"/>
    </w:lvl>
    <w:lvl w:ilvl="1">
      <w:lvlJc w:val="left"/>
      <w:lvlText w:val="(%2)"/>
      <w:numFmt w:val="lowerLetter"/>
      <w:start w:val="1"/>
    </w:lvl>
  </w:abstractNum>
  <w:abstractNum w:abstractNumId="139">
    <w:nsid w:val="46263DEC"/>
    <w:multiLevelType w:val="hybridMultilevel"/>
    <w:lvl w:ilvl="0">
      <w:lvlJc w:val="left"/>
      <w:lvlText w:val="%1."/>
      <w:numFmt w:val="decimal"/>
      <w:start w:val="1"/>
    </w:lvl>
    <w:lvl w:ilvl="1">
      <w:lvlJc w:val="left"/>
      <w:lvlText w:val="(%2)"/>
      <w:numFmt w:val="lowerLetter"/>
      <w:start w:val="1"/>
    </w:lvl>
  </w:abstractNum>
  <w:abstractNum w:abstractNumId="140">
    <w:nsid w:val="260D8C4A"/>
    <w:multiLevelType w:val="hybridMultilevel"/>
    <w:lvl w:ilvl="0">
      <w:lvlJc w:val="left"/>
      <w:lvlText w:val="(%1)"/>
      <w:numFmt w:val="decimal"/>
      <w:start w:val="1"/>
    </w:lvl>
  </w:abstractNum>
  <w:abstractNum w:abstractNumId="141">
    <w:nsid w:val="73D4D3C4"/>
    <w:multiLevelType w:val="hybridMultilevel"/>
    <w:lvl w:ilvl="0">
      <w:lvlJc w:val="left"/>
      <w:lvlText w:val="(%1)"/>
      <w:numFmt w:val="decimal"/>
      <w:start w:val="1"/>
    </w:lvl>
  </w:abstractNum>
  <w:abstractNum w:abstractNumId="142">
    <w:nsid w:val="746F2E30"/>
    <w:multiLevelType w:val="hybridMultilevel"/>
    <w:lvl w:ilvl="0">
      <w:lvlJc w:val="left"/>
      <w:lvlText w:val="%1."/>
      <w:numFmt w:val="upperLetter"/>
      <w:start w:val="1"/>
    </w:lvl>
  </w:abstractNum>
  <w:abstractNum w:abstractNumId="143">
    <w:nsid w:val="6FDE8AF6"/>
    <w:multiLevelType w:val="hybridMultilevel"/>
    <w:lvl w:ilvl="0">
      <w:lvlJc w:val="left"/>
      <w:lvlText w:val="%1."/>
      <w:numFmt w:val="decimal"/>
      <w:start w:val="1"/>
    </w:lvl>
    <w:lvl w:ilvl="1">
      <w:lvlJc w:val="left"/>
      <w:lvlText w:val="%2."/>
      <w:numFmt w:val="lowerLetter"/>
      <w:start w:val="1"/>
    </w:lvl>
  </w:abstractNum>
  <w:abstractNum w:abstractNumId="144">
    <w:nsid w:val="3FC32E20"/>
    <w:multiLevelType w:val="hybridMultilevel"/>
    <w:lvl w:ilvl="0">
      <w:lvlJc w:val="left"/>
      <w:lvlText w:val="%1."/>
      <w:numFmt w:val="decimal"/>
      <w:start w:val="2"/>
    </w:lvl>
    <w:lvl w:ilvl="1">
      <w:lvlJc w:val="left"/>
      <w:lvlText w:val="%2."/>
      <w:numFmt w:val="lowerLetter"/>
      <w:start w:val="1"/>
    </w:lvl>
  </w:abstractNum>
  <w:abstractNum w:abstractNumId="145">
    <w:nsid w:val="49C0E823"/>
    <w:multiLevelType w:val="hybridMultilevel"/>
    <w:lvl w:ilvl="0">
      <w:lvlJc w:val="left"/>
      <w:lvlText w:val="%1"/>
      <w:numFmt w:val="decimal"/>
      <w:start w:val="1"/>
    </w:lvl>
    <w:lvl w:ilvl="1">
      <w:lvlJc w:val="left"/>
      <w:lvlText w:val="%2."/>
      <w:numFmt w:val="lowerLetter"/>
      <w:start w:val="2"/>
    </w:lvl>
  </w:abstractNum>
  <w:abstractNum w:abstractNumId="146">
    <w:nsid w:val="14D53685"/>
    <w:multiLevelType w:val="hybridMultilevel"/>
    <w:lvl w:ilvl="0">
      <w:lvlJc w:val="left"/>
      <w:lvlText w:val="%1."/>
      <w:numFmt w:val="decimal"/>
      <w:start w:val="6"/>
    </w:lvl>
    <w:lvl w:ilvl="1">
      <w:lvlJc w:val="left"/>
      <w:lvlText w:val="%2"/>
      <w:numFmt w:val="lowerLetter"/>
      <w:start w:val="1"/>
    </w:lvl>
  </w:abstractNum>
  <w:abstractNum w:abstractNumId="147">
    <w:nsid w:val="230F856C"/>
    <w:multiLevelType w:val="hybridMultilevel"/>
    <w:lvl w:ilvl="0">
      <w:lvlJc w:val="left"/>
      <w:lvlText w:val="%1."/>
      <w:numFmt w:val="upperLetter"/>
      <w:start w:val="2"/>
    </w:lvl>
  </w:abstractNum>
  <w:abstractNum w:abstractNumId="148">
    <w:nsid w:val="6EAA85FB"/>
    <w:multiLevelType w:val="hybridMultilevel"/>
    <w:lvl w:ilvl="0">
      <w:lvlJc w:val="left"/>
      <w:lvlText w:val="%1."/>
      <w:numFmt w:val="decimal"/>
      <w:start w:val="1"/>
    </w:lvl>
    <w:lvl w:ilvl="1">
      <w:lvlJc w:val="left"/>
      <w:lvlText w:val="%2."/>
      <w:numFmt w:val="lowerLetter"/>
      <w:start w:val="1"/>
    </w:lvl>
  </w:abstractNum>
  <w:abstractNum w:abstractNumId="149">
    <w:nsid w:val="3F06ECB2"/>
    <w:multiLevelType w:val="hybridMultilevel"/>
    <w:lvl w:ilvl="0">
      <w:lvlJc w:val="left"/>
      <w:lvlText w:val="%1."/>
      <w:numFmt w:val="lowerRoman"/>
      <w:start w:val="1"/>
    </w:lvl>
  </w:abstractNum>
  <w:abstractNum w:abstractNumId="150">
    <w:nsid w:val="3B594807"/>
    <w:multiLevelType w:val="hybridMultilevel"/>
    <w:lvl w:ilvl="0">
      <w:lvlJc w:val="left"/>
      <w:lvlText w:val="%1."/>
      <w:numFmt w:val="decimal"/>
      <w:start w:val="2"/>
    </w:lvl>
  </w:abstractNum>
  <w:abstractNum w:abstractNumId="151">
    <w:nsid w:val="6CAA2304"/>
    <w:multiLevelType w:val="hybridMultilevel"/>
    <w:lvl w:ilvl="0">
      <w:lvlJc w:val="left"/>
      <w:lvlText w:val="%1."/>
      <w:numFmt w:val="upperLetter"/>
      <w:start w:val="3"/>
    </w:lvl>
  </w:abstractNum>
  <w:abstractNum w:abstractNumId="152">
    <w:nsid w:val="3F7C2FF4"/>
    <w:multiLevelType w:val="hybridMultilevel"/>
    <w:lvl w:ilvl="0">
      <w:lvlJc w:val="left"/>
      <w:lvlText w:val="%1."/>
      <w:numFmt w:val="decimal"/>
      <w:start w:val="1"/>
    </w:lvl>
    <w:lvl w:ilvl="1">
      <w:lvlJc w:val="left"/>
      <w:lvlText w:val="%2."/>
      <w:numFmt w:val="lowerLetter"/>
      <w:start w:val="1"/>
    </w:lvl>
  </w:abstractNum>
  <w:abstractNum w:abstractNumId="153">
    <w:nsid w:val="25413BEC"/>
    <w:multiLevelType w:val="hybridMultilevel"/>
    <w:lvl w:ilvl="0">
      <w:lvlJc w:val="left"/>
      <w:lvlText w:val="%1."/>
      <w:numFmt w:val="decimal"/>
      <w:start w:val="2"/>
    </w:lvl>
  </w:abstractNum>
  <w:abstractNum w:abstractNumId="154">
    <w:nsid w:val="17180B0B"/>
    <w:multiLevelType w:val="hybridMultilevel"/>
    <w:lvl w:ilvl="0">
      <w:lvlJc w:val="left"/>
      <w:lvlText w:val="%1."/>
      <w:numFmt w:val="upperLetter"/>
      <w:start w:val="4"/>
    </w:lvl>
  </w:abstractNum>
  <w:abstractNum w:abstractNumId="155">
    <w:nsid w:val="579328B9"/>
    <w:multiLevelType w:val="hybridMultilevel"/>
    <w:lvl w:ilvl="0">
      <w:lvlJc w:val="left"/>
      <w:lvlText w:val="%1."/>
      <w:numFmt w:val="decimal"/>
      <w:start w:val="1"/>
    </w:lvl>
    <w:lvl w:ilvl="1">
      <w:lvlJc w:val="left"/>
      <w:lvlText w:val="%2."/>
      <w:numFmt w:val="lowerLetter"/>
      <w:start w:val="1"/>
    </w:lvl>
  </w:abstractNum>
  <w:abstractNum w:abstractNumId="156">
    <w:nsid w:val="5D205E20"/>
    <w:multiLevelType w:val="hybridMultilevel"/>
    <w:lvl w:ilvl="0">
      <w:lvlJc w:val="left"/>
      <w:lvlText w:val="%1."/>
      <w:numFmt w:val="upperLetter"/>
      <w:start w:val="5"/>
    </w:lvl>
  </w:abstractNum>
  <w:abstractNum w:abstractNumId="157">
    <w:nsid w:val="11CCA8BA"/>
    <w:multiLevelType w:val="hybridMultilevel"/>
    <w:lvl w:ilvl="0">
      <w:lvlJc w:val="left"/>
      <w:lvlText w:val="%1."/>
      <w:numFmt w:val="decimal"/>
      <w:start w:val="1"/>
    </w:lvl>
  </w:abstractNum>
  <w:abstractNum w:abstractNumId="158">
    <w:nsid w:val="4D32AB86"/>
    <w:multiLevelType w:val="hybridMultilevel"/>
    <w:lvl w:ilvl="0">
      <w:lvlJc w:val="left"/>
      <w:lvlText w:val="%1."/>
      <w:numFmt w:val="upperLetter"/>
      <w:start w:val="6"/>
    </w:lvl>
  </w:abstractNum>
  <w:abstractNum w:abstractNumId="159">
    <w:nsid w:val="3F07ACC3"/>
    <w:multiLevelType w:val="hybridMultilevel"/>
    <w:lvl w:ilvl="0">
      <w:lvlJc w:val="left"/>
      <w:lvlText w:val="%1."/>
      <w:numFmt w:val="upp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96" Type="http://schemas.openxmlformats.org/officeDocument/2006/relationships/image" Target="media/image470.png"/><Relationship Id="rId497" Type="http://schemas.openxmlformats.org/officeDocument/2006/relationships/image" Target="media/image471.png"/><Relationship Id="rId499" Type="http://schemas.openxmlformats.org/officeDocument/2006/relationships/image" Target="media/image472.png"/><Relationship Id="rId500" Type="http://schemas.openxmlformats.org/officeDocument/2006/relationships/image" Target="media/image473.png"/><Relationship Id="rId502" Type="http://schemas.openxmlformats.org/officeDocument/2006/relationships/image" Target="media/image474.png"/><Relationship Id="rId503" Type="http://schemas.openxmlformats.org/officeDocument/2006/relationships/image" Target="media/image475.png"/><Relationship Id="rId505" Type="http://schemas.openxmlformats.org/officeDocument/2006/relationships/image" Target="media/image476.png"/><Relationship Id="rId506" Type="http://schemas.openxmlformats.org/officeDocument/2006/relationships/image" Target="media/image477.png"/><Relationship Id="rId508" Type="http://schemas.openxmlformats.org/officeDocument/2006/relationships/image" Target="media/image478.png"/><Relationship Id="rId509" Type="http://schemas.openxmlformats.org/officeDocument/2006/relationships/image" Target="media/image479.png"/><Relationship Id="rId511" Type="http://schemas.openxmlformats.org/officeDocument/2006/relationships/image" Target="media/image480.png"/><Relationship Id="rId512" Type="http://schemas.openxmlformats.org/officeDocument/2006/relationships/image" Target="media/image481.png"/><Relationship Id="rId514" Type="http://schemas.openxmlformats.org/officeDocument/2006/relationships/image" Target="media/image482.png"/><Relationship Id="rId515" Type="http://schemas.openxmlformats.org/officeDocument/2006/relationships/image" Target="media/image483.png"/><Relationship Id="rId517" Type="http://schemas.openxmlformats.org/officeDocument/2006/relationships/image" Target="media/image484.png"/><Relationship Id="rId518" Type="http://schemas.openxmlformats.org/officeDocument/2006/relationships/image" Target="media/image485.png"/><Relationship Id="rId520" Type="http://schemas.openxmlformats.org/officeDocument/2006/relationships/image" Target="media/image486.png"/><Relationship Id="rId521" Type="http://schemas.openxmlformats.org/officeDocument/2006/relationships/image" Target="media/image487.png"/><Relationship Id="rId523" Type="http://schemas.openxmlformats.org/officeDocument/2006/relationships/image" Target="media/image488.png"/><Relationship Id="rId524" Type="http://schemas.openxmlformats.org/officeDocument/2006/relationships/image" Target="media/image489.png"/><Relationship Id="rId526" Type="http://schemas.openxmlformats.org/officeDocument/2006/relationships/image" Target="media/image490.png"/><Relationship Id="rId527" Type="http://schemas.openxmlformats.org/officeDocument/2006/relationships/image" Target="media/image491.png"/><Relationship Id="rId528" Type="http://schemas.openxmlformats.org/officeDocument/2006/relationships/image" Target="media/image492.png"/><Relationship Id="rId530" Type="http://schemas.openxmlformats.org/officeDocument/2006/relationships/image" Target="media/image493.png"/><Relationship Id="rId531" Type="http://schemas.openxmlformats.org/officeDocument/2006/relationships/image" Target="media/image494.png"/><Relationship Id="rId533" Type="http://schemas.openxmlformats.org/officeDocument/2006/relationships/image" Target="media/image495.png"/><Relationship Id="rId534" Type="http://schemas.openxmlformats.org/officeDocument/2006/relationships/image" Target="media/image496.png"/><Relationship Id="rId536" Type="http://schemas.openxmlformats.org/officeDocument/2006/relationships/image" Target="media/image497.png"/><Relationship Id="rId537" Type="http://schemas.openxmlformats.org/officeDocument/2006/relationships/image" Target="media/image498.png"/><Relationship Id="rId539" Type="http://schemas.openxmlformats.org/officeDocument/2006/relationships/image" Target="media/image499.png"/><Relationship Id="rId540" Type="http://schemas.openxmlformats.org/officeDocument/2006/relationships/image" Target="media/image500.png"/><Relationship Id="rId542" Type="http://schemas.openxmlformats.org/officeDocument/2006/relationships/image" Target="media/image501.png"/><Relationship Id="rId543" Type="http://schemas.openxmlformats.org/officeDocument/2006/relationships/image" Target="media/image502.png"/><Relationship Id="rId545" Type="http://schemas.openxmlformats.org/officeDocument/2006/relationships/image" Target="media/image503.png"/><Relationship Id="rId546" Type="http://schemas.openxmlformats.org/officeDocument/2006/relationships/image" Target="media/image504.png"/><Relationship Id="rId548" Type="http://schemas.openxmlformats.org/officeDocument/2006/relationships/image" Target="media/image505.png"/><Relationship Id="rId549" Type="http://schemas.openxmlformats.org/officeDocument/2006/relationships/image" Target="media/image506.png"/><Relationship Id="rId551" Type="http://schemas.openxmlformats.org/officeDocument/2006/relationships/image" Target="media/image507.png"/><Relationship Id="rId552" Type="http://schemas.openxmlformats.org/officeDocument/2006/relationships/image" Target="media/image508.png"/><Relationship Id="rId554" Type="http://schemas.openxmlformats.org/officeDocument/2006/relationships/image" Target="media/image509.png"/><Relationship Id="rId555" Type="http://schemas.openxmlformats.org/officeDocument/2006/relationships/image" Target="media/image510.png"/><Relationship Id="rId557" Type="http://schemas.openxmlformats.org/officeDocument/2006/relationships/image" Target="media/image511.png"/><Relationship Id="rId558" Type="http://schemas.openxmlformats.org/officeDocument/2006/relationships/image" Target="media/image512.png"/><Relationship Id="rId559" Type="http://schemas.openxmlformats.org/officeDocument/2006/relationships/image" Target="media/image513.png"/><Relationship Id="rId564" Type="http://schemas.openxmlformats.org/officeDocument/2006/relationships/image" Target="media/image514.png"/><Relationship Id="rId565" Type="http://schemas.openxmlformats.org/officeDocument/2006/relationships/image" Target="media/image515.png"/><Relationship Id="rId566" Type="http://schemas.openxmlformats.org/officeDocument/2006/relationships/image" Target="media/image516.png"/><Relationship Id="rId567" Type="http://schemas.openxmlformats.org/officeDocument/2006/relationships/image" Target="media/image517.png"/><Relationship Id="rId568" Type="http://schemas.openxmlformats.org/officeDocument/2006/relationships/image" Target="media/image518.png"/><Relationship Id="rId569" Type="http://schemas.openxmlformats.org/officeDocument/2006/relationships/image" Target="media/image519.png"/><Relationship Id="rId570" Type="http://schemas.openxmlformats.org/officeDocument/2006/relationships/image" Target="media/image520.png"/><Relationship Id="rId571" Type="http://schemas.openxmlformats.org/officeDocument/2006/relationships/image" Target="media/image521.png"/><Relationship Id="rId572" Type="http://schemas.openxmlformats.org/officeDocument/2006/relationships/image" Target="media/image522.png"/><Relationship Id="rId573" Type="http://schemas.openxmlformats.org/officeDocument/2006/relationships/image" Target="media/image523.png"/><Relationship Id="rId574" Type="http://schemas.openxmlformats.org/officeDocument/2006/relationships/image" Target="media/image524.png"/><Relationship Id="rId575" Type="http://schemas.openxmlformats.org/officeDocument/2006/relationships/image" Target="media/image525.png"/><Relationship Id="rId576" Type="http://schemas.openxmlformats.org/officeDocument/2006/relationships/image" Target="media/image526.png"/><Relationship Id="rId577" Type="http://schemas.openxmlformats.org/officeDocument/2006/relationships/image" Target="media/image527.png"/><Relationship Id="rId578" Type="http://schemas.openxmlformats.org/officeDocument/2006/relationships/image" Target="media/image528.png"/><Relationship Id="rId579" Type="http://schemas.openxmlformats.org/officeDocument/2006/relationships/image" Target="media/image529.png"/><Relationship Id="rId580" Type="http://schemas.openxmlformats.org/officeDocument/2006/relationships/image" Target="media/image530.png"/><Relationship Id="rId581" Type="http://schemas.openxmlformats.org/officeDocument/2006/relationships/image" Target="media/image531.png"/><Relationship Id="rId582" Type="http://schemas.openxmlformats.org/officeDocument/2006/relationships/image" Target="media/image532.png"/><Relationship Id="rId583" Type="http://schemas.openxmlformats.org/officeDocument/2006/relationships/image" Target="media/image533.png"/><Relationship Id="rId584" Type="http://schemas.openxmlformats.org/officeDocument/2006/relationships/image" Target="media/image534.png"/><Relationship Id="rId585" Type="http://schemas.openxmlformats.org/officeDocument/2006/relationships/image" Target="media/image535.png"/><Relationship Id="rId586" Type="http://schemas.openxmlformats.org/officeDocument/2006/relationships/image" Target="media/image536.png"/><Relationship Id="rId587" Type="http://schemas.openxmlformats.org/officeDocument/2006/relationships/image" Target="media/image537.png"/><Relationship Id="rId588" Type="http://schemas.openxmlformats.org/officeDocument/2006/relationships/image" Target="media/image538.png"/><Relationship Id="rId589" Type="http://schemas.openxmlformats.org/officeDocument/2006/relationships/image" Target="media/image539.png"/><Relationship Id="rId590" Type="http://schemas.openxmlformats.org/officeDocument/2006/relationships/image" Target="media/image540.png"/><Relationship Id="rId591" Type="http://schemas.openxmlformats.org/officeDocument/2006/relationships/image" Target="media/image541.png"/><Relationship Id="rId592" Type="http://schemas.openxmlformats.org/officeDocument/2006/relationships/image" Target="media/image542.png"/><Relationship Id="rId593" Type="http://schemas.openxmlformats.org/officeDocument/2006/relationships/image" Target="media/image543.png"/><Relationship Id="rId594" Type="http://schemas.openxmlformats.org/officeDocument/2006/relationships/image" Target="media/image544.png"/><Relationship Id="rId595" Type="http://schemas.openxmlformats.org/officeDocument/2006/relationships/image" Target="media/image545.png"/><Relationship Id="rId596" Type="http://schemas.openxmlformats.org/officeDocument/2006/relationships/image" Target="media/image546.png"/><Relationship Id="rId597" Type="http://schemas.openxmlformats.org/officeDocument/2006/relationships/image" Target="media/image547.png"/><Relationship Id="rId598" Type="http://schemas.openxmlformats.org/officeDocument/2006/relationships/image" Target="media/image548.png"/><Relationship Id="rId599" Type="http://schemas.openxmlformats.org/officeDocument/2006/relationships/image" Target="media/image549.png"/><Relationship Id="rId600" Type="http://schemas.openxmlformats.org/officeDocument/2006/relationships/image" Target="media/image550.png"/><Relationship Id="rId601" Type="http://schemas.openxmlformats.org/officeDocument/2006/relationships/image" Target="media/image551.png"/><Relationship Id="rId602" Type="http://schemas.openxmlformats.org/officeDocument/2006/relationships/image" Target="media/image552.png"/><Relationship Id="rId603" Type="http://schemas.openxmlformats.org/officeDocument/2006/relationships/image" Target="media/image553.png"/><Relationship Id="rId604" Type="http://schemas.openxmlformats.org/officeDocument/2006/relationships/image" Target="media/image554.png"/><Relationship Id="rId605" Type="http://schemas.openxmlformats.org/officeDocument/2006/relationships/image" Target="media/image555.png"/><Relationship Id="rId606" Type="http://schemas.openxmlformats.org/officeDocument/2006/relationships/image" Target="media/image556.png"/><Relationship Id="rId607" Type="http://schemas.openxmlformats.org/officeDocument/2006/relationships/image" Target="media/image557.png"/><Relationship Id="rId608" Type="http://schemas.openxmlformats.org/officeDocument/2006/relationships/image" Target="media/image558.png"/><Relationship Id="rId609" Type="http://schemas.openxmlformats.org/officeDocument/2006/relationships/image" Target="media/image559.png"/><Relationship Id="rId610" Type="http://schemas.openxmlformats.org/officeDocument/2006/relationships/image" Target="media/image560.png"/><Relationship Id="rId611" Type="http://schemas.openxmlformats.org/officeDocument/2006/relationships/image" Target="media/image561.png"/><Relationship Id="rId612" Type="http://schemas.openxmlformats.org/officeDocument/2006/relationships/image" Target="media/image562.png"/><Relationship Id="rId613" Type="http://schemas.openxmlformats.org/officeDocument/2006/relationships/image" Target="media/image563.png"/><Relationship Id="rId614" Type="http://schemas.openxmlformats.org/officeDocument/2006/relationships/image" Target="media/image564.png"/><Relationship Id="rId615" Type="http://schemas.openxmlformats.org/officeDocument/2006/relationships/image" Target="media/image565.png"/><Relationship Id="rId616" Type="http://schemas.openxmlformats.org/officeDocument/2006/relationships/image" Target="media/image566.png"/><Relationship Id="rId617" Type="http://schemas.openxmlformats.org/officeDocument/2006/relationships/image" Target="media/image567.png"/><Relationship Id="rId618" Type="http://schemas.openxmlformats.org/officeDocument/2006/relationships/image" Target="media/image568.png"/><Relationship Id="rId619" Type="http://schemas.openxmlformats.org/officeDocument/2006/relationships/image" Target="media/image569.png"/><Relationship Id="rId620" Type="http://schemas.openxmlformats.org/officeDocument/2006/relationships/image" Target="media/image570.png"/><Relationship Id="rId621" Type="http://schemas.openxmlformats.org/officeDocument/2006/relationships/image" Target="media/image571.png"/><Relationship Id="rId622" Type="http://schemas.openxmlformats.org/officeDocument/2006/relationships/image" Target="media/image572.png"/><Relationship Id="rId623" Type="http://schemas.openxmlformats.org/officeDocument/2006/relationships/image" Target="media/image573.png"/><Relationship Id="rId624" Type="http://schemas.openxmlformats.org/officeDocument/2006/relationships/image" Target="media/image574.png"/><Relationship Id="rId625" Type="http://schemas.openxmlformats.org/officeDocument/2006/relationships/image" Target="media/image575.png"/><Relationship Id="rId626" Type="http://schemas.openxmlformats.org/officeDocument/2006/relationships/image" Target="media/image576.jpeg"/><Relationship Id="rId627" Type="http://schemas.openxmlformats.org/officeDocument/2006/relationships/image" Target="media/image577.png"/><Relationship Id="rId628" Type="http://schemas.openxmlformats.org/officeDocument/2006/relationships/image" Target="media/image578.png"/><Relationship Id="rId629" Type="http://schemas.openxmlformats.org/officeDocument/2006/relationships/image" Target="media/image579.png"/><Relationship Id="rId630" Type="http://schemas.openxmlformats.org/officeDocument/2006/relationships/image" Target="media/image580.png"/><Relationship Id="rId631" Type="http://schemas.openxmlformats.org/officeDocument/2006/relationships/image" Target="media/image581.png"/><Relationship Id="rId632" Type="http://schemas.openxmlformats.org/officeDocument/2006/relationships/image" Target="media/image582.png"/><Relationship Id="rId633" Type="http://schemas.openxmlformats.org/officeDocument/2006/relationships/image" Target="media/image583.png"/><Relationship Id="rId634" Type="http://schemas.openxmlformats.org/officeDocument/2006/relationships/image" Target="media/image584.png"/><Relationship Id="rId635" Type="http://schemas.openxmlformats.org/officeDocument/2006/relationships/image" Target="media/image585.png"/><Relationship Id="rId636" Type="http://schemas.openxmlformats.org/officeDocument/2006/relationships/image" Target="media/image586.png"/><Relationship Id="rId637" Type="http://schemas.openxmlformats.org/officeDocument/2006/relationships/image" Target="media/image587.png"/><Relationship Id="rId638" Type="http://schemas.openxmlformats.org/officeDocument/2006/relationships/image" Target="media/image588.png"/><Relationship Id="rId639" Type="http://schemas.openxmlformats.org/officeDocument/2006/relationships/image" Target="media/image589.png"/><Relationship Id="rId640" Type="http://schemas.openxmlformats.org/officeDocument/2006/relationships/image" Target="media/image590.png"/><Relationship Id="rId641" Type="http://schemas.openxmlformats.org/officeDocument/2006/relationships/image" Target="media/image591.png"/><Relationship Id="rId642" Type="http://schemas.openxmlformats.org/officeDocument/2006/relationships/image" Target="media/image592.png"/><Relationship Id="rId643" Type="http://schemas.openxmlformats.org/officeDocument/2006/relationships/image" Target="media/image593.png"/><Relationship Id="rId644" Type="http://schemas.openxmlformats.org/officeDocument/2006/relationships/image" Target="media/image594.png"/><Relationship Id="rId645" Type="http://schemas.openxmlformats.org/officeDocument/2006/relationships/image" Target="media/image595.png"/><Relationship Id="rId646" Type="http://schemas.openxmlformats.org/officeDocument/2006/relationships/image" Target="media/image596.png"/><Relationship Id="rId647" Type="http://schemas.openxmlformats.org/officeDocument/2006/relationships/image" Target="media/image597.png"/><Relationship Id="rId648" Type="http://schemas.openxmlformats.org/officeDocument/2006/relationships/image" Target="media/image598.png"/><Relationship Id="rId649" Type="http://schemas.openxmlformats.org/officeDocument/2006/relationships/image" Target="media/image599.png"/><Relationship Id="rId650" Type="http://schemas.openxmlformats.org/officeDocument/2006/relationships/image" Target="media/image600.png"/><Relationship Id="rId651" Type="http://schemas.openxmlformats.org/officeDocument/2006/relationships/image" Target="media/image601.png"/><Relationship Id="rId652" Type="http://schemas.openxmlformats.org/officeDocument/2006/relationships/image" Target="media/image602.png"/><Relationship Id="rId653" Type="http://schemas.openxmlformats.org/officeDocument/2006/relationships/image" Target="media/image603.png"/><Relationship Id="rId654" Type="http://schemas.openxmlformats.org/officeDocument/2006/relationships/image" Target="media/image604.png"/><Relationship Id="rId655" Type="http://schemas.openxmlformats.org/officeDocument/2006/relationships/image" Target="media/image605.png"/><Relationship Id="rId656" Type="http://schemas.openxmlformats.org/officeDocument/2006/relationships/image" Target="media/image606.png"/><Relationship Id="rId657" Type="http://schemas.openxmlformats.org/officeDocument/2006/relationships/image" Target="media/image607.png"/><Relationship Id="rId658" Type="http://schemas.openxmlformats.org/officeDocument/2006/relationships/image" Target="media/image608.png"/><Relationship Id="rId659" Type="http://schemas.openxmlformats.org/officeDocument/2006/relationships/image" Target="media/image609.png"/><Relationship Id="rId660" Type="http://schemas.openxmlformats.org/officeDocument/2006/relationships/image" Target="media/image610.png"/><Relationship Id="rId661" Type="http://schemas.openxmlformats.org/officeDocument/2006/relationships/image" Target="media/image611.png"/><Relationship Id="rId662" Type="http://schemas.openxmlformats.org/officeDocument/2006/relationships/image" Target="media/image612.png"/><Relationship Id="rId663" Type="http://schemas.openxmlformats.org/officeDocument/2006/relationships/image" Target="media/image613.png"/><Relationship Id="rId664" Type="http://schemas.openxmlformats.org/officeDocument/2006/relationships/image" Target="media/image614.png"/><Relationship Id="rId665" Type="http://schemas.openxmlformats.org/officeDocument/2006/relationships/image" Target="media/image615.png"/><Relationship Id="rId666" Type="http://schemas.openxmlformats.org/officeDocument/2006/relationships/image" Target="media/image616.png"/><Relationship Id="rId667" Type="http://schemas.openxmlformats.org/officeDocument/2006/relationships/image" Target="media/image617.png"/><Relationship Id="rId668" Type="http://schemas.openxmlformats.org/officeDocument/2006/relationships/image" Target="media/image618.png"/><Relationship Id="rId669" Type="http://schemas.openxmlformats.org/officeDocument/2006/relationships/image" Target="media/image619.png"/><Relationship Id="rId670" Type="http://schemas.openxmlformats.org/officeDocument/2006/relationships/image" Target="media/image620.png"/><Relationship Id="rId671" Type="http://schemas.openxmlformats.org/officeDocument/2006/relationships/image" Target="media/image621.png"/><Relationship Id="rId672" Type="http://schemas.openxmlformats.org/officeDocument/2006/relationships/image" Target="media/image622.png"/><Relationship Id="rId673" Type="http://schemas.openxmlformats.org/officeDocument/2006/relationships/image" Target="media/image623.png"/><Relationship Id="rId674" Type="http://schemas.openxmlformats.org/officeDocument/2006/relationships/image" Target="media/image624.png"/><Relationship Id="rId675" Type="http://schemas.openxmlformats.org/officeDocument/2006/relationships/image" Target="media/image625.png"/><Relationship Id="rId676" Type="http://schemas.openxmlformats.org/officeDocument/2006/relationships/image" Target="media/image626.png"/><Relationship Id="rId677" Type="http://schemas.openxmlformats.org/officeDocument/2006/relationships/image" Target="media/image627.png"/><Relationship Id="rId678" Type="http://schemas.openxmlformats.org/officeDocument/2006/relationships/image" Target="media/image628.png"/><Relationship Id="rId679" Type="http://schemas.openxmlformats.org/officeDocument/2006/relationships/image" Target="media/image629.png"/><Relationship Id="rId680" Type="http://schemas.openxmlformats.org/officeDocument/2006/relationships/image" Target="media/image630.png"/><Relationship Id="rId681" Type="http://schemas.openxmlformats.org/officeDocument/2006/relationships/image" Target="media/image631.png"/><Relationship Id="rId682" Type="http://schemas.openxmlformats.org/officeDocument/2006/relationships/image" Target="media/image632.png"/><Relationship Id="rId683" Type="http://schemas.openxmlformats.org/officeDocument/2006/relationships/image" Target="media/image633.png"/><Relationship Id="rId684" Type="http://schemas.openxmlformats.org/officeDocument/2006/relationships/image" Target="media/image634.png"/><Relationship Id="rId685" Type="http://schemas.openxmlformats.org/officeDocument/2006/relationships/image" Target="media/image635.png"/><Relationship Id="rId686" Type="http://schemas.openxmlformats.org/officeDocument/2006/relationships/image" Target="media/image636.png"/><Relationship Id="rId687" Type="http://schemas.openxmlformats.org/officeDocument/2006/relationships/image" Target="media/image637.png"/><Relationship Id="rId688" Type="http://schemas.openxmlformats.org/officeDocument/2006/relationships/image" Target="media/image638.png"/><Relationship Id="rId689" Type="http://schemas.openxmlformats.org/officeDocument/2006/relationships/image" Target="media/image639.png"/><Relationship Id="rId690" Type="http://schemas.openxmlformats.org/officeDocument/2006/relationships/image" Target="media/image640.png"/><Relationship Id="rId691" Type="http://schemas.openxmlformats.org/officeDocument/2006/relationships/image" Target="media/image641.png"/><Relationship Id="rId692" Type="http://schemas.openxmlformats.org/officeDocument/2006/relationships/image" Target="media/image642.png"/><Relationship Id="rId693" Type="http://schemas.openxmlformats.org/officeDocument/2006/relationships/image" Target="media/image643.png"/><Relationship Id="rId694" Type="http://schemas.openxmlformats.org/officeDocument/2006/relationships/image" Target="media/image644.png"/><Relationship Id="rId695" Type="http://schemas.openxmlformats.org/officeDocument/2006/relationships/image" Target="media/image645.png"/><Relationship Id="rId696" Type="http://schemas.openxmlformats.org/officeDocument/2006/relationships/image" Target="media/image646.png"/><Relationship Id="rId697" Type="http://schemas.openxmlformats.org/officeDocument/2006/relationships/image" Target="media/image647.png"/><Relationship Id="rId698" Type="http://schemas.openxmlformats.org/officeDocument/2006/relationships/image" Target="media/image648.png"/><Relationship Id="rId699" Type="http://schemas.openxmlformats.org/officeDocument/2006/relationships/image" Target="media/image649.png"/><Relationship Id="rId700" Type="http://schemas.openxmlformats.org/officeDocument/2006/relationships/image" Target="media/image650.png"/><Relationship Id="rId701" Type="http://schemas.openxmlformats.org/officeDocument/2006/relationships/image" Target="media/image651.png"/><Relationship Id="rId702" Type="http://schemas.openxmlformats.org/officeDocument/2006/relationships/image" Target="media/image652.png"/><Relationship Id="rId703" Type="http://schemas.openxmlformats.org/officeDocument/2006/relationships/image" Target="media/image653.png"/><Relationship Id="rId704" Type="http://schemas.openxmlformats.org/officeDocument/2006/relationships/image" Target="media/image654.png"/><Relationship Id="rId705" Type="http://schemas.openxmlformats.org/officeDocument/2006/relationships/image" Target="media/image655.jpeg"/><Relationship Id="rId706" Type="http://schemas.openxmlformats.org/officeDocument/2006/relationships/image" Target="media/image656.png"/><Relationship Id="rId707" Type="http://schemas.openxmlformats.org/officeDocument/2006/relationships/image" Target="media/image657.png"/><Relationship Id="rId708" Type="http://schemas.openxmlformats.org/officeDocument/2006/relationships/image" Target="media/image658.png"/><Relationship Id="rId709" Type="http://schemas.openxmlformats.org/officeDocument/2006/relationships/image" Target="media/image659.png"/><Relationship Id="rId710" Type="http://schemas.openxmlformats.org/officeDocument/2006/relationships/image" Target="media/image660.jpeg"/><Relationship Id="rId711" Type="http://schemas.openxmlformats.org/officeDocument/2006/relationships/image" Target="media/image661.png"/><Relationship Id="rId712" Type="http://schemas.openxmlformats.org/officeDocument/2006/relationships/image" Target="media/image662.png"/><Relationship Id="rId713" Type="http://schemas.openxmlformats.org/officeDocument/2006/relationships/image" Target="media/image663.png"/><Relationship Id="rId714" Type="http://schemas.openxmlformats.org/officeDocument/2006/relationships/image" Target="media/image664.png"/><Relationship Id="rId715" Type="http://schemas.openxmlformats.org/officeDocument/2006/relationships/image" Target="media/image665.png"/><Relationship Id="rId716" Type="http://schemas.openxmlformats.org/officeDocument/2006/relationships/image" Target="media/image666.png"/><Relationship Id="rId717" Type="http://schemas.openxmlformats.org/officeDocument/2006/relationships/image" Target="media/image667.png"/><Relationship Id="rId718" Type="http://schemas.openxmlformats.org/officeDocument/2006/relationships/image" Target="media/image668.png"/><Relationship Id="rId719" Type="http://schemas.openxmlformats.org/officeDocument/2006/relationships/image" Target="media/image669.png"/><Relationship Id="rId720" Type="http://schemas.openxmlformats.org/officeDocument/2006/relationships/image" Target="media/image670.png"/><Relationship Id="rId721" Type="http://schemas.openxmlformats.org/officeDocument/2006/relationships/image" Target="media/image671.png"/><Relationship Id="rId722" Type="http://schemas.openxmlformats.org/officeDocument/2006/relationships/image" Target="media/image672.png"/><Relationship Id="rId723" Type="http://schemas.openxmlformats.org/officeDocument/2006/relationships/image" Target="media/image673.png"/><Relationship Id="rId724" Type="http://schemas.openxmlformats.org/officeDocument/2006/relationships/image" Target="media/image674.jpeg"/><Relationship Id="rId725" Type="http://schemas.openxmlformats.org/officeDocument/2006/relationships/image" Target="media/image675.png"/><Relationship Id="rId726" Type="http://schemas.openxmlformats.org/officeDocument/2006/relationships/image" Target="media/image676.jpeg"/><Relationship Id="rId727" Type="http://schemas.openxmlformats.org/officeDocument/2006/relationships/image" Target="media/image677.png"/><Relationship Id="rId728" Type="http://schemas.openxmlformats.org/officeDocument/2006/relationships/image" Target="media/image678.jpeg"/><Relationship Id="rId729" Type="http://schemas.openxmlformats.org/officeDocument/2006/relationships/image" Target="media/image679.png"/><Relationship Id="rId730" Type="http://schemas.openxmlformats.org/officeDocument/2006/relationships/image" Target="media/image680.png"/><Relationship Id="rId731" Type="http://schemas.openxmlformats.org/officeDocument/2006/relationships/image" Target="media/image681.png"/><Relationship Id="rId732" Type="http://schemas.openxmlformats.org/officeDocument/2006/relationships/image" Target="media/image682.png"/><Relationship Id="rId733" Type="http://schemas.openxmlformats.org/officeDocument/2006/relationships/image" Target="media/image683.png"/><Relationship Id="rId734" Type="http://schemas.openxmlformats.org/officeDocument/2006/relationships/image" Target="media/image684.png"/><Relationship Id="rId735" Type="http://schemas.openxmlformats.org/officeDocument/2006/relationships/image" Target="media/image685.png"/><Relationship Id="rId736" Type="http://schemas.openxmlformats.org/officeDocument/2006/relationships/image" Target="media/image686.png"/><Relationship Id="rId737" Type="http://schemas.openxmlformats.org/officeDocument/2006/relationships/image" Target="media/image687.png"/><Relationship Id="rId738" Type="http://schemas.openxmlformats.org/officeDocument/2006/relationships/image" Target="media/image688.png"/><Relationship Id="rId739" Type="http://schemas.openxmlformats.org/officeDocument/2006/relationships/image" Target="media/image689.png"/><Relationship Id="rId740" Type="http://schemas.openxmlformats.org/officeDocument/2006/relationships/image" Target="media/image690.png"/><Relationship Id="rId741" Type="http://schemas.openxmlformats.org/officeDocument/2006/relationships/image" Target="media/image691.png"/><Relationship Id="rId742" Type="http://schemas.openxmlformats.org/officeDocument/2006/relationships/image" Target="media/image692.png"/><Relationship Id="rId743" Type="http://schemas.openxmlformats.org/officeDocument/2006/relationships/image" Target="media/image693.png"/><Relationship Id="rId744" Type="http://schemas.openxmlformats.org/officeDocument/2006/relationships/image" Target="media/image694.png"/><Relationship Id="rId745" Type="http://schemas.openxmlformats.org/officeDocument/2006/relationships/image" Target="media/image695.png"/><Relationship Id="rId746" Type="http://schemas.openxmlformats.org/officeDocument/2006/relationships/image" Target="media/image696.png"/><Relationship Id="rId477" Type="http://schemas.openxmlformats.org/officeDocument/2006/relationships/hyperlink" Target="https://www.sec.gov/Archives/edgar/data/1494259/000156459021005612/carg-ex21_246.htm" TargetMode="External"/><Relationship Id="rId478" Type="http://schemas.openxmlformats.org/officeDocument/2006/relationships/hyperlink" Target="https://www.sec.gov/Archives/edgar/data/1494259/000095017023060228/carg-ex2_1.htm" TargetMode="External"/><Relationship Id="rId479" Type="http://schemas.openxmlformats.org/officeDocument/2006/relationships/hyperlink" Target="https://www.sec.gov/Archives/edgar/data/1494259/000110465917062378/a17-24010_1ex3d1.htm" TargetMode="External"/><Relationship Id="rId480" Type="http://schemas.openxmlformats.org/officeDocument/2006/relationships/hyperlink" Target="https://www.sec.gov/Archives/edgar/data/1494259/000119312523203851/d554650dex31.htm" TargetMode="External"/><Relationship Id="rId481" Type="http://schemas.openxmlformats.org/officeDocument/2006/relationships/hyperlink" Target="https://www.sec.gov/Archives/edgar/data/1494259/000104746917006138/a2233329zex-4_1.htm" TargetMode="External"/><Relationship Id="rId482" Type="http://schemas.openxmlformats.org/officeDocument/2006/relationships/hyperlink" Target="https://www.sec.gov/Archives/edgar/data/1494259/000104746917005904/a2233230zex-10_1.htm" TargetMode="External"/><Relationship Id="rId483" Type="http://schemas.openxmlformats.org/officeDocument/2006/relationships/hyperlink" Target="https://www.sec.gov/Archives/edgar/data/1494259/000104746917005904/a2233230zex-10_2.htm" TargetMode="External"/><Relationship Id="rId484" Type="http://schemas.openxmlformats.org/officeDocument/2006/relationships/hyperlink" Target="https://www.sec.gov/Archives/edgar/data/1494259/000104746917006138/a2233329zex-10_3.htm" TargetMode="External"/><Relationship Id="rId485" Type="http://schemas.openxmlformats.org/officeDocument/2006/relationships/hyperlink" Target="https://www.sec.gov/Archives/edgar/data/1494259/000156459021005612/carg-ex104_400.htm" TargetMode="External"/><Relationship Id="rId486" Type="http://schemas.openxmlformats.org/officeDocument/2006/relationships/hyperlink" Target="https://www.sec.gov/Archives/edgar/data/1494259/000156459021005612/carg-ex1041_401.htm" TargetMode="External"/><Relationship Id="rId487" Type="http://schemas.openxmlformats.org/officeDocument/2006/relationships/hyperlink" Target="https://www.sec.gov/Archives/edgar/data/1494259/000156459018010708/carg-ex103_187.htm" TargetMode="External"/><Relationship Id="rId488" Type="http://schemas.openxmlformats.org/officeDocument/2006/relationships/hyperlink" Target="https://www.sec.gov/Archives/edgar/data/1494259/000156459021005612/carg-ex1043_1104.htm" TargetMode="External"/><Relationship Id="rId489" Type="http://schemas.openxmlformats.org/officeDocument/2006/relationships/hyperlink" Target="https://www.sec.gov/Archives/edgar/data/1494259/000095017022002023/carg-ex10_31.htm" TargetMode="External"/><Relationship Id="rId490" Type="http://schemas.openxmlformats.org/officeDocument/2006/relationships/hyperlink" Target="https://www.sec.gov/Archives/edgar/data/1494259/000119312518096041/d557263dex101.htm" TargetMode="External"/><Relationship Id="rId491" Type="http://schemas.openxmlformats.org/officeDocument/2006/relationships/hyperlink" Target="https://www.sec.gov/Archives/edgar/data/1494259/000119312518110054/d556560dex101.htm" TargetMode="External"/><Relationship Id="rId492" Type="http://schemas.openxmlformats.org/officeDocument/2006/relationships/hyperlink" Target="https://www.sec.gov/Archives/edgar/data/1494259/000104746917005904/a2233230zex-10_5.htm" TargetMode="External"/><Relationship Id="rId493" Type="http://schemas.openxmlformats.org/officeDocument/2006/relationships/hyperlink" Target="https://www.sec.gov/Archives/edgar/data/1494259/000104746917005904/a2233230zex-10_6.htm" TargetMode="External"/><Relationship Id="rId494" Type="http://schemas.openxmlformats.org/officeDocument/2006/relationships/hyperlink" Target="https://www.sec.gov/Archives/edgar/data/1494259/000104746917005904/a2233230zex-10_7.htm" TargetMode="External"/><Relationship Id="rId495" Type="http://schemas.openxmlformats.org/officeDocument/2006/relationships/hyperlink" Target="https://www.sec.gov/Archives/edgar/data/1494259/000119312523265747/d569839dex101.htm" TargetMode="External"/><Relationship Id="rId498" Type="http://schemas.openxmlformats.org/officeDocument/2006/relationships/hyperlink" Target="https://www.sec.gov/Archives/edgar/data/1494259/000119312523265747/d569839dex102.htm" TargetMode="External"/><Relationship Id="rId501" Type="http://schemas.openxmlformats.org/officeDocument/2006/relationships/hyperlink" Target="https://www.sec.gov/Archives/edgar/data/1494259/000095017022008509/carg-ex10_2.htm" TargetMode="External"/><Relationship Id="rId504" Type="http://schemas.openxmlformats.org/officeDocument/2006/relationships/hyperlink" Target="https://www.sec.gov/Archives/edgar/data/1494259/000095017022008509/carg-ex10_3.htm" TargetMode="External"/><Relationship Id="rId507" Type="http://schemas.openxmlformats.org/officeDocument/2006/relationships/hyperlink" Target="https://www.sec.gov/Archives/edgar/data/1494259/000095017023019676/carg-ex10_1.htm" TargetMode="External"/><Relationship Id="rId510" Type="http://schemas.openxmlformats.org/officeDocument/2006/relationships/hyperlink" Target="https://www.sec.gov/Archives/edgar/data/1494259/000156459019005473/carg-ex108_14.htm" TargetMode="External"/><Relationship Id="rId513" Type="http://schemas.openxmlformats.org/officeDocument/2006/relationships/hyperlink" Target="https://www.sec.gov/Archives/edgar/data/1494259/000095017023040582/carg-ex10_1.htm" TargetMode="External"/><Relationship Id="rId516" Type="http://schemas.openxmlformats.org/officeDocument/2006/relationships/hyperlink" Target="https://www.sec.gov/Archives/edgar/data/1494259/000156459021005612/carg-ex1010_245.htm" TargetMode="External"/><Relationship Id="rId519" Type="http://schemas.openxmlformats.org/officeDocument/2006/relationships/hyperlink" Target="https://www.sec.gov/Archives/edgar/data/1494259/000104746917005904/a2233230zex-10_8.htm" TargetMode="External"/><Relationship Id="rId522" Type="http://schemas.openxmlformats.org/officeDocument/2006/relationships/hyperlink" Target="https://www.sec.gov/Archives/edgar/data/1494259/000156459020051350/carg-ex102_34.htm" TargetMode="External"/><Relationship Id="rId525" Type="http://schemas.openxmlformats.org/officeDocument/2006/relationships/hyperlink" Target="https://www.sec.gov/Archives/edgar/data/1494259/000156459020051350/carg-ex103_33.htm" TargetMode="External"/><Relationship Id="rId529" Type="http://schemas.openxmlformats.org/officeDocument/2006/relationships/hyperlink" Target="https://www.sec.gov/Archives/edgar/data/1494259/000104746917005904/a2233230zex-10_9.htm" TargetMode="External"/><Relationship Id="rId532" Type="http://schemas.openxmlformats.org/officeDocument/2006/relationships/hyperlink" Target="https://www.sec.gov/Archives/edgar/data/1494259/000104746917005904/a2233230zex-10_10.htm" TargetMode="External"/><Relationship Id="rId535" Type="http://schemas.openxmlformats.org/officeDocument/2006/relationships/hyperlink" Target="https://www.sec.gov/Archives/edgar/data/1494259/000156459019040396/carg-ex101_7.htm" TargetMode="External"/><Relationship Id="rId538" Type="http://schemas.openxmlformats.org/officeDocument/2006/relationships/hyperlink" Target="https://www.sec.gov/Archives/edgar/data/1494259/000156459020051350/carg-ex101_35.htm" TargetMode="External"/><Relationship Id="rId541" Type="http://schemas.openxmlformats.org/officeDocument/2006/relationships/hyperlink" Target="https://www.sec.gov/Archives/edgar/data/1494259/000119312518197983/d778651dex101.htm" TargetMode="External"/><Relationship Id="rId544" Type="http://schemas.openxmlformats.org/officeDocument/2006/relationships/hyperlink" Target="https://www.sec.gov/Archives/edgar/data/1494259/000119312519320928/d851940dex101.htm" TargetMode="External"/><Relationship Id="rId547" Type="http://schemas.openxmlformats.org/officeDocument/2006/relationships/hyperlink" Target="https://www.sec.gov/Archives/edgar/data/1494259/000156459020037766/carg-ex103_51.htm" TargetMode="External"/><Relationship Id="rId550" Type="http://schemas.openxmlformats.org/officeDocument/2006/relationships/hyperlink" Target="https://www.sec.gov/Archives/edgar/data/1494259/000095017022002023/carg-ex10_29.htm" TargetMode="External"/><Relationship Id="rId553" Type="http://schemas.openxmlformats.org/officeDocument/2006/relationships/hyperlink" Target="https://www.sec.gov/Archives/edgar/data/1494259/000095017022023243/carg-ex10_2.htm" TargetMode="External"/><Relationship Id="rId556" Type="http://schemas.openxmlformats.org/officeDocument/2006/relationships/hyperlink" Target="https://www.sec.gov/Archives/edgar/data/1494259/000095017022002023/carg-ex10_30.htm" TargetMode="External"/><Relationship Id="rId560" Type="http://schemas.openxmlformats.org/officeDocument/2006/relationships/hyperlink" Target="https://www.sec.gov/Archives/edgar/data/1494259/000095017022008509/carg-ex10_1.htm" TargetMode="External"/><Relationship Id="rId561" Type="http://schemas.openxmlformats.org/officeDocument/2006/relationships/hyperlink" Target="https://www.sec.gov/Archives/edgar/data/1494259/000095017022002023/carg-ex10_27.htm" TargetMode="External"/><Relationship Id="rId562" Type="http://schemas.openxmlformats.org/officeDocument/2006/relationships/hyperlink" Target="https://www.sec.gov/Archives/edgar/data/1494259/000095017022008509/carg-ex10_5.htm" TargetMode="External"/><Relationship Id="rId563" Type="http://schemas.openxmlformats.org/officeDocument/2006/relationships/hyperlink" Target="https://www.sec.gov/Archives/edgar/data/1494259/000095017022019045/carg-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2024-02-26T16:05:10Z</dcterms:created>
  <dcterms:modified xsi:type="dcterms:W3CDTF">2024-02-26T16:05:10Z</dcterms:modified>
</cp:coreProperties>
</file>