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220" w:type="dxa"/>
            <w:vAlign w:val="bottom"/>
          </w:tcPr>
          <w:p>
            <w:pPr>
              <w:jc w:val="center"/>
              <w:ind w:right="3740"/>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jc w:val="right"/>
              <w:ind w:right="61"/>
              <w:spacing w:after="0"/>
              <w:rPr>
                <w:sz w:val="20"/>
                <w:szCs w:val="20"/>
                <w:color w:val="auto"/>
              </w:rPr>
            </w:pPr>
            <w:r>
              <w:rPr>
                <w:rFonts w:ascii="Arial" w:cs="Arial" w:eastAsia="Arial" w:hAnsi="Arial"/>
                <w:sz w:val="18"/>
                <w:szCs w:val="18"/>
                <w:b w:val="1"/>
                <w:bCs w:val="1"/>
                <w:color w:val="auto"/>
              </w:rPr>
              <w:t>04-3843478</w:t>
            </w:r>
          </w:p>
        </w:tc>
      </w:tr>
      <w:tr>
        <w:trPr>
          <w:trHeight w:val="148"/>
        </w:trPr>
        <w:tc>
          <w:tcPr>
            <w:tcW w:w="6220" w:type="dxa"/>
            <w:vAlign w:val="bottom"/>
          </w:tcPr>
          <w:p>
            <w:pPr>
              <w:jc w:val="center"/>
              <w:ind w:right="37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74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6220" w:type="dxa"/>
            <w:vAlign w:val="bottom"/>
          </w:tcPr>
          <w:p>
            <w:pPr>
              <w:jc w:val="center"/>
              <w:ind w:right="3760"/>
              <w:spacing w:after="0"/>
              <w:rPr>
                <w:sz w:val="20"/>
                <w:szCs w:val="20"/>
                <w:color w:val="auto"/>
              </w:rPr>
            </w:pPr>
            <w:r>
              <w:rPr>
                <w:rFonts w:ascii="Arial" w:cs="Arial" w:eastAsia="Arial" w:hAnsi="Arial"/>
                <w:sz w:val="18"/>
                <w:szCs w:val="18"/>
                <w:b w:val="1"/>
                <w:bCs w:val="1"/>
                <w:color w:val="auto"/>
                <w:w w:val="93"/>
              </w:rPr>
              <w:t>2 Canal Park, 4th Floor</w:t>
            </w:r>
          </w:p>
        </w:tc>
        <w:tc>
          <w:tcPr>
            <w:tcW w:w="1160" w:type="dxa"/>
            <w:vAlign w:val="bottom"/>
          </w:tcPr>
          <w:p>
            <w:pPr>
              <w:spacing w:after="0"/>
              <w:rPr>
                <w:sz w:val="24"/>
                <w:szCs w:val="24"/>
                <w:color w:val="auto"/>
              </w:rPr>
            </w:pPr>
          </w:p>
        </w:tc>
      </w:tr>
      <w:tr>
        <w:trPr>
          <w:trHeight w:val="212"/>
        </w:trPr>
        <w:tc>
          <w:tcPr>
            <w:tcW w:w="6220" w:type="dxa"/>
            <w:vAlign w:val="bottom"/>
          </w:tcPr>
          <w:p>
            <w:pPr>
              <w:jc w:val="center"/>
              <w:ind w:right="3740"/>
              <w:spacing w:after="0"/>
              <w:rPr>
                <w:sz w:val="20"/>
                <w:szCs w:val="20"/>
                <w:color w:val="auto"/>
              </w:rPr>
            </w:pPr>
            <w:r>
              <w:rPr>
                <w:rFonts w:ascii="Arial" w:cs="Arial" w:eastAsia="Arial" w:hAnsi="Arial"/>
                <w:sz w:val="18"/>
                <w:szCs w:val="18"/>
                <w:b w:val="1"/>
                <w:bCs w:val="1"/>
                <w:color w:val="auto"/>
                <w:w w:val="89"/>
              </w:rPr>
              <w:t>Cambridge, Massachusetts</w:t>
            </w:r>
          </w:p>
        </w:tc>
        <w:tc>
          <w:tcPr>
            <w:tcW w:w="11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02141</w:t>
            </w:r>
          </w:p>
        </w:tc>
      </w:tr>
      <w:tr>
        <w:trPr>
          <w:trHeight w:val="186"/>
        </w:trPr>
        <w:tc>
          <w:tcPr>
            <w:tcW w:w="6220" w:type="dxa"/>
            <w:vAlign w:val="bottom"/>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06"/>
        </w:trPr>
        <w:tc>
          <w:tcPr>
            <w:tcW w:w="6220" w:type="dxa"/>
            <w:vAlign w:val="bottom"/>
          </w:tcPr>
          <w:p>
            <w:pPr>
              <w:ind w:left="1800"/>
              <w:spacing w:after="0"/>
              <w:rPr>
                <w:sz w:val="20"/>
                <w:szCs w:val="20"/>
                <w:color w:val="auto"/>
              </w:rPr>
            </w:pPr>
            <w:r>
              <w:rPr>
                <w:rFonts w:ascii="Arial" w:cs="Arial" w:eastAsia="Arial" w:hAnsi="Arial"/>
                <w:sz w:val="15"/>
                <w:szCs w:val="15"/>
                <w:b w:val="1"/>
                <w:bCs w:val="1"/>
                <w:color w:val="auto"/>
                <w:w w:val="91"/>
              </w:rPr>
              <w:t>Registrant’s telephone number, including area code: (617) 354-0068</w:t>
            </w:r>
          </w:p>
        </w:tc>
        <w:tc>
          <w:tcPr>
            <w:tcW w:w="11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8"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82" w:lineRule="exact"/>
        <w:rPr>
          <w:sz w:val="24"/>
          <w:szCs w:val="24"/>
          <w:color w:val="auto"/>
        </w:rPr>
      </w:pPr>
    </w:p>
    <w:tbl>
      <w:tblPr>
        <w:tblLayout w:type="fixed"/>
        <w:tblInd w:w="740" w:type="dxa"/>
        <w:tblCellMar>
          <w:top w:w="0" w:type="dxa"/>
          <w:left w:w="0" w:type="dxa"/>
          <w:bottom w:w="0" w:type="dxa"/>
          <w:right w:w="0" w:type="dxa"/>
        </w:tblCellMar>
      </w:tblPr>
      <w:tr>
        <w:trPr>
          <w:trHeight w:val="172"/>
        </w:trPr>
        <w:tc>
          <w:tcPr>
            <w:tcW w:w="96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Arial" w:cs="Arial" w:eastAsia="Arial" w:hAnsi="Arial"/>
                <w:sz w:val="15"/>
                <w:szCs w:val="15"/>
                <w:b w:val="1"/>
                <w:bCs w:val="1"/>
                <w:color w:val="auto"/>
              </w:rPr>
              <w:t>Title of Each Class</w:t>
            </w:r>
          </w:p>
        </w:tc>
        <w:tc>
          <w:tcPr>
            <w:tcW w:w="14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3"/>
              </w:rPr>
              <w:t>Trading Symbol</w:t>
            </w:r>
          </w:p>
        </w:tc>
        <w:tc>
          <w:tcPr>
            <w:tcW w:w="104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5"/>
                <w:szCs w:val="15"/>
                <w:b w:val="1"/>
                <w:bCs w:val="1"/>
                <w:color w:val="auto"/>
              </w:rPr>
              <w:t>Name of Exchange on Which Registered</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81"/>
              </w:rPr>
              <w:t>Class A Common</w:t>
            </w:r>
          </w:p>
        </w:tc>
        <w:tc>
          <w:tcPr>
            <w:tcW w:w="12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4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75"/>
              </w:rPr>
              <w:t>The Nasdaq</w:t>
            </w:r>
          </w:p>
        </w:tc>
        <w:tc>
          <w:tcPr>
            <w:tcW w:w="2640" w:type="dxa"/>
            <w:vAlign w:val="bottom"/>
            <w:shd w:val="clear" w:color="auto" w:fill="000000"/>
          </w:tcPr>
          <w:p>
            <w:pPr>
              <w:spacing w:after="0" w:line="20" w:lineRule="exact"/>
              <w:rPr>
                <w:sz w:val="1"/>
                <w:szCs w:val="1"/>
                <w:color w:val="auto"/>
              </w:rPr>
            </w:pPr>
          </w:p>
        </w:tc>
        <w:tc>
          <w:tcPr>
            <w:tcW w:w="6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6"/>
              </w:rPr>
              <w:t>Market)</w:t>
            </w:r>
          </w:p>
        </w:tc>
        <w:tc>
          <w:tcPr>
            <w:tcW w:w="0" w:type="dxa"/>
            <w:vAlign w:val="bottom"/>
          </w:tcPr>
          <w:p>
            <w:pPr>
              <w:spacing w:after="0" w:line="20" w:lineRule="exact"/>
              <w:rPr>
                <w:sz w:val="1"/>
                <w:szCs w:val="1"/>
                <w:color w:val="auto"/>
              </w:rPr>
            </w:pPr>
          </w:p>
        </w:tc>
      </w:tr>
      <w:tr>
        <w:trPr>
          <w:trHeight w:val="180"/>
        </w:trPr>
        <w:tc>
          <w:tcPr>
            <w:tcW w:w="960" w:type="dxa"/>
            <w:vAlign w:val="bottom"/>
            <w:vMerge w:val="continue"/>
          </w:tcPr>
          <w:p>
            <w:pPr>
              <w:spacing w:after="0"/>
              <w:rPr>
                <w:sz w:val="15"/>
                <w:szCs w:val="15"/>
                <w:color w:val="auto"/>
              </w:rPr>
            </w:pPr>
          </w:p>
        </w:tc>
        <w:tc>
          <w:tcPr>
            <w:tcW w:w="340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 par value $0.001 per share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CARG</w:t>
            </w:r>
          </w:p>
        </w:tc>
        <w:tc>
          <w:tcPr>
            <w:tcW w:w="4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b w:val="1"/>
                <w:bCs w:val="1"/>
                <w:color w:val="auto"/>
                <w:w w:val="91"/>
              </w:rPr>
              <w:t>Stock Market LLC (Nasdaq Global Select</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6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50" w:lineRule="exact"/>
        <w:rPr>
          <w:sz w:val="24"/>
          <w:szCs w:val="24"/>
          <w:color w:val="auto"/>
        </w:rPr>
      </w:pPr>
    </w:p>
    <w:p>
      <w:pPr>
        <w:ind w:right="38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40" w:val="left"/>
          <w:tab w:leader="none" w:pos="122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88" w:lineRule="exact"/>
        <w:rPr>
          <w:sz w:val="24"/>
          <w:szCs w:val="24"/>
          <w:color w:val="auto"/>
        </w:rPr>
      </w:pPr>
    </w:p>
    <w:p>
      <w:pPr>
        <w:ind w:right="24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2660"/>
              <w:spacing w:after="0"/>
              <w:rPr>
                <w:sz w:val="20"/>
                <w:szCs w:val="20"/>
                <w:color w:val="auto"/>
              </w:rPr>
            </w:pPr>
            <w:r>
              <w:rPr>
                <w:rFonts w:ascii="Arial" w:cs="Arial" w:eastAsia="Arial" w:hAnsi="Arial"/>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2660"/>
              <w:spacing w:after="0"/>
              <w:rPr>
                <w:sz w:val="20"/>
                <w:szCs w:val="20"/>
                <w:color w:val="auto"/>
              </w:rPr>
            </w:pPr>
            <w:r>
              <w:rPr>
                <w:rFonts w:ascii="Arial" w:cs="Arial" w:eastAsia="Arial" w:hAnsi="Arial"/>
                <w:sz w:val="17"/>
                <w:szCs w:val="17"/>
                <w:color w:val="auto"/>
              </w:rPr>
              <w:t>Small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19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5240" w:type="dxa"/>
            <w:vAlign w:val="bottom"/>
          </w:tcPr>
          <w:p>
            <w:pPr>
              <w:ind w:left="2660"/>
              <w:spacing w:after="0"/>
              <w:rPr>
                <w:sz w:val="20"/>
                <w:szCs w:val="20"/>
                <w:color w:val="auto"/>
              </w:rPr>
            </w:pPr>
            <w:r>
              <w:rPr>
                <w:rFonts w:ascii="Arial" w:cs="Arial" w:eastAsia="Arial" w:hAnsi="Arial"/>
                <w:sz w:val="17"/>
                <w:szCs w:val="17"/>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7" w:lineRule="exact"/>
        <w:rPr>
          <w:sz w:val="24"/>
          <w:szCs w:val="24"/>
          <w:color w:val="auto"/>
        </w:rPr>
      </w:pPr>
    </w:p>
    <w:p>
      <w:pPr>
        <w:ind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left="520"/>
        <w:spacing w:after="0" w:line="196" w:lineRule="exact"/>
        <w:tabs>
          <w:tab w:leader="none" w:pos="8420" w:val="left"/>
          <w:tab w:leader="none" w:pos="91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20" w:lineRule="exact"/>
        <w:rPr>
          <w:sz w:val="24"/>
          <w:szCs w:val="24"/>
          <w:color w:val="auto"/>
        </w:rPr>
      </w:pPr>
    </w:p>
    <w:p>
      <w:pPr>
        <w:ind w:right="20" w:firstLine="510"/>
        <w:spacing w:after="0" w:line="274" w:lineRule="auto"/>
        <w:rPr>
          <w:sz w:val="20"/>
          <w:szCs w:val="20"/>
          <w:color w:val="auto"/>
        </w:rPr>
      </w:pPr>
      <w:r>
        <w:rPr>
          <w:rFonts w:ascii="Arial" w:cs="Arial" w:eastAsia="Arial" w:hAnsi="Arial"/>
          <w:sz w:val="17"/>
          <w:szCs w:val="17"/>
          <w:color w:val="auto"/>
        </w:rPr>
        <w:t>As of July 29, 2021, the registrant had 100,531,108 shares of Class A common stock, $0.001 par value per share, and 16,840,805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16"/>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420" w:type="dxa"/>
            <w:vAlign w:val="bottom"/>
            <w:gridSpan w:val="16"/>
            <w:vMerge w:val="continue"/>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80" w:type="dxa"/>
            <w:vAlign w:val="bottom"/>
            <w:tcBorders>
              <w:top w:val="single" w:sz="8" w:color="0000EE"/>
            </w:tcBorders>
            <w:gridSpan w:val="3"/>
          </w:tcPr>
          <w:p>
            <w:pPr>
              <w:spacing w:after="0"/>
              <w:rPr>
                <w:sz w:val="18"/>
                <w:szCs w:val="18"/>
                <w:color w:val="auto"/>
              </w:rPr>
            </w:pPr>
          </w:p>
        </w:tc>
        <w:tc>
          <w:tcPr>
            <w:tcW w:w="7040" w:type="dxa"/>
            <w:vAlign w:val="bottom"/>
            <w:gridSpan w:val="9"/>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Income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Comprehensive Income</w:t>
              </w:r>
            </w:hyperlink>
          </w:p>
        </w:tc>
        <w:tc>
          <w:tcPr>
            <w:tcW w:w="404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Condensed Consolidated Statements of Redeemable Noncontrolling Interest and Stockholders’ Equity</w:t>
              </w:r>
            </w:hyperlink>
          </w:p>
        </w:tc>
        <w:tc>
          <w:tcPr>
            <w:tcW w:w="1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Unaudited Condensed Consolidated Statements of Cash Flows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1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Quantitative and Qualitative Disclosures About Market Risk</w:t>
              </w:r>
            </w:hyperlink>
          </w:p>
        </w:tc>
        <w:tc>
          <w:tcPr>
            <w:tcW w:w="506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OTHER INFORMATION</w:t>
              </w:r>
            </w:hyperlink>
          </w:p>
        </w:tc>
        <w:tc>
          <w:tcPr>
            <w:tcW w:w="740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8100" w:type="dxa"/>
            <w:vAlign w:val="bottom"/>
            <w:gridSpan w:val="1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852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strategies and our ability to effectively manage any growth;</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are building the world’s most trusted and transparent automotive marketplace and creating a differentiated automotive search experience for consumers;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deliver quality leads at a high volume for our dealer customers;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acquire new customers;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succeed internationally;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share issuances and the exercise of put and call rights in connection with our acquisition of a majority interest in CarOffer, LLC, as well as the associated valuation of redeemable noncontrolling interests;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and effectively comply with, new or modified laws and regulations that currently apply or become applicable to our business and our beliefs regarding our compliance therewith;</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inventory supply problems, global supply chain challenges, the global semiconductor chip shortage, changes to trade policies and other macroeconomic issues;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we will realize the benefits of deferred tax assets;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returns on investments;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cost savings and achieve other benefits for our business from our expense reduction efforts, the impact of such reductions on our business and the timing of payments associated with such efforts;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outlook for our Restricted Listings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fee reductions for customers;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the COVID-19 pandemic.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both"/>
        <w:ind w:firstLine="510"/>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3"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At</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At</w:t>
            </w:r>
          </w:p>
        </w:tc>
      </w:tr>
      <w:tr>
        <w:trPr>
          <w:trHeight w:val="149"/>
        </w:trPr>
        <w:tc>
          <w:tcPr>
            <w:tcW w:w="6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48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64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Current assets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540" w:type="dxa"/>
            <w:vAlign w:val="bottom"/>
            <w:gridSpan w:val="2"/>
            <w:shd w:val="clear" w:color="auto" w:fill="CFF0FC"/>
          </w:tcPr>
          <w:p>
            <w:pPr>
              <w:jc w:val="right"/>
              <w:ind w:right="14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184,642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190,299</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7"/>
                <w:szCs w:val="17"/>
                <w:color w:val="auto"/>
              </w:rPr>
              <w:t>Investments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85,000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tcPr>
          <w:p>
            <w:pPr>
              <w:spacing w:after="0"/>
              <w:rPr>
                <w:sz w:val="18"/>
                <w:szCs w:val="18"/>
                <w:color w:val="auto"/>
              </w:rPr>
            </w:pPr>
          </w:p>
        </w:tc>
      </w:tr>
      <w:tr>
        <w:trPr>
          <w:trHeight w:val="198"/>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receivable, net of allowance for doubtful accounts of $418</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4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and $616, respectively</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81,863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18,235</w:t>
            </w:r>
          </w:p>
        </w:tc>
        <w:tc>
          <w:tcPr>
            <w:tcW w:w="100" w:type="dxa"/>
            <w:vAlign w:val="bottom"/>
            <w:shd w:val="clear" w:color="auto" w:fill="CFF0FC"/>
          </w:tcPr>
          <w:p>
            <w:pPr>
              <w:spacing w:after="0"/>
              <w:rPr>
                <w:sz w:val="19"/>
                <w:szCs w:val="19"/>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7"/>
                <w:szCs w:val="17"/>
                <w:color w:val="auto"/>
              </w:rPr>
              <w:t>Prepaid expenses, prepaid income taxes and other current assets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17,737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12,385</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contract costs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10,807</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Restricted cash</w:t>
            </w:r>
          </w:p>
        </w:tc>
        <w:tc>
          <w:tcPr>
            <w:tcW w:w="1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8,980</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FF0FC"/>
            </w:tcBorders>
          </w:tcPr>
          <w:p>
            <w:pPr>
              <w:spacing w:after="0"/>
              <w:rPr>
                <w:sz w:val="18"/>
                <w:szCs w:val="18"/>
                <w:color w:val="auto"/>
              </w:rPr>
            </w:pPr>
          </w:p>
        </w:tc>
      </w:tr>
      <w:tr>
        <w:trPr>
          <w:trHeight w:val="209"/>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388,776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331,976</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31,641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27,483</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 net</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100,348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10,862</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Goodwill</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156,098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29,129</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67,024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60,835</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Restricted cash</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10,377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10,377</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17,446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19,774</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9,189</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assets</w:t>
            </w:r>
          </w:p>
        </w:tc>
        <w:tc>
          <w:tcPr>
            <w:tcW w:w="1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4,461</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2,673</w:t>
            </w:r>
          </w:p>
        </w:tc>
        <w:tc>
          <w:tcPr>
            <w:tcW w:w="100" w:type="dxa"/>
            <w:vAlign w:val="bottom"/>
            <w:shd w:val="clear" w:color="auto" w:fill="CFF0FC"/>
          </w:tcPr>
          <w:p>
            <w:pPr>
              <w:spacing w:after="0"/>
              <w:rPr>
                <w:sz w:val="18"/>
                <w:szCs w:val="18"/>
                <w:color w:val="auto"/>
              </w:rPr>
            </w:pPr>
          </w:p>
        </w:tc>
      </w:tr>
      <w:tr>
        <w:trPr>
          <w:trHeight w:val="250"/>
        </w:trPr>
        <w:tc>
          <w:tcPr>
            <w:tcW w:w="6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assets</w:t>
            </w:r>
          </w:p>
        </w:tc>
        <w:tc>
          <w:tcPr>
            <w:tcW w:w="1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784,205</w:t>
            </w:r>
          </w:p>
        </w:tc>
        <w:tc>
          <w:tcPr>
            <w:tcW w:w="3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502,298</w:t>
            </w:r>
          </w:p>
        </w:tc>
        <w:tc>
          <w:tcPr>
            <w:tcW w:w="100" w:type="dxa"/>
            <w:vAlign w:val="bottom"/>
            <w:tcBorders>
              <w:bottom w:val="single" w:sz="8" w:color="CFF0FC"/>
            </w:tcBorders>
          </w:tcPr>
          <w:p>
            <w:pPr>
              <w:spacing w:after="0"/>
              <w:rPr>
                <w:sz w:val="21"/>
                <w:szCs w:val="21"/>
                <w:color w:val="auto"/>
              </w:rPr>
            </w:pPr>
          </w:p>
        </w:tc>
      </w:tr>
      <w:tr>
        <w:trPr>
          <w:trHeight w:val="196"/>
        </w:trPr>
        <w:tc>
          <w:tcPr>
            <w:tcW w:w="648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Liabilities, redeemable noncontrolling interest and stockholders’ equity</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Current liabilities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payable</w:t>
            </w:r>
          </w:p>
        </w:tc>
        <w:tc>
          <w:tcPr>
            <w:tcW w:w="1540" w:type="dxa"/>
            <w:vAlign w:val="bottom"/>
            <w:gridSpan w:val="2"/>
            <w:shd w:val="clear" w:color="auto" w:fill="CFF0FC"/>
          </w:tcPr>
          <w:p>
            <w:pPr>
              <w:jc w:val="right"/>
              <w:ind w:right="14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45,877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21,563</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33,394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24,751</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revenue</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13,120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9,137</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Operating lease liabilities</w:t>
            </w:r>
          </w:p>
        </w:tc>
        <w:tc>
          <w:tcPr>
            <w:tcW w:w="1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11,156</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11,085</w:t>
            </w:r>
          </w:p>
        </w:tc>
        <w:tc>
          <w:tcPr>
            <w:tcW w:w="100" w:type="dxa"/>
            <w:vAlign w:val="bottom"/>
            <w:tcBorders>
              <w:bottom w:val="single" w:sz="8" w:color="CFF0FC"/>
            </w:tcBorders>
          </w:tcPr>
          <w:p>
            <w:pPr>
              <w:spacing w:after="0"/>
              <w:rPr>
                <w:sz w:val="18"/>
                <w:szCs w:val="18"/>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103,547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66,536</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64,723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58,810</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liabilities</w:t>
            </w:r>
          </w:p>
        </w:tc>
        <w:tc>
          <w:tcPr>
            <w:tcW w:w="1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11,898</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3,075</w:t>
            </w:r>
          </w:p>
        </w:tc>
        <w:tc>
          <w:tcPr>
            <w:tcW w:w="100" w:type="dxa"/>
            <w:vAlign w:val="bottom"/>
            <w:tcBorders>
              <w:bottom w:val="single" w:sz="8" w:color="CFF0FC"/>
            </w:tcBorders>
          </w:tcPr>
          <w:p>
            <w:pPr>
              <w:spacing w:after="0"/>
              <w:rPr>
                <w:sz w:val="18"/>
                <w:szCs w:val="18"/>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180,459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128,712</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Commitments and contingencies (Note 9)</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Redeemable noncontrolling interest</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54,565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Stockholders’ equity:</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Preferred stock, $0.001 par value; 10,000,000 shares authorized;</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4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no shares issued and outstanding</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198"/>
        </w:trPr>
        <w:tc>
          <w:tcPr>
            <w:tcW w:w="6480" w:type="dxa"/>
            <w:vAlign w:val="bottom"/>
          </w:tcPr>
          <w:p>
            <w:pPr>
              <w:ind w:left="260"/>
              <w:spacing w:after="0"/>
              <w:rPr>
                <w:sz w:val="20"/>
                <w:szCs w:val="20"/>
                <w:color w:val="auto"/>
              </w:rPr>
            </w:pPr>
            <w:r>
              <w:rPr>
                <w:rFonts w:ascii="Arial" w:cs="Arial" w:eastAsia="Arial" w:hAnsi="Arial"/>
                <w:sz w:val="17"/>
                <w:szCs w:val="17"/>
                <w:color w:val="auto"/>
              </w:rPr>
              <w:t>Class A common stock, $0.001 par value per share; 500,000,000 shares</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tcPr>
          <w:p>
            <w:pPr>
              <w:ind w:left="380"/>
              <w:spacing w:after="0"/>
              <w:rPr>
                <w:sz w:val="20"/>
                <w:szCs w:val="20"/>
                <w:color w:val="auto"/>
              </w:rPr>
            </w:pPr>
            <w:r>
              <w:rPr>
                <w:rFonts w:ascii="Arial" w:cs="Arial" w:eastAsia="Arial" w:hAnsi="Arial"/>
                <w:sz w:val="17"/>
                <w:szCs w:val="17"/>
                <w:color w:val="auto"/>
              </w:rPr>
              <w:t>authorized; 99,060,368 and 94,310,309 shares issued and outstanding</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6480" w:type="dxa"/>
            <w:vAlign w:val="bottom"/>
          </w:tcPr>
          <w:p>
            <w:pPr>
              <w:ind w:left="380"/>
              <w:spacing w:after="0"/>
              <w:rPr>
                <w:sz w:val="20"/>
                <w:szCs w:val="20"/>
                <w:color w:val="auto"/>
              </w:rPr>
            </w:pPr>
            <w:r>
              <w:rPr>
                <w:rFonts w:ascii="Arial" w:cs="Arial" w:eastAsia="Arial" w:hAnsi="Arial"/>
                <w:sz w:val="17"/>
                <w:szCs w:val="17"/>
                <w:color w:val="auto"/>
              </w:rPr>
              <w:t>at June 30, 2021 and December 31, 2020, respectively</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r>
      <w:tr>
        <w:trPr>
          <w:trHeight w:val="200"/>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B common stock, $0.001 par value per share; 100,000,000 shares</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authorized; 18,146,903 and 19,076,500 shares issued and outstanding</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4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at June 30, 2021 and December 31, 2020, respectively</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19"/>
                <w:szCs w:val="19"/>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368,194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242,181</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Retained earnings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179,825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129,412</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Accumulated other comprehensive income</w:t>
            </w:r>
          </w:p>
        </w:tc>
        <w:tc>
          <w:tcPr>
            <w:tcW w:w="1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1,045</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1,880</w:t>
            </w:r>
          </w:p>
        </w:tc>
        <w:tc>
          <w:tcPr>
            <w:tcW w:w="100" w:type="dxa"/>
            <w:vAlign w:val="bottom"/>
            <w:tcBorders>
              <w:bottom w:val="single" w:sz="8" w:color="CFF0FC"/>
            </w:tcBorders>
          </w:tcPr>
          <w:p>
            <w:pPr>
              <w:spacing w:after="0"/>
              <w:rPr>
                <w:sz w:val="18"/>
                <w:szCs w:val="18"/>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Total stockholders’ equity</w:t>
            </w:r>
          </w:p>
        </w:tc>
        <w:tc>
          <w:tcPr>
            <w:tcW w:w="1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549,181</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373,586</w:t>
            </w:r>
          </w:p>
        </w:tc>
        <w:tc>
          <w:tcPr>
            <w:tcW w:w="100" w:type="dxa"/>
            <w:vAlign w:val="bottom"/>
            <w:shd w:val="clear" w:color="auto" w:fill="CFF0FC"/>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7"/>
                <w:szCs w:val="17"/>
                <w:color w:val="auto"/>
              </w:rPr>
              <w:t>Total liabilities, redeemable noncontrolling interest and stockholders’ equity</w:t>
            </w:r>
          </w:p>
        </w:tc>
        <w:tc>
          <w:tcPr>
            <w:tcW w:w="124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784,205</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502,298</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94,737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389,116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84,857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314,741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134,309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128,954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76,148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250,473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64,268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17,604</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(3,466)</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28,052</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50,413</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attributable to common stockholders: (Note 11)</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w w:val="99"/>
              </w:rPr>
              <w:t>Weighted-average number of shares of common stock used in computing</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net income per share attributable to common stockholders: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117,124,895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112,734,393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116,722,913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112,544,743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119,454,104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113,737,465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118,353,969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113,947,241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80" w:hanging="372"/>
        <w:spacing w:after="0" w:line="308"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depreciation and amortization expense for the three months ended June 30, 2021 and 2020 and for the six months ended June 30, 2021 and 2020 of $1,143, $1,837, $2,142, and $3,306,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19,827</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Consolidated comprehensive income</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19,815</w:t>
            </w:r>
          </w:p>
        </w:tc>
        <w:tc>
          <w:tcPr>
            <w:tcW w:w="120" w:type="dxa"/>
            <w:vAlign w:val="bottom"/>
          </w:tcPr>
          <w:p>
            <w:pPr>
              <w:spacing w:after="0"/>
              <w:rPr>
                <w:sz w:val="19"/>
                <w:szCs w:val="19"/>
                <w:color w:val="auto"/>
              </w:rPr>
            </w:pPr>
          </w:p>
        </w:tc>
      </w:tr>
      <w:tr>
        <w:trPr>
          <w:trHeight w:val="215"/>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comprehensive loss attributable to redeemable noncontrolling</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(3,466)</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Comprehensive income attributable to common stockholders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49,578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19,815</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CarGurus, Inc.</w:t>
      </w:r>
    </w:p>
    <w:p>
      <w:pPr>
        <w:jc w:val="center"/>
        <w:spacing w:after="0" w:line="226" w:lineRule="auto"/>
        <w:rPr>
          <w:sz w:val="20"/>
          <w:szCs w:val="20"/>
          <w:color w:val="auto"/>
        </w:rPr>
      </w:pPr>
      <w:r>
        <w:rPr>
          <w:rFonts w:ascii="Arial" w:cs="Arial" w:eastAsia="Arial" w:hAnsi="Arial"/>
          <w:sz w:val="14"/>
          <w:szCs w:val="14"/>
          <w:b w:val="1"/>
          <w:bCs w:val="1"/>
          <w:color w:val="auto"/>
        </w:rPr>
        <w:t>Unaudited Condensed Consolidated Statements of Redeemable Noncontrolling Interest and Stockholders’ Equity</w:t>
      </w: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7"/>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right w:val="single" w:sz="8" w:color="auto"/>
            </w:tcBorders>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84"/>
              </w:rPr>
              <w:t>Redeemable</w:t>
            </w:r>
          </w:p>
        </w:tc>
        <w:tc>
          <w:tcPr>
            <w:tcW w:w="940" w:type="dxa"/>
            <w:vAlign w:val="bottom"/>
            <w:gridSpan w:val="3"/>
          </w:tcPr>
          <w:p>
            <w:pPr>
              <w:jc w:val="right"/>
              <w:spacing w:after="0" w:line="135" w:lineRule="exact"/>
              <w:rPr>
                <w:sz w:val="20"/>
                <w:szCs w:val="20"/>
                <w:color w:val="auto"/>
              </w:rPr>
            </w:pPr>
            <w:r>
              <w:rPr>
                <w:rFonts w:ascii="Arial" w:cs="Arial" w:eastAsia="Arial" w:hAnsi="Arial"/>
                <w:sz w:val="12"/>
                <w:szCs w:val="12"/>
                <w:b w:val="1"/>
                <w:bCs w:val="1"/>
                <w:color w:val="auto"/>
              </w:rPr>
              <w:t>Class A</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4"/>
          </w:tcPr>
          <w:p>
            <w:pPr>
              <w:jc w:val="right"/>
              <w:spacing w:after="0" w:line="135" w:lineRule="exact"/>
              <w:rPr>
                <w:sz w:val="20"/>
                <w:szCs w:val="20"/>
                <w:color w:val="auto"/>
              </w:rPr>
            </w:pPr>
            <w:r>
              <w:rPr>
                <w:rFonts w:ascii="Arial" w:cs="Arial" w:eastAsia="Arial" w:hAnsi="Arial"/>
                <w:sz w:val="12"/>
                <w:szCs w:val="12"/>
                <w:b w:val="1"/>
                <w:bCs w:val="1"/>
                <w:color w:val="auto"/>
              </w:rPr>
              <w:t>Class B</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rPr>
              <w:t>Total</w:t>
            </w:r>
          </w:p>
        </w:tc>
      </w:tr>
      <w:tr>
        <w:trPr>
          <w:trHeight w:val="143"/>
        </w:trPr>
        <w:tc>
          <w:tcPr>
            <w:tcW w:w="3500" w:type="dxa"/>
            <w:vAlign w:val="bottom"/>
          </w:tcPr>
          <w:p>
            <w:pPr>
              <w:spacing w:after="0"/>
              <w:rPr>
                <w:sz w:val="12"/>
                <w:szCs w:val="12"/>
                <w:color w:val="auto"/>
              </w:rPr>
            </w:pPr>
          </w:p>
        </w:tc>
        <w:tc>
          <w:tcPr>
            <w:tcW w:w="940" w:type="dxa"/>
            <w:vAlign w:val="bottom"/>
            <w:tcBorders>
              <w:right w:val="single" w:sz="8" w:color="auto"/>
            </w:tcBorders>
            <w:gridSpan w:val="3"/>
          </w:tcPr>
          <w:p>
            <w:pPr>
              <w:spacing w:after="0"/>
              <w:rPr>
                <w:sz w:val="20"/>
                <w:szCs w:val="20"/>
                <w:color w:val="auto"/>
              </w:rPr>
            </w:pPr>
            <w:r>
              <w:rPr>
                <w:rFonts w:ascii="Arial" w:cs="Arial" w:eastAsia="Arial" w:hAnsi="Arial"/>
                <w:sz w:val="12"/>
                <w:szCs w:val="12"/>
                <w:b w:val="1"/>
                <w:bCs w:val="1"/>
                <w:color w:val="auto"/>
              </w:rPr>
              <w:t>Noncontrolling</w:t>
            </w:r>
          </w:p>
        </w:tc>
        <w:tc>
          <w:tcPr>
            <w:tcW w:w="150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2"/>
                <w:szCs w:val="12"/>
                <w:b w:val="1"/>
                <w:bCs w:val="1"/>
                <w:color w:val="auto"/>
              </w:rPr>
              <w:t>Common Stock</w:t>
            </w:r>
          </w:p>
        </w:tc>
        <w:tc>
          <w:tcPr>
            <w:tcW w:w="180" w:type="dxa"/>
            <w:vAlign w:val="bottom"/>
          </w:tcPr>
          <w:p>
            <w:pPr>
              <w:spacing w:after="0"/>
              <w:rPr>
                <w:sz w:val="12"/>
                <w:szCs w:val="12"/>
                <w:color w:val="auto"/>
              </w:rPr>
            </w:pPr>
          </w:p>
        </w:tc>
        <w:tc>
          <w:tcPr>
            <w:tcW w:w="1480" w:type="dxa"/>
            <w:vAlign w:val="bottom"/>
            <w:tcBorders>
              <w:bottom w:val="single" w:sz="8" w:color="auto"/>
            </w:tcBorders>
            <w:gridSpan w:val="5"/>
          </w:tcPr>
          <w:p>
            <w:pPr>
              <w:jc w:val="right"/>
              <w:ind w:right="302"/>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3"/>
              </w:rPr>
              <w:t>Paid–in</w:t>
            </w:r>
          </w:p>
        </w:tc>
        <w:tc>
          <w:tcPr>
            <w:tcW w:w="14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b w:val="1"/>
                <w:bCs w:val="1"/>
                <w:color w:val="auto"/>
                <w:w w:val="90"/>
              </w:rPr>
              <w:t>Retained</w:t>
            </w: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w w:val="95"/>
              </w:rPr>
              <w:t>Comprehensive</w:t>
            </w:r>
          </w:p>
        </w:tc>
        <w:tc>
          <w:tcPr>
            <w:tcW w:w="8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Stockholders’</w:t>
            </w:r>
          </w:p>
        </w:tc>
      </w:tr>
      <w:tr>
        <w:trPr>
          <w:trHeight w:val="142"/>
        </w:trPr>
        <w:tc>
          <w:tcPr>
            <w:tcW w:w="350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Interest</w:t>
            </w:r>
          </w:p>
        </w:tc>
        <w:tc>
          <w:tcPr>
            <w:tcW w:w="180" w:type="dxa"/>
            <w:vAlign w:val="bottom"/>
            <w:tcBorders>
              <w:bottom w:val="single" w:sz="8" w:color="CFF0FC"/>
              <w:right w:val="single" w:sz="8" w:color="auto"/>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88"/>
              </w:rPr>
              <w:t>Amount</w:t>
            </w:r>
          </w:p>
        </w:tc>
        <w:tc>
          <w:tcPr>
            <w:tcW w:w="18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88"/>
              </w:rPr>
              <w:t>Amount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89"/>
              </w:rPr>
              <w:t>Earnings</w:t>
            </w:r>
          </w:p>
        </w:tc>
        <w:tc>
          <w:tcPr>
            <w:tcW w:w="20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Borders>
              <w:bottom w:val="single" w:sz="8" w:color="CFF0FC"/>
            </w:tcBorders>
          </w:tcPr>
          <w:p>
            <w:pPr>
              <w:spacing w:after="0"/>
              <w:rPr>
                <w:sz w:val="12"/>
                <w:szCs w:val="12"/>
                <w:color w:val="auto"/>
              </w:rPr>
            </w:pPr>
          </w:p>
        </w:tc>
      </w:tr>
      <w:tr>
        <w:trPr>
          <w:trHeight w:val="142"/>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December 31, 2020</w:t>
            </w:r>
          </w:p>
        </w:tc>
        <w:tc>
          <w:tcPr>
            <w:tcW w:w="60" w:type="dxa"/>
            <w:vAlign w:val="bottom"/>
            <w:shd w:val="clear" w:color="auto" w:fill="CFF0FC"/>
          </w:tcPr>
          <w:p>
            <w:pPr>
              <w:spacing w:after="0"/>
              <w:rPr>
                <w:sz w:val="20"/>
                <w:szCs w:val="20"/>
                <w:color w:val="auto"/>
              </w:rPr>
            </w:pPr>
            <w:r>
              <w:rPr>
                <w:rFonts w:ascii="Arial" w:cs="Arial" w:eastAsia="Arial" w:hAnsi="Arial"/>
                <w:sz w:val="9"/>
                <w:szCs w:val="9"/>
                <w:color w:val="auto"/>
                <w:w w:val="78"/>
              </w:rPr>
              <w:t>$</w:t>
            </w: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94,310,309</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19,076,500</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242,181</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129,412</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373,586</w:t>
            </w:r>
          </w:p>
        </w:tc>
        <w:tc>
          <w:tcPr>
            <w:tcW w:w="100" w:type="dxa"/>
            <w:vAlign w:val="bottom"/>
            <w:shd w:val="clear" w:color="auto" w:fill="CFF0FC"/>
          </w:tcPr>
          <w:p>
            <w:pPr>
              <w:spacing w:after="0"/>
              <w:rPr>
                <w:sz w:val="12"/>
                <w:szCs w:val="12"/>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Net income (loss)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(2,810)</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22,361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22,361</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14,929</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14,929</w:t>
            </w:r>
          </w:p>
        </w:tc>
        <w:tc>
          <w:tcPr>
            <w:tcW w:w="100" w:type="dxa"/>
            <w:vAlign w:val="bottom"/>
            <w:shd w:val="clear" w:color="auto" w:fill="CFF0FC"/>
          </w:tcPr>
          <w:p>
            <w:pPr>
              <w:spacing w:after="0"/>
              <w:rPr>
                <w:sz w:val="12"/>
                <w:szCs w:val="12"/>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93,455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258</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Issuance of common stock upon vesting of restricted stock units</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473,883</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w w:val="90"/>
              </w:rPr>
              <w:t>Payment of withholding taxes on net share settlements of equity awards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(162,950)</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(5,041)</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(5,041)</w:t>
            </w:r>
          </w:p>
        </w:tc>
      </w:tr>
      <w:tr>
        <w:trPr>
          <w:trHeight w:val="149"/>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929,597</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(929,597)</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Issuance of common stock upon for acquisition</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3,115,282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103,642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103,645</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Acquisition of a 51% interest in CarOffer, LLC</w:t>
            </w: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58,031</w:t>
            </w:r>
          </w:p>
        </w:tc>
        <w:tc>
          <w:tcPr>
            <w:tcW w:w="180" w:type="dxa"/>
            <w:vAlign w:val="bottom"/>
            <w:tcBorders>
              <w:right w:val="single" w:sz="8" w:color="auto"/>
            </w:tcBorders>
            <w:shd w:val="clear" w:color="auto" w:fill="CFF0FC"/>
          </w:tcPr>
          <w:p>
            <w:pPr>
              <w:spacing w:after="0"/>
              <w:rPr>
                <w:sz w:val="12"/>
                <w:szCs w:val="12"/>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(1,083)</w:t>
            </w:r>
          </w:p>
        </w:tc>
      </w:tr>
      <w:tr>
        <w:trPr>
          <w:trHeight w:val="20"/>
        </w:trPr>
        <w:tc>
          <w:tcPr>
            <w:tcW w:w="35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March 31, 2021</w:t>
            </w:r>
          </w:p>
        </w:tc>
        <w:tc>
          <w:tcPr>
            <w:tcW w:w="60" w:type="dxa"/>
            <w:vAlign w:val="bottom"/>
            <w:shd w:val="clear" w:color="auto" w:fill="CFF0FC"/>
          </w:tcPr>
          <w:p>
            <w:pPr>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55,221</w:t>
            </w:r>
          </w:p>
        </w:tc>
        <w:tc>
          <w:tcPr>
            <w:tcW w:w="180" w:type="dxa"/>
            <w:vAlign w:val="bottom"/>
            <w:tcBorders>
              <w:right w:val="single" w:sz="8" w:color="auto"/>
            </w:tcBorders>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98,759,576</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18,146,903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355,968</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151,773</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508,655</w:t>
            </w:r>
          </w:p>
        </w:tc>
        <w:tc>
          <w:tcPr>
            <w:tcW w:w="100" w:type="dxa"/>
            <w:vAlign w:val="bottom"/>
            <w:shd w:val="clear" w:color="auto" w:fill="CFF0FC"/>
          </w:tcPr>
          <w:p>
            <w:pPr>
              <w:spacing w:after="0"/>
              <w:rPr>
                <w:sz w:val="12"/>
                <w:szCs w:val="12"/>
                <w:color w:val="auto"/>
              </w:rPr>
            </w:pPr>
          </w:p>
        </w:tc>
      </w:tr>
      <w:tr>
        <w:trPr>
          <w:trHeight w:val="20"/>
        </w:trPr>
        <w:tc>
          <w:tcPr>
            <w:tcW w:w="3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500" w:type="dxa"/>
            <w:vAlign w:val="bottom"/>
          </w:tcPr>
          <w:p>
            <w:pPr>
              <w:spacing w:after="0"/>
              <w:rPr>
                <w:sz w:val="20"/>
                <w:szCs w:val="20"/>
                <w:color w:val="auto"/>
              </w:rPr>
            </w:pPr>
            <w:r>
              <w:rPr>
                <w:rFonts w:ascii="Arial" w:cs="Arial" w:eastAsia="Arial" w:hAnsi="Arial"/>
                <w:sz w:val="12"/>
                <w:szCs w:val="12"/>
                <w:color w:val="auto"/>
              </w:rPr>
              <w:t>Net income (loss)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(656)</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28,052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28,052</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15,253</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15,253</w:t>
            </w:r>
          </w:p>
        </w:tc>
        <w:tc>
          <w:tcPr>
            <w:tcW w:w="100" w:type="dxa"/>
            <w:vAlign w:val="bottom"/>
            <w:shd w:val="clear" w:color="auto" w:fill="CFF0FC"/>
          </w:tcPr>
          <w:p>
            <w:pPr>
              <w:spacing w:after="0"/>
              <w:rPr>
                <w:sz w:val="12"/>
                <w:szCs w:val="12"/>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36,027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2"/>
                <w:szCs w:val="12"/>
                <w:color w:val="auto"/>
              </w:rPr>
            </w:pPr>
          </w:p>
        </w:tc>
      </w:tr>
      <w:tr>
        <w:trPr>
          <w:trHeight w:val="149"/>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Issuance of common stock upon vesting of restricted stock units</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391,468</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w w:val="90"/>
              </w:rPr>
              <w:t>Payment of withholding taxes on net share settlements of equity awards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(126,703)</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(3,167)</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(3,167)</w:t>
            </w: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right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w:t>
            </w:r>
          </w:p>
        </w:tc>
        <w:tc>
          <w:tcPr>
            <w:tcW w:w="100" w:type="dxa"/>
            <w:vAlign w:val="bottom"/>
            <w:tcBorders>
              <w:bottom w:val="single" w:sz="8" w:color="CFF0FC"/>
            </w:tcBorders>
          </w:tcPr>
          <w:p>
            <w:pPr>
              <w:spacing w:after="0"/>
              <w:rPr>
                <w:sz w:val="12"/>
                <w:szCs w:val="12"/>
                <w:color w:val="auto"/>
              </w:rPr>
            </w:pPr>
          </w:p>
        </w:tc>
      </w:tr>
      <w:tr>
        <w:trPr>
          <w:trHeight w:val="142"/>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June 30, 2021</w:t>
            </w:r>
          </w:p>
        </w:tc>
        <w:tc>
          <w:tcPr>
            <w:tcW w:w="60" w:type="dxa"/>
            <w:vAlign w:val="bottom"/>
            <w:shd w:val="clear" w:color="auto" w:fill="CFF0FC"/>
          </w:tcPr>
          <w:p>
            <w:pPr>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54,565</w:t>
            </w:r>
          </w:p>
        </w:tc>
        <w:tc>
          <w:tcPr>
            <w:tcW w:w="180" w:type="dxa"/>
            <w:vAlign w:val="bottom"/>
            <w:tcBorders>
              <w:right w:val="single" w:sz="8" w:color="auto"/>
            </w:tcBorders>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99,060,368</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18,146,903</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368,194</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179,825</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1,045</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549,181</w:t>
            </w:r>
          </w:p>
        </w:tc>
        <w:tc>
          <w:tcPr>
            <w:tcW w:w="100" w:type="dxa"/>
            <w:vAlign w:val="bottom"/>
            <w:shd w:val="clear" w:color="auto" w:fill="CFF0FC"/>
          </w:tcPr>
          <w:p>
            <w:pPr>
              <w:spacing w:after="0"/>
              <w:rPr>
                <w:sz w:val="12"/>
                <w:szCs w:val="12"/>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29"/>
        </w:trPr>
        <w:tc>
          <w:tcPr>
            <w:tcW w:w="3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December 31, 2019</w:t>
            </w:r>
          </w:p>
        </w:tc>
        <w:tc>
          <w:tcPr>
            <w:tcW w:w="60" w:type="dxa"/>
            <w:vAlign w:val="bottom"/>
            <w:shd w:val="clear" w:color="auto" w:fill="CFF0FC"/>
          </w:tcPr>
          <w:p>
            <w:pPr>
              <w:spacing w:after="0"/>
              <w:rPr>
                <w:sz w:val="20"/>
                <w:szCs w:val="20"/>
                <w:color w:val="auto"/>
              </w:rPr>
            </w:pPr>
            <w:r>
              <w:rPr>
                <w:rFonts w:ascii="Arial" w:cs="Arial" w:eastAsia="Arial" w:hAnsi="Arial"/>
                <w:sz w:val="9"/>
                <w:szCs w:val="9"/>
                <w:color w:val="auto"/>
                <w:w w:val="78"/>
              </w:rPr>
              <w:t>$</w:t>
            </w: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91,819,649</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20,314,644</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205,234</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51,859</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(350)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256,855</w:t>
            </w:r>
          </w:p>
        </w:tc>
        <w:tc>
          <w:tcPr>
            <w:tcW w:w="100" w:type="dxa"/>
            <w:vAlign w:val="bottom"/>
            <w:shd w:val="clear" w:color="auto" w:fill="CFF0FC"/>
          </w:tcPr>
          <w:p>
            <w:pPr>
              <w:spacing w:after="0"/>
              <w:rPr>
                <w:sz w:val="12"/>
                <w:szCs w:val="12"/>
                <w:color w:val="auto"/>
              </w:rPr>
            </w:pPr>
          </w:p>
        </w:tc>
      </w:tr>
      <w:tr>
        <w:trPr>
          <w:trHeight w:val="149"/>
        </w:trPr>
        <w:tc>
          <w:tcPr>
            <w:tcW w:w="3500" w:type="dxa"/>
            <w:vAlign w:val="bottom"/>
          </w:tcPr>
          <w:p>
            <w:pPr>
              <w:spacing w:after="0"/>
              <w:rPr>
                <w:sz w:val="20"/>
                <w:szCs w:val="20"/>
                <w:color w:val="auto"/>
              </w:rPr>
            </w:pPr>
            <w:r>
              <w:rPr>
                <w:rFonts w:ascii="Arial" w:cs="Arial" w:eastAsia="Arial" w:hAnsi="Arial"/>
                <w:sz w:val="12"/>
                <w:szCs w:val="12"/>
                <w:color w:val="auto"/>
              </w:rPr>
              <w:t>Net income</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12,696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12,696</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11,793</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11,793</w:t>
            </w:r>
          </w:p>
        </w:tc>
        <w:tc>
          <w:tcPr>
            <w:tcW w:w="100" w:type="dxa"/>
            <w:vAlign w:val="bottom"/>
            <w:shd w:val="clear" w:color="auto" w:fill="CFF0FC"/>
          </w:tcPr>
          <w:p>
            <w:pPr>
              <w:spacing w:after="0"/>
              <w:rPr>
                <w:sz w:val="12"/>
                <w:szCs w:val="12"/>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160,668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Issuance of common stock upon vesting of restricted stock units</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308,303</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w w:val="90"/>
              </w:rPr>
              <w:t>Payment of withholding taxes on net share settlements of equity awards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(106,934)</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(3,397)</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(3,397)</w:t>
            </w:r>
          </w:p>
        </w:tc>
      </w:tr>
      <w:tr>
        <w:trPr>
          <w:trHeight w:val="149"/>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335,741</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(335,741)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(493)</w:t>
            </w:r>
          </w:p>
        </w:tc>
      </w:tr>
      <w:tr>
        <w:trPr>
          <w:trHeight w:val="20"/>
        </w:trPr>
        <w:tc>
          <w:tcPr>
            <w:tcW w:w="35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March 31, 2020</w:t>
            </w:r>
          </w:p>
        </w:tc>
        <w:tc>
          <w:tcPr>
            <w:tcW w:w="60" w:type="dxa"/>
            <w:vAlign w:val="bottom"/>
            <w:shd w:val="clear" w:color="auto" w:fill="CFF0FC"/>
          </w:tcPr>
          <w:p>
            <w:pPr>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92,517,427</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19,978,903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214,143</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64,555</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(843)</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277,968</w:t>
            </w:r>
          </w:p>
        </w:tc>
        <w:tc>
          <w:tcPr>
            <w:tcW w:w="100" w:type="dxa"/>
            <w:vAlign w:val="bottom"/>
            <w:shd w:val="clear" w:color="auto" w:fill="CFF0FC"/>
          </w:tcPr>
          <w:p>
            <w:pPr>
              <w:spacing w:after="0"/>
              <w:rPr>
                <w:sz w:val="12"/>
                <w:szCs w:val="12"/>
                <w:color w:val="auto"/>
              </w:rPr>
            </w:pPr>
          </w:p>
        </w:tc>
      </w:tr>
      <w:tr>
        <w:trPr>
          <w:trHeight w:val="142"/>
        </w:trPr>
        <w:tc>
          <w:tcPr>
            <w:tcW w:w="3500" w:type="dxa"/>
            <w:vAlign w:val="bottom"/>
          </w:tcPr>
          <w:p>
            <w:pPr>
              <w:spacing w:after="0"/>
              <w:rPr>
                <w:sz w:val="20"/>
                <w:szCs w:val="20"/>
                <w:color w:val="auto"/>
              </w:rPr>
            </w:pPr>
            <w:r>
              <w:rPr>
                <w:rFonts w:ascii="Arial" w:cs="Arial" w:eastAsia="Arial" w:hAnsi="Arial"/>
                <w:sz w:val="12"/>
                <w:szCs w:val="12"/>
                <w:color w:val="auto"/>
              </w:rPr>
              <w:t>Net income</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7,131</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7,131</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12,249</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12,249</w:t>
            </w:r>
          </w:p>
        </w:tc>
        <w:tc>
          <w:tcPr>
            <w:tcW w:w="100" w:type="dxa"/>
            <w:vAlign w:val="bottom"/>
            <w:shd w:val="clear" w:color="auto" w:fill="CFF0FC"/>
          </w:tcPr>
          <w:p>
            <w:pPr>
              <w:spacing w:after="0"/>
              <w:rPr>
                <w:sz w:val="12"/>
                <w:szCs w:val="12"/>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84,796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415</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Issuance of common stock upon vesting of restricted stock units</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375,645</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500" w:type="dxa"/>
            <w:vAlign w:val="bottom"/>
          </w:tcPr>
          <w:p>
            <w:pPr>
              <w:spacing w:after="0"/>
              <w:rPr>
                <w:sz w:val="20"/>
                <w:szCs w:val="20"/>
                <w:color w:val="auto"/>
              </w:rPr>
            </w:pPr>
            <w:r>
              <w:rPr>
                <w:rFonts w:ascii="Arial" w:cs="Arial" w:eastAsia="Arial" w:hAnsi="Arial"/>
                <w:sz w:val="12"/>
                <w:szCs w:val="12"/>
                <w:color w:val="auto"/>
              </w:rPr>
              <w:t>Payment of withholding taxes and option costs on net share</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500" w:type="dxa"/>
            <w:vAlign w:val="bottom"/>
          </w:tcPr>
          <w:p>
            <w:pPr>
              <w:ind w:left="100"/>
              <w:spacing w:after="0"/>
              <w:rPr>
                <w:sz w:val="20"/>
                <w:szCs w:val="20"/>
                <w:color w:val="auto"/>
              </w:rPr>
            </w:pPr>
            <w:r>
              <w:rPr>
                <w:rFonts w:ascii="Arial" w:cs="Arial" w:eastAsia="Arial" w:hAnsi="Arial"/>
                <w:sz w:val="12"/>
                <w:szCs w:val="12"/>
                <w:color w:val="auto"/>
              </w:rPr>
              <w:t>settlement of restricted stock units and stock options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(119,009)</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(2,389)</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(2,389)</w:t>
            </w: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3,748</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(3,748)</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right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w:t>
            </w:r>
          </w:p>
        </w:tc>
        <w:tc>
          <w:tcPr>
            <w:tcW w:w="100" w:type="dxa"/>
            <w:vAlign w:val="bottom"/>
            <w:tcBorders>
              <w:bottom w:val="single" w:sz="8" w:color="CFF0FC"/>
            </w:tcBorders>
          </w:tcPr>
          <w:p>
            <w:pPr>
              <w:spacing w:after="0"/>
              <w:rPr>
                <w:sz w:val="12"/>
                <w:szCs w:val="12"/>
                <w:color w:val="auto"/>
              </w:rPr>
            </w:pPr>
          </w:p>
        </w:tc>
      </w:tr>
      <w:tr>
        <w:trPr>
          <w:trHeight w:val="142"/>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June 30, 2020</w:t>
            </w:r>
          </w:p>
        </w:tc>
        <w:tc>
          <w:tcPr>
            <w:tcW w:w="60" w:type="dxa"/>
            <w:vAlign w:val="bottom"/>
            <w:shd w:val="clear" w:color="auto" w:fill="CFF0FC"/>
          </w:tcPr>
          <w:p>
            <w:pPr>
              <w:spacing w:after="0"/>
              <w:rPr>
                <w:sz w:val="20"/>
                <w:szCs w:val="20"/>
                <w:color w:val="auto"/>
              </w:rPr>
            </w:pPr>
            <w:r>
              <w:rPr>
                <w:rFonts w:ascii="Arial" w:cs="Arial" w:eastAsia="Arial" w:hAnsi="Arial"/>
                <w:sz w:val="9"/>
                <w:szCs w:val="9"/>
                <w:color w:val="auto"/>
                <w:w w:val="78"/>
              </w:rPr>
              <w:t>$</w:t>
            </w: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92,862,607</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19,975,155</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224,418</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71,686</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(362)</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295,855</w:t>
            </w:r>
          </w:p>
        </w:tc>
        <w:tc>
          <w:tcPr>
            <w:tcW w:w="100" w:type="dxa"/>
            <w:vAlign w:val="bottom"/>
            <w:shd w:val="clear" w:color="auto" w:fill="CFF0FC"/>
          </w:tcPr>
          <w:p>
            <w:pPr>
              <w:spacing w:after="0"/>
              <w:rPr>
                <w:sz w:val="12"/>
                <w:szCs w:val="12"/>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26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4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46,947</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w w:val="97"/>
              </w:rPr>
              <w:t>Adjustments to reconcile consolidated net income to net cash provided by operating activities: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18,831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Currency gain on foreign denominated transactions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Deferred taxes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28,747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(47,982)</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Arial" w:cs="Arial" w:eastAsia="Arial" w:hAnsi="Arial"/>
                <w:sz w:val="18"/>
                <w:szCs w:val="18"/>
                <w:color w:val="auto"/>
              </w:rPr>
              <w:t>Prepaid expenses, prepaid income taxes, and other assets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(4,018)</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contract costs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(5,098)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29"/>
        </w:trPr>
        <w:tc>
          <w:tcPr>
            <w:tcW w:w="72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15,333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(25,914)</w:t>
            </w: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accrued income taxes, and other liabilities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29"/>
        </w:trPr>
        <w:tc>
          <w:tcPr>
            <w:tcW w:w="72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obligations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(204)</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81,335</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(4,672)</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Capitalization of website development costs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(2,109)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Cash paid for acquisitions, net of cash acquired</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(64,273)</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(21,004)</w:t>
            </w: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certificates of deposit</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(45,000)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Maturities of certificates of deposit</w:t>
            </w:r>
          </w:p>
        </w:tc>
        <w:tc>
          <w:tcPr>
            <w:tcW w:w="4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4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(56,054)</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Payment of finance lease obligations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Payment of withholding taxes and option costs on net share settlement of</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and stock options</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(8,208)</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Repayment of line of credit</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(14,250)</w:t>
            </w: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(22,073)</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200,926</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203,999</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140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Unpaid purchases of property and equipment</w:t>
            </w:r>
          </w:p>
        </w:tc>
        <w:tc>
          <w:tcPr>
            <w:tcW w:w="14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Capitalized stock-based compensation expense in website development and</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internal-use software costs</w:t>
            </w:r>
          </w:p>
        </w:tc>
        <w:tc>
          <w:tcPr>
            <w:tcW w:w="140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Cash paid for operating lease liabilities</w:t>
            </w:r>
          </w:p>
        </w:tc>
        <w:tc>
          <w:tcPr>
            <w:tcW w:w="14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8,064</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Obtaining a right-of-use asset in exchange for a finance lease liability</w:t>
            </w:r>
          </w:p>
        </w:tc>
        <w:tc>
          <w:tcPr>
            <w:tcW w:w="140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Obtaining a right-of-use asset in exchange for an operating lease liability</w:t>
            </w:r>
          </w:p>
        </w:tc>
        <w:tc>
          <w:tcPr>
            <w:tcW w:w="14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12,336</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Issuance of stock for acquisition</w:t>
            </w:r>
          </w:p>
        </w:tc>
        <w:tc>
          <w:tcPr>
            <w:tcW w:w="140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103,645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CarGurus, Inc. (the “Company”)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w:t>
      </w:r>
    </w:p>
    <w:p>
      <w:pPr>
        <w:spacing w:after="0" w:line="225"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7"/>
          <w:szCs w:val="17"/>
          <w:color w:val="auto"/>
        </w:rPr>
        <w:t>The Company operates principally in the United States. In the United States, it also operates the Autolist online marketplace, which it wholly owns, and the CarOffer, LLC (“CarOffer”) digital wholesale marketplace, in which it has a 51% interest, as independent brands. In addition to the United States, the Company operates online marketplaces under the CarGurus brand in Canada and the United Kingdom. In the United Kingdom, it also operates the PistonHeads online marketplace, which it wholly owns, as an independent brand. The Company also operated online marketplaces in Germany, Italy, and Spain until it ceased the operations of each of these marketplaces in the second quarter of 2020.</w:t>
      </w:r>
    </w:p>
    <w:p>
      <w:pPr>
        <w:spacing w:after="0" w:line="176" w:lineRule="exact"/>
        <w:rPr>
          <w:sz w:val="20"/>
          <w:szCs w:val="20"/>
          <w:color w:val="auto"/>
        </w:rPr>
      </w:pPr>
    </w:p>
    <w:p>
      <w:pPr>
        <w:jc w:val="both"/>
        <w:ind w:firstLine="382"/>
        <w:spacing w:after="0" w:line="342" w:lineRule="auto"/>
        <w:rPr>
          <w:sz w:val="20"/>
          <w:szCs w:val="20"/>
          <w:color w:val="auto"/>
        </w:rPr>
      </w:pPr>
      <w:r>
        <w:rPr>
          <w:rFonts w:ascii="Arial" w:cs="Arial" w:eastAsia="Arial" w:hAnsi="Arial"/>
          <w:sz w:val="16"/>
          <w:szCs w:val="16"/>
          <w:color w:val="auto"/>
        </w:rPr>
        <w:t>The Company has subsidiaries in the United States, Canada, Ireland, and the United Kingdom. Additionally, it has two reportable segments, United States and International. See Note 13 of the Unaudited Condensed Consolidated Financial Statements included elsewhere in this Quarterly Report.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The accompanying interim condensed consolidated financial statements (the “Unaudited Condensed Consolidated Financial Statements”) are unaudited. The Unaudited Condensed Consolidated Financial Statements and related disclosures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spacing w:after="0" w:line="188" w:lineRule="exact"/>
        <w:rPr>
          <w:sz w:val="20"/>
          <w:szCs w:val="20"/>
          <w:color w:val="auto"/>
        </w:rPr>
      </w:pPr>
    </w:p>
    <w:p>
      <w:pPr>
        <w:jc w:val="both"/>
        <w:ind w:firstLine="382"/>
        <w:spacing w:after="0" w:line="272" w:lineRule="auto"/>
        <w:rPr>
          <w:sz w:val="20"/>
          <w:szCs w:val="20"/>
          <w:color w:val="auto"/>
        </w:rPr>
      </w:pPr>
      <w:r>
        <w:rPr>
          <w:rFonts w:ascii="Arial" w:cs="Arial" w:eastAsia="Arial" w:hAnsi="Arial"/>
          <w:sz w:val="17"/>
          <w:szCs w:val="17"/>
          <w:color w:val="auto"/>
        </w:rPr>
        <w:t>The Unaudited Condensed Consolidated Financial Statements have also been prepared pursuant to the rules and regulations of the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June 30, 2021 and December 31, 2020, results of operations, comprehensive income, changes in shareholders’ equity for the three and six months ended June 30, 2021 and 2020 and cash flows for the six months ended June 30, 2021 and 2020. These interim period results are not necessarily indicative of the results to be expected for any other interim period or the full year.</w:t>
      </w:r>
    </w:p>
    <w:p>
      <w:pPr>
        <w:spacing w:after="0" w:line="17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 Unaudited Condensed Consolidated Financial Statements should be read in conjunction with the Company’s audited consolidated financial statements and the notes thereto included in the Company’s Annual Report on Form 10-K for the year ended December 31, 2020, filed with the SEC on February 12, 2021 (the “Annual Report”).</w:t>
      </w:r>
    </w:p>
    <w:p>
      <w:pPr>
        <w:spacing w:after="0" w:line="184"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In the Unaudited Condensed Consolidated Statements of Cash Flows for the six months ended June 30, 2020, the Company presented other non-current liabilities with accrued expenses, accrued income taxes and other current liabilities to conform to the current year presentation as it did not meet the disclosure threshold.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4"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recorded in the period in which they become known.</w:t>
      </w:r>
    </w:p>
    <w:p>
      <w:pPr>
        <w:spacing w:after="0" w:line="171" w:lineRule="exact"/>
        <w:rPr>
          <w:sz w:val="20"/>
          <w:szCs w:val="20"/>
          <w:color w:val="auto"/>
        </w:rPr>
      </w:pPr>
    </w:p>
    <w:p>
      <w:pPr>
        <w:jc w:val="both"/>
        <w:ind w:firstLine="382"/>
        <w:spacing w:after="0" w:line="218" w:lineRule="exact"/>
        <w:rPr>
          <w:sz w:val="20"/>
          <w:szCs w:val="20"/>
          <w:color w:val="auto"/>
        </w:rPr>
      </w:pPr>
      <w:r>
        <w:rPr>
          <w:rFonts w:ascii="Arial" w:cs="Arial" w:eastAsia="Arial" w:hAnsi="Arial"/>
          <w:sz w:val="18"/>
          <w:szCs w:val="18"/>
          <w:color w:val="auto"/>
        </w:rPr>
        <w:t>Significant estimates relied upon in preparing the Unaudited Condensed Consolidated Financial Statements include the determination of sales allowance and variable consideration in the Company’s revenue recognition, allowance for doubtful accounts, the valuation of a redeemable noncontrolling interest, the valuation of equity and liability-classified compensation awards under ASC 718, the expensing and capitalization of product, technology, and development costs for website development and internal</w:t>
      </w:r>
      <w:r>
        <w:rPr>
          <w:rFonts w:ascii="MS PGothic" w:cs="MS PGothic" w:eastAsia="MS PGothic" w:hAnsi="MS PGothic"/>
          <w:sz w:val="18"/>
          <w:szCs w:val="18"/>
          <w:color w:val="auto"/>
        </w:rPr>
        <w:t>‑</w:t>
      </w:r>
      <w:r>
        <w:rPr>
          <w:rFonts w:ascii="Arial" w:cs="Arial" w:eastAsia="Arial" w:hAnsi="Arial"/>
          <w:sz w:val="18"/>
          <w:szCs w:val="18"/>
          <w:color w:val="auto"/>
        </w:rPr>
        <w:t>use software, the valuation and recoverability of goodwill and intangible assets and other long-lived assets, and the recoverability of the Company’s net deferred tax assets and related valuation allowance. Accordingly, the Company considers these to be its critical accounting policies, and believes that of the Company’s significant accounting policies, these policies involve the greatest degree of judgment and complexity.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382"/>
        <w:spacing w:after="0" w:line="220"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204"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184"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three and six months ended June 30, 2021 and 2020, no individual customer accounted for more than 10% of total revenue.</w:t>
      </w:r>
    </w:p>
    <w:p>
      <w:pPr>
        <w:spacing w:after="0" w:line="225" w:lineRule="exact"/>
        <w:rPr>
          <w:sz w:val="20"/>
          <w:szCs w:val="20"/>
          <w:color w:val="auto"/>
        </w:rPr>
      </w:pPr>
    </w:p>
    <w:p>
      <w:pPr>
        <w:jc w:val="both"/>
        <w:ind w:firstLine="382"/>
        <w:spacing w:after="0" w:line="308" w:lineRule="auto"/>
        <w:rPr>
          <w:sz w:val="20"/>
          <w:szCs w:val="20"/>
          <w:color w:val="auto"/>
        </w:rPr>
      </w:pPr>
      <w:r>
        <w:rPr>
          <w:rFonts w:ascii="Arial" w:cs="Arial" w:eastAsia="Arial" w:hAnsi="Arial"/>
          <w:sz w:val="18"/>
          <w:szCs w:val="18"/>
          <w:color w:val="auto"/>
        </w:rPr>
        <w:t>As of June 30, 2021, one customer accounted for 29% of net accounts receivable. As of December 31, 2020, one customer accounted for approximately 10% of net accounts receivable.</w:t>
      </w:r>
    </w:p>
    <w:p>
      <w:pPr>
        <w:spacing w:after="0" w:line="144"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Included in net accounts receivable at June 30, 2021 and December 31, 2020 are $6,012 and $7,426, respectively, of unbilled accounts receivable relating primarily to advertising customers billed in a period subsequent to services rendered.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The Unaudited Condensed Consolidated Financial Statements reflect the application of certain significant accounting policies as described below and elsewhere in these notes to the Unaudited Condensed Consolidated Financial Statements. As of June 30, 2021, the Company’s significant accounting policies and estimates, which are detailed in the Annual Report, have not changed, other than those impacted by the acquisition of a 51% interest in CarOffer and recently issued equity awards, as described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left="380"/>
        <w:spacing w:after="0"/>
        <w:rPr>
          <w:sz w:val="20"/>
          <w:szCs w:val="20"/>
          <w:color w:val="auto"/>
        </w:rPr>
      </w:pPr>
      <w:r>
        <w:rPr>
          <w:rFonts w:ascii="Arial" w:cs="Arial" w:eastAsia="Arial" w:hAnsi="Arial"/>
          <w:sz w:val="18"/>
          <w:szCs w:val="18"/>
          <w:i w:val="1"/>
          <w:iCs w:val="1"/>
          <w:color w:val="auto"/>
        </w:rPr>
        <w:t>Redeemable Noncontrolling Interest</w:t>
      </w:r>
    </w:p>
    <w:p>
      <w:pPr>
        <w:spacing w:after="0" w:line="117"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6"/>
          <w:szCs w:val="16"/>
          <w:color w:val="auto"/>
        </w:rPr>
        <w:t>In connection with the Company’s acquisition of a 51% interest in CarOffer on January 14, 2021, the Company became a party with the noncontrolling equity holders of CarOffer to the CarOffer Operating Agreement (as defined in Note 4 of the Unaudited Condensed Consolidated Financial Statements included elsewhere in this Quarterly Report), which, among other matters, sets forth certain put and call rights described in Note 4 of the Unaudited Condensed Consolidated Financial Statements included elsewhere in this Quarterly Report. The CarOffer Operating Agreement provides the Company with the right to purchase, and the noncontrolling equity holders with the right to sell to the Company, the noncontrolling CarOffer equity holders’ equity interests in CarOffer at a contractually defined formulaic purchase price, which is based on a multiple of earnings. As the purchase is contingently redeemable at the option of the noncontrolling equity holders, the Company classifies the carrying amount of the redeemable noncontrolling interests in the mezzanine section on the Unaudited Condensed Consolidated Balance Sheet, which is presented above the equity section and below the liabilities section. As of the acquisition date, the noncontrolling interest was recognized at fair value computed using the Least Square Monte Carlo Simulation approach. Significant inputs to the model include market price of risk, volatility, correlation and risk-free rate.</w:t>
      </w:r>
    </w:p>
    <w:p>
      <w:pPr>
        <w:spacing w:after="0" w:line="209" w:lineRule="exact"/>
        <w:rPr>
          <w:sz w:val="20"/>
          <w:szCs w:val="20"/>
          <w:color w:val="auto"/>
        </w:rPr>
      </w:pPr>
    </w:p>
    <w:p>
      <w:pPr>
        <w:jc w:val="both"/>
        <w:ind w:firstLine="382"/>
        <w:spacing w:after="0" w:line="301" w:lineRule="auto"/>
        <w:rPr>
          <w:sz w:val="20"/>
          <w:szCs w:val="20"/>
          <w:color w:val="auto"/>
        </w:rPr>
      </w:pPr>
      <w:r>
        <w:rPr>
          <w:rFonts w:ascii="Arial" w:cs="Arial" w:eastAsia="Arial" w:hAnsi="Arial"/>
          <w:sz w:val="16"/>
          <w:szCs w:val="16"/>
          <w:color w:val="auto"/>
        </w:rPr>
        <w:t>Subsequent to the Company’s acquisition of the 51% interest on January 14, 2021, the redeemable noncontrolling interest is measured at the greater of the amount that would be paid if settlement occurred as of the balance sheet date based on the contractually defined redemption value and its carrying amount adjusted for net loss attributable to the noncontrolling interest. Adjustments to the carrying value of the redeemable noncontrolling interest resulting from changes in the redemption value are recorded through retained earnings in the Unaudited Condensed Consolidated Balance Sheet.</w:t>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Revenue Recognition – Other Revenue</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 Company generates other revenue primarily from revenue relating to the wholesale sale of automobiles, display advertising revenue from auto manufacturers and other auto-related brand advertisers and revenue from partnerships with financing services companies. CarOffer revenue is comprised entirely of wholesale revenue.</w:t>
      </w:r>
    </w:p>
    <w:p>
      <w:pPr>
        <w:spacing w:after="0" w:line="184" w:lineRule="exact"/>
        <w:rPr>
          <w:sz w:val="20"/>
          <w:szCs w:val="20"/>
          <w:color w:val="auto"/>
        </w:rPr>
      </w:pPr>
    </w:p>
    <w:p>
      <w:pPr>
        <w:jc w:val="both"/>
        <w:ind w:firstLine="382"/>
        <w:spacing w:after="0" w:line="291" w:lineRule="auto"/>
        <w:rPr>
          <w:sz w:val="20"/>
          <w:szCs w:val="20"/>
          <w:color w:val="auto"/>
        </w:rPr>
      </w:pPr>
      <w:r>
        <w:rPr>
          <w:rFonts w:ascii="Arial" w:cs="Arial" w:eastAsia="Arial" w:hAnsi="Arial"/>
          <w:sz w:val="16"/>
          <w:szCs w:val="16"/>
          <w:color w:val="auto"/>
        </w:rPr>
        <w:t>Wholesale revenue includes transaction fees earned by CarOffer from facilitating the purchase and sale of vehicles between dealers, where CarOffer collects fees from both the buyer and seller. CarOffer also sells vehicles to dealers that CarOffer acquires at other marketplaces or directly from consumers</w:t>
      </w:r>
    </w:p>
    <w:p>
      <w:pPr>
        <w:spacing w:after="0" w:line="260" w:lineRule="auto"/>
        <w:rPr>
          <w:sz w:val="20"/>
          <w:szCs w:val="20"/>
          <w:color w:val="auto"/>
        </w:rPr>
      </w:pPr>
      <w:r>
        <w:rPr>
          <w:rFonts w:ascii="Arial" w:cs="Arial" w:eastAsia="Arial" w:hAnsi="Arial"/>
          <w:sz w:val="18"/>
          <w:szCs w:val="18"/>
          <w:color w:val="auto"/>
        </w:rPr>
        <w:t>– in these instances, CarOffer collects a transaction fee from the buyer. CarOffer also charges the buyer fees to perform inspection and transportation services for all wholesale transactions.</w:t>
      </w:r>
    </w:p>
    <w:p>
      <w:pPr>
        <w:spacing w:after="0" w:line="185" w:lineRule="exact"/>
        <w:rPr>
          <w:sz w:val="20"/>
          <w:szCs w:val="20"/>
          <w:color w:val="auto"/>
        </w:rPr>
      </w:pPr>
    </w:p>
    <w:p>
      <w:pPr>
        <w:jc w:val="both"/>
        <w:ind w:right="20" w:firstLine="382"/>
        <w:spacing w:after="0" w:line="342" w:lineRule="auto"/>
        <w:rPr>
          <w:sz w:val="20"/>
          <w:szCs w:val="20"/>
          <w:color w:val="auto"/>
        </w:rPr>
      </w:pPr>
      <w:r>
        <w:rPr>
          <w:rFonts w:ascii="Arial" w:cs="Arial" w:eastAsia="Arial" w:hAnsi="Arial"/>
          <w:sz w:val="16"/>
          <w:szCs w:val="16"/>
          <w:color w:val="auto"/>
        </w:rPr>
        <w:t>For wholesale transactions, CarOffer generally does not control the vehicle and therefore acts as an agent in the transaction. Revenue earned from the fees for facilitating these wholesale transactions is recognized at a point in time when the vehicle is sold and revenue is recognized on a net basis.</w:t>
      </w:r>
    </w:p>
    <w:p>
      <w:pPr>
        <w:spacing w:after="0" w:line="124" w:lineRule="exact"/>
        <w:rPr>
          <w:sz w:val="20"/>
          <w:szCs w:val="20"/>
          <w:color w:val="auto"/>
        </w:rPr>
      </w:pPr>
    </w:p>
    <w:p>
      <w:pPr>
        <w:jc w:val="both"/>
        <w:ind w:firstLine="382"/>
        <w:spacing w:after="0" w:line="255" w:lineRule="auto"/>
        <w:rPr>
          <w:sz w:val="20"/>
          <w:szCs w:val="20"/>
          <w:color w:val="auto"/>
        </w:rPr>
      </w:pPr>
      <w:r>
        <w:rPr>
          <w:rFonts w:ascii="Arial" w:cs="Arial" w:eastAsia="Arial" w:hAnsi="Arial"/>
          <w:sz w:val="18"/>
          <w:szCs w:val="18"/>
          <w:color w:val="auto"/>
        </w:rPr>
        <w:t>For vehicles sold to dealers that are acquired at other marketplaces and directly from consumers, CarOffer recognizes the vehicles on its balance sheet in inventory for the short period of time it possesses the vehicle title and the fees received for the vehicle are typically recognized on a net basis. In limited circumstances, typically during an arbitration process, CarOffer acquires vehicles in transactions for which it is deemed to control the vehicle and therefore is deemed to be the principal. In these situations, the inventory is recorded on the balance sheet and valued at the lower of cost or net realizable value. The Company records inventory within prepaid expenses, prepaid income taxes and other current assets within the Unaudited Condensed Consolidated Balance Sheets.</w:t>
      </w:r>
    </w:p>
    <w:p>
      <w:pPr>
        <w:spacing w:after="0" w:line="192"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CarOffer is deemed to control both inspection and transportation services, as it is primarily responsible for fulfillment and therefore acts as a principal. CarOffer leverages a network of third-party inspection service providers and transportation carriers. Revenue from fees for inspection services is recognized at the point in time when the inspection is performed and revenue from fees for transportation services is recognized over time as delivery is completed. Unearned revenue related to unsatisfied performance obligations is recorded as deferred revenue.</w:t>
      </w:r>
    </w:p>
    <w:p>
      <w:pPr>
        <w:spacing w:after="0" w:line="279"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i w:val="1"/>
          <w:iCs w:val="1"/>
          <w:color w:val="auto"/>
        </w:rPr>
        <w:t>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Compensation</w:t>
      </w:r>
    </w:p>
    <w:p>
      <w:pPr>
        <w:spacing w:after="0" w:line="117" w:lineRule="exact"/>
        <w:rPr>
          <w:sz w:val="20"/>
          <w:szCs w:val="20"/>
          <w:color w:val="auto"/>
        </w:rPr>
      </w:pPr>
    </w:p>
    <w:p>
      <w:pPr>
        <w:ind w:left="380"/>
        <w:spacing w:after="0" w:line="184" w:lineRule="exact"/>
        <w:rPr>
          <w:sz w:val="20"/>
          <w:szCs w:val="20"/>
          <w:color w:val="auto"/>
        </w:rPr>
      </w:pPr>
      <w:r>
        <w:rPr>
          <w:rFonts w:ascii="Arial" w:cs="Arial" w:eastAsia="Arial" w:hAnsi="Arial"/>
          <w:sz w:val="16"/>
          <w:szCs w:val="16"/>
          <w:color w:val="auto"/>
        </w:rPr>
        <w:t>For stock</w:t>
      </w:r>
      <w:r>
        <w:rPr>
          <w:rFonts w:ascii="MS PGothic" w:cs="MS PGothic" w:eastAsia="MS PGothic" w:hAnsi="MS PGothic"/>
          <w:sz w:val="16"/>
          <w:szCs w:val="16"/>
          <w:color w:val="auto"/>
        </w:rPr>
        <w:t>‑</w:t>
      </w:r>
      <w:r>
        <w:rPr>
          <w:rFonts w:ascii="Arial" w:cs="Arial" w:eastAsia="Arial" w:hAnsi="Arial"/>
          <w:sz w:val="16"/>
          <w:szCs w:val="16"/>
          <w:color w:val="auto"/>
        </w:rPr>
        <w:t>based awards granted under the Company’s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plans, the fair value of each award is determined on the date of grant.</w:t>
      </w:r>
    </w:p>
    <w:p>
      <w:pPr>
        <w:spacing w:after="0" w:line="248"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For restricted stock units (“RSUs”) granted subject to service-based vesting conditions, the fair value is determined based on the closing price of the Company’s Class A common stock, par value $0.001 per share (the “Class A common stock”), as reported on the Nasdaq Global Select Market on the date of grant. RSUs granted subject to service-based vesting conditions generally vest over a four-year requisite service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ind w:firstLine="382"/>
        <w:spacing w:after="0" w:line="279" w:lineRule="auto"/>
        <w:rPr>
          <w:sz w:val="20"/>
          <w:szCs w:val="20"/>
          <w:color w:val="auto"/>
        </w:rPr>
      </w:pPr>
      <w:r>
        <w:rPr>
          <w:rFonts w:ascii="Arial" w:cs="Arial" w:eastAsia="Arial" w:hAnsi="Arial"/>
          <w:sz w:val="17"/>
          <w:szCs w:val="17"/>
          <w:color w:val="auto"/>
        </w:rPr>
        <w:t>For RSUs granted subject to market-based vesting conditions, the fair value is determined using the Monte Carlo simulation lattice model. The determination of the fair value using this model is affected by the Company’s stock price performance relative to the companies listed on the S&amp;P 500 as of December 31, 2020 and a number of assumptions including volatility, correlation coefficient, risk-free interest rate and expected dividends. RSUs granted subject to market-based vesting conditions vest upon achievement of specified levels of market conditions.</w:t>
      </w:r>
    </w:p>
    <w:p>
      <w:pPr>
        <w:spacing w:after="0" w:line="171" w:lineRule="exact"/>
        <w:rPr>
          <w:sz w:val="20"/>
          <w:szCs w:val="20"/>
          <w:color w:val="auto"/>
        </w:rPr>
      </w:pPr>
    </w:p>
    <w:p>
      <w:pPr>
        <w:jc w:val="both"/>
        <w:ind w:firstLine="382"/>
        <w:spacing w:after="0" w:line="221" w:lineRule="exact"/>
        <w:rPr>
          <w:sz w:val="20"/>
          <w:szCs w:val="20"/>
          <w:color w:val="auto"/>
        </w:rPr>
      </w:pPr>
      <w:r>
        <w:rPr>
          <w:rFonts w:ascii="Arial" w:cs="Arial" w:eastAsia="Arial" w:hAnsi="Arial"/>
          <w:sz w:val="17"/>
          <w:szCs w:val="17"/>
          <w:color w:val="auto"/>
        </w:rPr>
        <w:t>For stock options granted, the fair value is determined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The determination of the fair value is affected by the Company’s stock price and a number of assumptions including volatility, term, risk-free interest rate and dividend yield. Stock options granted generally have a term of ten years from the date of grant and generally vest over a four-year requisite service period.</w:t>
      </w:r>
    </w:p>
    <w:p>
      <w:pPr>
        <w:spacing w:after="0" w:line="202" w:lineRule="exact"/>
        <w:rPr>
          <w:sz w:val="20"/>
          <w:szCs w:val="20"/>
          <w:color w:val="auto"/>
        </w:rPr>
      </w:pPr>
    </w:p>
    <w:p>
      <w:pPr>
        <w:jc w:val="both"/>
        <w:ind w:firstLine="382"/>
        <w:spacing w:after="0" w:line="293" w:lineRule="auto"/>
        <w:rPr>
          <w:sz w:val="20"/>
          <w:szCs w:val="20"/>
          <w:color w:val="auto"/>
        </w:rPr>
      </w:pPr>
      <w:r>
        <w:rPr>
          <w:rFonts w:ascii="Arial" w:cs="Arial" w:eastAsia="Arial" w:hAnsi="Arial"/>
          <w:sz w:val="16"/>
          <w:szCs w:val="16"/>
          <w:color w:val="auto"/>
        </w:rPr>
        <w:t>In connection with the Company’s acquisition of a 51% interest in CarOffer, the unvested incentive units (“CO Incentive Units”) of CarOffer remained outstanding and will vest over the requisite service period. CO Incentive Units are liability-classified awards because the awards can be put to the Company at a formula price such that the holders do not bear the risks and rewards associated with equity ownership. For liability-classified awards, the fair value is determined on the date of issuance using a Least Square Monte Carlo simulation model. The determination of the fair value is affected by CarOffer’s equity value, EBITDA and revenue forecasts that drive the exercise price of future call/put rights, as well as a number of assumptions including market price of risk, volatility, correlation, and risk-free interest rate. Liability-classified awards are remeasured to fair value each period until settlement.</w:t>
      </w:r>
    </w:p>
    <w:p>
      <w:pPr>
        <w:spacing w:after="0" w:line="164"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Grants are subject to the CarOffer 2020 Equity Incentive Plan, adopted effective November 24, 2020 (the “2020 CO Plan”), the applicable award agreement, and the CarOffer Operating Agreement. Following the Company’s acquisition of the 51% interest in CarOffer on January 14, 2021, remaining unvested incentive interests will vest over a period of three (3) years, one third each on the first, second, and third anniversaries of January 14, 2021, provided that a grantee’s continuous service to CarOffer has not terminated on the applicable vesting date. Under the terms of the grants, vesting of unvested incentive interests is accelerated in the event of (i) a change of control of CarOffer (which, for the avoidance of doubt, does not include the Company’s acquisition of the 51% interest on January 14, 2021), (ii) the death or disability of the grantee, (iii) termination of the grantee’s employment with CarOffer without cause, or (iv) termination of grantee’s employment by the grantee for good reason. Upon termination of a grantee’s continuous service to CarOffer voluntarily by the grantee (other than for good reason) or by CarOffer for cause, all of such grantee’s unvested incentive interests are forfeited. In addition, if a grantee’s continuous service terminates then CarOffer has the option to repurchase any outstanding incentive interests from the grantee.</w:t>
      </w:r>
    </w:p>
    <w:p>
      <w:pPr>
        <w:spacing w:after="0" w:line="194"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7"/>
          <w:szCs w:val="17"/>
          <w:color w:val="auto"/>
        </w:rPr>
        <w:t>In addition to the 2020 CO Plan, on December 9, 2020 CarOffer entered into a Vesting Agreement (the “Vesting Agreement”) regarding the vesting of CarOffer equity interests beneficially owned by Bruce Thompson, the founder and CEO of CarOffer, and certain affiliated persons (the “T5 Holders”) in connection with the Company’s anticipated acquisition of a 51% interest in CarOffer. Pursuant to the Vesting Agreement, 432,592 Class CO CarOffer units (the “Subject Units”) beneficially owned by the T5 Holders will vest in three (3) equal installments on the first, second, and third anniversary of the closing of the CarOffer Acquisition. As more particularly described in the Vesting Agreement, unvested Subject Units are subject to forfeiture in the event that Mr. Thompson’s relationship with CarOffer terminates other than in the event of a termination without cause (as defined in the Vesting Agreement) or due to Mr. Thompson’s death or disability. The Vesting Agreement also provides for acceleration of any unvested Subject Units in the event of the termination of Mr. Thompson’s employment with CarOffer without cause, Mr. Thompson’s death or disability, or the consummation of an eligible liquidity event (as defined in the Vesting Agreement).</w:t>
      </w:r>
    </w:p>
    <w:p>
      <w:pPr>
        <w:spacing w:after="0" w:line="181" w:lineRule="exact"/>
        <w:rPr>
          <w:sz w:val="20"/>
          <w:szCs w:val="20"/>
          <w:color w:val="auto"/>
        </w:rPr>
      </w:pPr>
    </w:p>
    <w:p>
      <w:pPr>
        <w:jc w:val="both"/>
        <w:ind w:right="20" w:firstLine="382"/>
        <w:spacing w:after="0" w:line="277" w:lineRule="auto"/>
        <w:rPr>
          <w:sz w:val="20"/>
          <w:szCs w:val="20"/>
          <w:color w:val="auto"/>
        </w:rPr>
      </w:pPr>
      <w:r>
        <w:rPr>
          <w:rFonts w:ascii="Arial" w:cs="Arial" w:eastAsia="Arial" w:hAnsi="Arial"/>
          <w:sz w:val="18"/>
          <w:szCs w:val="18"/>
          <w:color w:val="auto"/>
        </w:rPr>
        <w:t>The Company issues shares for RSUs and stock option exercises out of its shares available for issuance. The Company issues CO Incentive Units out of CarOffer’s units available for issuance. The Company accounts for forfeitures when they occur.</w:t>
      </w:r>
    </w:p>
    <w:p>
      <w:pPr>
        <w:spacing w:after="0" w:line="170"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 Company recognizes compensation expense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84" w:lineRule="exact"/>
        <w:rPr>
          <w:sz w:val="20"/>
          <w:szCs w:val="20"/>
          <w:color w:val="auto"/>
        </w:rPr>
      </w:pPr>
    </w:p>
    <w:p>
      <w:pPr>
        <w:jc w:val="both"/>
        <w:ind w:firstLine="382"/>
        <w:spacing w:after="0" w:line="220" w:lineRule="exact"/>
        <w:rPr>
          <w:sz w:val="20"/>
          <w:szCs w:val="20"/>
          <w:color w:val="auto"/>
        </w:rPr>
      </w:pPr>
      <w:r>
        <w:rPr>
          <w:rFonts w:ascii="Arial" w:cs="Arial" w:eastAsia="Arial" w:hAnsi="Arial"/>
          <w:sz w:val="18"/>
          <w:szCs w:val="18"/>
          <w:color w:val="auto"/>
        </w:rPr>
        <w:t>The tax effect of differences between tax deductions related to stock compensation and the corresponding financial statement expense compensation are recorded to tax expense. Excess tax benefits recognized 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are classified as an operating activity in the Unaudited Condensed Consolidated Statements of Cash Flows.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382"/>
        <w:spacing w:after="0" w:line="255"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(“ASU 2019-12”). ASU 2019-12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standard is effective for fiscal years, and interim periods within those fiscal years, beginning after December 15, 2020, with early adoption permitted. The Company adopted the guidance on January 1, 2021. The adoption did not have an impact on the Unaudited Condensed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June 30, 2021, there are no new accounting pronouncements that the Company is considering adopting.</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The following table summarizes revenue from contracts with customers by geographical region and by revenue source for the three and six months ended June 30, 2021 and 2020.</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8"/>
        </w:trPr>
        <w:tc>
          <w:tcPr>
            <w:tcW w:w="3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6"/>
        </w:trPr>
        <w:tc>
          <w:tcPr>
            <w:tcW w:w="3760" w:type="dxa"/>
            <w:vAlign w:val="bottom"/>
            <w:tcBorders>
              <w:bottom w:val="single" w:sz="8" w:color="CFF0FC"/>
            </w:tcBorders>
          </w:tcPr>
          <w:p>
            <w:pPr>
              <w:spacing w:after="0"/>
              <w:rPr>
                <w:sz w:val="2"/>
                <w:szCs w:val="2"/>
                <w:color w:val="auto"/>
              </w:rPr>
            </w:pPr>
          </w:p>
        </w:tc>
        <w:tc>
          <w:tcPr>
            <w:tcW w:w="10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Marketplace subscription revenue</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134,088</w:t>
            </w: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75,457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266,116</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208,481</w:t>
            </w:r>
          </w:p>
        </w:tc>
        <w:tc>
          <w:tcPr>
            <w:tcW w:w="120" w:type="dxa"/>
            <w:vAlign w:val="bottom"/>
          </w:tcPr>
          <w:p>
            <w:pPr>
              <w:spacing w:after="0"/>
              <w:rPr>
                <w:sz w:val="19"/>
                <w:szCs w:val="19"/>
                <w:color w:val="auto"/>
              </w:rPr>
            </w:pPr>
          </w:p>
        </w:tc>
      </w:tr>
      <w:tr>
        <w:trPr>
          <w:trHeight w:val="230"/>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72,496</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14,289</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103,479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29,271</w:t>
            </w:r>
          </w:p>
        </w:tc>
        <w:tc>
          <w:tcPr>
            <w:tcW w:w="120" w:type="dxa"/>
            <w:vAlign w:val="bottom"/>
            <w:shd w:val="clear" w:color="auto" w:fill="CFF0FC"/>
          </w:tcPr>
          <w:p>
            <w:pPr>
              <w:spacing w:after="0"/>
              <w:rPr>
                <w:sz w:val="19"/>
                <w:szCs w:val="19"/>
                <w:color w:val="auto"/>
              </w:rPr>
            </w:pPr>
          </w:p>
        </w:tc>
      </w:tr>
      <w:tr>
        <w:trPr>
          <w:trHeight w:val="223"/>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206,584</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89,746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369,595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237,752</w:t>
            </w:r>
          </w:p>
        </w:tc>
        <w:tc>
          <w:tcPr>
            <w:tcW w:w="120" w:type="dxa"/>
            <w:vAlign w:val="bottom"/>
          </w:tcPr>
          <w:p>
            <w:pPr>
              <w:spacing w:after="0"/>
              <w:rPr>
                <w:sz w:val="19"/>
                <w:szCs w:val="19"/>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Marketplace subscription revenue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10,152</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13,338</w:t>
            </w:r>
          </w:p>
        </w:tc>
        <w:tc>
          <w:tcPr>
            <w:tcW w:w="120" w:type="dxa"/>
            <w:vAlign w:val="bottom"/>
          </w:tcPr>
          <w:p>
            <w:pPr>
              <w:spacing w:after="0"/>
              <w:rPr>
                <w:sz w:val="19"/>
                <w:szCs w:val="19"/>
                <w:color w:val="auto"/>
              </w:rPr>
            </w:pPr>
          </w:p>
        </w:tc>
      </w:tr>
      <w:tr>
        <w:trPr>
          <w:trHeight w:val="230"/>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FF0FC"/>
          </w:tcPr>
          <w:p>
            <w:pPr>
              <w:spacing w:after="0"/>
              <w:rPr>
                <w:sz w:val="19"/>
                <w:szCs w:val="19"/>
                <w:color w:val="auto"/>
              </w:rPr>
            </w:pPr>
          </w:p>
        </w:tc>
      </w:tr>
      <w:tr>
        <w:trPr>
          <w:trHeight w:val="223"/>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11,164</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14,674</w:t>
            </w:r>
          </w:p>
        </w:tc>
        <w:tc>
          <w:tcPr>
            <w:tcW w:w="120" w:type="dxa"/>
            <w:vAlign w:val="bottom"/>
          </w:tcPr>
          <w:p>
            <w:pPr>
              <w:spacing w:after="0"/>
              <w:rPr>
                <w:sz w:val="19"/>
                <w:szCs w:val="19"/>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Marketplace subscription revenue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144,240</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79,953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283,805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221,819</w:t>
            </w:r>
          </w:p>
        </w:tc>
        <w:tc>
          <w:tcPr>
            <w:tcW w:w="120" w:type="dxa"/>
            <w:vAlign w:val="bottom"/>
          </w:tcPr>
          <w:p>
            <w:pPr>
              <w:spacing w:after="0"/>
              <w:rPr>
                <w:sz w:val="19"/>
                <w:szCs w:val="19"/>
                <w:color w:val="auto"/>
              </w:rPr>
            </w:pPr>
          </w:p>
        </w:tc>
      </w:tr>
      <w:tr>
        <w:trPr>
          <w:trHeight w:val="230"/>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73,508</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14,784</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105,311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30,607</w:t>
            </w:r>
          </w:p>
        </w:tc>
        <w:tc>
          <w:tcPr>
            <w:tcW w:w="120" w:type="dxa"/>
            <w:vAlign w:val="bottom"/>
            <w:shd w:val="clear" w:color="auto" w:fill="CFF0FC"/>
          </w:tcPr>
          <w:p>
            <w:pPr>
              <w:spacing w:after="0"/>
              <w:rPr>
                <w:sz w:val="19"/>
                <w:szCs w:val="19"/>
                <w:color w:val="auto"/>
              </w:rPr>
            </w:pPr>
          </w:p>
        </w:tc>
      </w:tr>
      <w:tr>
        <w:trPr>
          <w:trHeight w:val="250"/>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217,748</w:t>
            </w: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94,737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389,116</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252,426</w:t>
            </w:r>
          </w:p>
        </w:tc>
        <w:tc>
          <w:tcPr>
            <w:tcW w:w="120" w:type="dxa"/>
            <w:vAlign w:val="bottom"/>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 Company provides disaggregation of revenue based on the marketplace subscription versus other revenue classification and based on geographic region in the table above as it believes these categories best depict how the nature, amount, timing and uncertainty of revenue and cash flows are affected by economic factors.</w:t>
      </w:r>
    </w:p>
    <w:p>
      <w:pPr>
        <w:spacing w:after="0" w:line="184"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ASC Topic 606, Revenue from Contracts with Customers (“Topic 606”) requires that the Company disclose the aggregate amount of transaction price that is allocated to performance obligations that have not yet been satisfied as of the relevant quarter end.</w:t>
      </w:r>
    </w:p>
    <w:p>
      <w:pPr>
        <w:spacing w:after="0" w:line="170" w:lineRule="exact"/>
        <w:rPr>
          <w:sz w:val="20"/>
          <w:szCs w:val="20"/>
          <w:color w:val="auto"/>
        </w:rPr>
      </w:pPr>
    </w:p>
    <w:p>
      <w:pPr>
        <w:jc w:val="both"/>
        <w:ind w:firstLine="382"/>
        <w:spacing w:after="0" w:line="342" w:lineRule="auto"/>
        <w:rPr>
          <w:sz w:val="20"/>
          <w:szCs w:val="20"/>
          <w:color w:val="auto"/>
        </w:rPr>
      </w:pPr>
      <w:r>
        <w:rPr>
          <w:rFonts w:ascii="Arial" w:cs="Arial" w:eastAsia="Arial" w:hAnsi="Arial"/>
          <w:sz w:val="16"/>
          <w:szCs w:val="16"/>
          <w:color w:val="auto"/>
        </w:rPr>
        <w:t>For contracts with an original expected duration greater than one year, the aggregate amount of the transaction price allocated to the performance obligations that were unsatisfied as of June 30, 2021 was approximately $18.7 million, which the Company expects to recognize over the next 12 months.</w:t>
      </w:r>
    </w:p>
    <w:p>
      <w:pPr>
        <w:spacing w:after="0" w:line="124" w:lineRule="exact"/>
        <w:rPr>
          <w:sz w:val="20"/>
          <w:szCs w:val="20"/>
          <w:color w:val="auto"/>
        </w:rPr>
      </w:pPr>
    </w:p>
    <w:p>
      <w:pPr>
        <w:jc w:val="both"/>
        <w:ind w:firstLine="382"/>
        <w:spacing w:after="0" w:line="301" w:lineRule="auto"/>
        <w:rPr>
          <w:sz w:val="20"/>
          <w:szCs w:val="20"/>
          <w:color w:val="auto"/>
        </w:rPr>
      </w:pPr>
      <w:r>
        <w:rPr>
          <w:rFonts w:ascii="Arial" w:cs="Arial" w:eastAsia="Arial" w:hAnsi="Arial"/>
          <w:sz w:val="16"/>
          <w:szCs w:val="16"/>
          <w:color w:val="auto"/>
        </w:rPr>
        <w:t>For contracts with an original expected duration of one year or less, the Company has applied the practical expedient available under Topic 606 to not disclose the amount of transaction price allocated to unsatisfied performance obligations as of June 30, 2021. For performance obligations not satisfied as of June 30, 2021, and to which this expedient applies, the nature of the performance obligations, the variable consideration and any consideration from contracts with customers not included in the transaction price is consistent with performance obligations satisfied as of June 30,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382"/>
        <w:spacing w:after="0" w:line="277" w:lineRule="auto"/>
        <w:rPr>
          <w:sz w:val="20"/>
          <w:szCs w:val="20"/>
          <w:color w:val="auto"/>
        </w:rPr>
      </w:pPr>
      <w:r>
        <w:rPr>
          <w:rFonts w:ascii="Arial" w:cs="Arial" w:eastAsia="Arial" w:hAnsi="Arial"/>
          <w:sz w:val="18"/>
          <w:szCs w:val="18"/>
          <w:color w:val="auto"/>
        </w:rPr>
        <w:t>Revenue recognized during the three months ended June 30, 2021 and 2020 and the six months ended June 30, 2021 and 2020, from amounts included in deferred revenue at the beginning of the period, was approximately $11,986, $5,042, $9,137 and $9,984, respectively.</w:t>
      </w:r>
    </w:p>
    <w:p>
      <w:pPr>
        <w:spacing w:after="0" w:line="170" w:lineRule="exact"/>
        <w:rPr>
          <w:sz w:val="20"/>
          <w:szCs w:val="20"/>
          <w:color w:val="auto"/>
        </w:rPr>
      </w:pPr>
    </w:p>
    <w:p>
      <w:pPr>
        <w:jc w:val="both"/>
        <w:ind w:firstLine="382"/>
        <w:spacing w:after="0" w:line="271" w:lineRule="auto"/>
        <w:rPr>
          <w:sz w:val="20"/>
          <w:szCs w:val="20"/>
          <w:color w:val="auto"/>
        </w:rPr>
      </w:pPr>
      <w:r>
        <w:rPr>
          <w:rFonts w:ascii="Arial" w:cs="Arial" w:eastAsia="Arial" w:hAnsi="Arial"/>
          <w:sz w:val="17"/>
          <w:szCs w:val="17"/>
          <w:color w:val="auto"/>
        </w:rPr>
        <w:t>In response to the COVID-19 pandemic, the Company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These fee reductions resulted in a modification to contracts with initial contractual periods greater than one month. For any contract modified, the Company calculated the remaining transaction price and allocated the consideration over the remaining performance obligations. The Company also waived subscription fees for paying dealers in the United Kingdom for the December 2020 and February 2021 service periods. These fee reductions are included in the Company’s variable consideration assessment. The fee reductions had an immaterial impact on the Company’s revenues for the three and six months ended June 30, 2021 and a material impact on the Company’s revenues for the three and six months ended June 30,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48" w:lineRule="exact"/>
        <w:rPr>
          <w:sz w:val="20"/>
          <w:szCs w:val="20"/>
          <w:color w:val="auto"/>
        </w:rPr>
      </w:pPr>
    </w:p>
    <w:p>
      <w:pPr>
        <w:jc w:val="both"/>
        <w:ind w:firstLine="382"/>
        <w:spacing w:after="0" w:line="273" w:lineRule="auto"/>
        <w:rPr>
          <w:sz w:val="20"/>
          <w:szCs w:val="20"/>
          <w:color w:val="auto"/>
        </w:rPr>
      </w:pPr>
      <w:r>
        <w:rPr>
          <w:rFonts w:ascii="Arial" w:cs="Arial" w:eastAsia="Arial" w:hAnsi="Arial"/>
          <w:sz w:val="17"/>
          <w:szCs w:val="17"/>
          <w:color w:val="auto"/>
        </w:rPr>
        <w:t>On January 14, 2021, the Company acquired a 51% interest in CarOffer, which provides an automated instant vehicle trade platform and is based in Addison, Texas, pursuant to the terms of a Membership Interest Purchase Agreement (the “Purchase Agreement”) dated as of December 9, 2020 (the “Agreement Date”), as amended, by and among the Company, CarOffer, CarOffer Investors Holding, LLC, a Delaware limited liability company (“TopCo”), each of the Members of TopCo (the “Members”), and Bruce T. Thompson, an individual residing in Texas (the “Members’ Representative”). This acquisition (the “CarOffer Acquisition”) is intended to add wholesale vehicle purchasing and selling capabilities to CarGurus’ portfolio of dealer offerings and create a complete and efficient digital solution for dealers to sell and acquire vehicles at both retail and wholesale.</w:t>
      </w:r>
    </w:p>
    <w:p>
      <w:pPr>
        <w:spacing w:after="0" w:line="218" w:lineRule="exact"/>
        <w:rPr>
          <w:sz w:val="20"/>
          <w:szCs w:val="20"/>
          <w:color w:val="auto"/>
        </w:rPr>
      </w:pPr>
    </w:p>
    <w:p>
      <w:pPr>
        <w:jc w:val="both"/>
        <w:ind w:firstLine="382"/>
        <w:spacing w:after="0" w:line="271" w:lineRule="auto"/>
        <w:rPr>
          <w:sz w:val="20"/>
          <w:szCs w:val="20"/>
          <w:color w:val="auto"/>
        </w:rPr>
      </w:pPr>
      <w:r>
        <w:rPr>
          <w:rFonts w:ascii="Arial" w:cs="Arial" w:eastAsia="Arial" w:hAnsi="Arial"/>
          <w:sz w:val="17"/>
          <w:szCs w:val="17"/>
          <w:color w:val="auto"/>
        </w:rPr>
        <w:t>Upon consummation of the transactions contemplated by the Purchase Agreement (the “Closing”), the Company acquired a 51% interest in CarOffer for an aggregate consideration of $173,155 (the “Total Consideration”), such Total Consideration consisting of (a) shares of Class A common stock in the aggregate amount of $103,645 (the “Stock Consideration”) and (b) $69,510 in cash (the “Cash Consideration”). The number of shares of Class A common stock issued following the Closing in connection with the Stock Consideration was 3,115,282, which was calculated by reference to a value of $22.51 per share, which equals the volume-weighted average closing price per share of Class A common stock on the Nasdaq Stock Market for the 28 consecutive trading days ending on the third Business Day (as defined in the Purchase Agreement) preceding the Agreement Date. Pursuant to the Purchase Agreement, the remaining equity in CarOffer (the “Remaining Equity”) is being retained by the then-current equity holders of CarOffer and subject to certain call and put arrangements discussed below.</w:t>
      </w:r>
    </w:p>
    <w:p>
      <w:pPr>
        <w:spacing w:after="0" w:line="205" w:lineRule="exact"/>
        <w:rPr>
          <w:sz w:val="20"/>
          <w:szCs w:val="20"/>
          <w:color w:val="auto"/>
        </w:rPr>
      </w:pPr>
    </w:p>
    <w:p>
      <w:pPr>
        <w:jc w:val="both"/>
        <w:ind w:firstLine="382"/>
        <w:spacing w:after="0" w:line="313" w:lineRule="auto"/>
        <w:rPr>
          <w:sz w:val="20"/>
          <w:szCs w:val="20"/>
          <w:color w:val="auto"/>
        </w:rPr>
      </w:pPr>
      <w:r>
        <w:rPr>
          <w:rFonts w:ascii="Arial" w:cs="Arial" w:eastAsia="Arial" w:hAnsi="Arial"/>
          <w:sz w:val="16"/>
          <w:szCs w:val="16"/>
          <w:color w:val="auto"/>
        </w:rPr>
        <w:t>Pursuant to the Purchase Agreement, the Company established a retention pool in an aggregate amount of $8,000 in the form of RSUs to be issued pursuant to the Company’s standard form of RSU agreement under the 2017 Plan, (i) $6,000 of which was granted to certain CarOffer employees following the Closing in accordance with the terms of the Purchase Agreement and (ii) $2,000 of which is available for issuance to future CarOffer employees in accordance with the terms of the Purchase Agreement. RSUs issued from the retention pool will be subject to vesting based on rendering of future services.</w:t>
      </w:r>
    </w:p>
    <w:p>
      <w:pPr>
        <w:spacing w:after="0" w:line="174"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As of June 30, 2021, the Company incurred total acquisition-related costs of $2,647 related to the CarOffer Acquisition, of which $65 and $709 was incurred during the three and six months ended June 30, 2021, respectively, and recorded as general and administrative operating expenses within the Unaudited Condensed Consolidated Income Statements. Acquisition-related costs were excluded from the purchase price allocation as they were primarily comprised of legal, professional and consulting expenses.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total consideration transferred.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Consideration Transferred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net of cash acquired</w:t>
            </w:r>
          </w:p>
        </w:tc>
        <w:tc>
          <w:tcPr>
            <w:tcW w:w="4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64,273</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acquired</w:t>
            </w:r>
          </w:p>
        </w:tc>
        <w:tc>
          <w:tcPr>
            <w:tcW w:w="4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w:t>
            </w:r>
          </w:p>
        </w:tc>
        <w:tc>
          <w:tcPr>
            <w:tcW w:w="4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consideration</w:t>
            </w:r>
          </w:p>
        </w:tc>
        <w:tc>
          <w:tcPr>
            <w:tcW w:w="4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103,645</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consideration transferred</w:t>
            </w:r>
          </w:p>
        </w:tc>
        <w:tc>
          <w:tcPr>
            <w:tcW w:w="4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173,155</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180" w:type="dxa"/>
            <w:vAlign w:val="bottom"/>
            <w:vMerge w:val="restart"/>
          </w:tcPr>
          <w:p>
            <w:pPr>
              <w:jc w:val="right"/>
              <w:ind w:right="271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ind w:firstLine="382"/>
        <w:spacing w:after="0" w:line="273" w:lineRule="auto"/>
        <w:rPr>
          <w:sz w:val="20"/>
          <w:szCs w:val="20"/>
          <w:color w:val="auto"/>
        </w:rPr>
      </w:pPr>
      <w:r>
        <w:rPr>
          <w:rFonts w:ascii="Arial" w:cs="Arial" w:eastAsia="Arial" w:hAnsi="Arial"/>
          <w:sz w:val="17"/>
          <w:szCs w:val="17"/>
          <w:color w:val="auto"/>
        </w:rPr>
        <w:t>The CarOffer Acquisition has been accounted for as a business combination under the acquisition method and, accordingly, the total consideration is allocated to the acquired assets and assumed liabilities. The Company’s 51% interest in CarOffer represents a controlling financial interest in the entity as the minority interest holders only have protective rights such that CarOffer is consolidated as of the acquisition date. The following table presents the preliminary purchase price allocation recorded in the Company’s Unaudited Condensed Consolidated Balance Sheet as of the acquisition date, which is subject to finalization for estimates of the fair value of assets acquired and liabilities assumed as of the acquisition date, including, but not limited to tangible assets, intangible assets and tax-related items, and the related tax effects of any changes made:</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Adjusted Fair</w:t>
            </w:r>
          </w:p>
        </w:tc>
      </w:tr>
      <w:tr>
        <w:trPr>
          <w:trHeight w:val="149"/>
        </w:trPr>
        <w:tc>
          <w:tcPr>
            <w:tcW w:w="7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Value at Date</w:t>
            </w:r>
          </w:p>
        </w:tc>
      </w:tr>
      <w:tr>
        <w:trPr>
          <w:trHeight w:val="171"/>
        </w:trPr>
        <w:tc>
          <w:tcPr>
            <w:tcW w:w="7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of Acquisition</w:t>
            </w:r>
          </w:p>
        </w:tc>
      </w:tr>
      <w:tr>
        <w:trPr>
          <w:trHeight w:val="223"/>
        </w:trPr>
        <w:tc>
          <w:tcPr>
            <w:tcW w:w="7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19"/>
                <w:szCs w:val="19"/>
                <w:color w:val="auto"/>
              </w:rPr>
            </w:pPr>
          </w:p>
        </w:tc>
      </w:tr>
      <w:tr>
        <w:trPr>
          <w:trHeight w:val="229"/>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prepaid income taxes and other current assets</w:t>
            </w:r>
          </w:p>
        </w:tc>
        <w:tc>
          <w:tcPr>
            <w:tcW w:w="3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r>
      <w:tr>
        <w:trPr>
          <w:trHeight w:val="229"/>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5"/>
                <w:szCs w:val="15"/>
                <w:color w:val="auto"/>
              </w:rPr>
              <w:t>(1)</w:t>
            </w:r>
          </w:p>
        </w:tc>
        <w:tc>
          <w:tcPr>
            <w:tcW w:w="3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104,100</w:t>
            </w:r>
          </w:p>
        </w:tc>
        <w:tc>
          <w:tcPr>
            <w:tcW w:w="100" w:type="dxa"/>
            <w:vAlign w:val="bottom"/>
            <w:shd w:val="clear" w:color="auto" w:fill="CFF0FC"/>
          </w:tcPr>
          <w:p>
            <w:pPr>
              <w:spacing w:after="0"/>
              <w:rPr>
                <w:sz w:val="19"/>
                <w:szCs w:val="19"/>
                <w:color w:val="auto"/>
              </w:rPr>
            </w:pPr>
          </w:p>
        </w:tc>
      </w:tr>
      <w:tr>
        <w:trPr>
          <w:trHeight w:val="229"/>
        </w:trPr>
        <w:tc>
          <w:tcPr>
            <w:tcW w:w="7940" w:type="dxa"/>
            <w:vAlign w:val="bottom"/>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(2)</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127,500</w:t>
            </w:r>
          </w:p>
        </w:tc>
        <w:tc>
          <w:tcPr>
            <w:tcW w:w="100" w:type="dxa"/>
            <w:vAlign w:val="bottom"/>
          </w:tcPr>
          <w:p>
            <w:pPr>
              <w:spacing w:after="0"/>
              <w:rPr>
                <w:sz w:val="19"/>
                <w:szCs w:val="19"/>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FF0FC"/>
          </w:tcPr>
          <w:p>
            <w:pPr>
              <w:spacing w:after="0"/>
              <w:rPr>
                <w:sz w:val="19"/>
                <w:szCs w:val="19"/>
                <w:color w:val="auto"/>
              </w:rPr>
            </w:pPr>
          </w:p>
        </w:tc>
      </w:tr>
      <w:tr>
        <w:trPr>
          <w:trHeight w:val="229"/>
        </w:trPr>
        <w:tc>
          <w:tcPr>
            <w:tcW w:w="7940" w:type="dxa"/>
            <w:vAlign w:val="bottom"/>
          </w:tcPr>
          <w:p>
            <w:pPr>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(8,888)</w:t>
            </w: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3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(15,513)</w:t>
            </w:r>
          </w:p>
        </w:tc>
      </w:tr>
      <w:tr>
        <w:trPr>
          <w:trHeight w:val="229"/>
        </w:trPr>
        <w:tc>
          <w:tcPr>
            <w:tcW w:w="7940" w:type="dxa"/>
            <w:vAlign w:val="bottom"/>
          </w:tcPr>
          <w:p>
            <w:pPr>
              <w:spacing w:after="0"/>
              <w:rPr>
                <w:sz w:val="20"/>
                <w:szCs w:val="20"/>
                <w:color w:val="auto"/>
              </w:rPr>
            </w:pPr>
            <w:r>
              <w:rPr>
                <w:rFonts w:ascii="Arial" w:cs="Arial" w:eastAsia="Arial" w:hAnsi="Arial"/>
                <w:sz w:val="18"/>
                <w:szCs w:val="18"/>
                <w:color w:val="auto"/>
              </w:rPr>
              <w:t>Operating lease liabilities - current</w:t>
            </w:r>
          </w:p>
        </w:tc>
        <w:tc>
          <w:tcPr>
            <w:tcW w:w="3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r>
      <w:tr>
        <w:trPr>
          <w:trHeight w:val="229"/>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non-current</w:t>
            </w:r>
          </w:p>
        </w:tc>
        <w:tc>
          <w:tcPr>
            <w:tcW w:w="3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(479)</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 xml:space="preserve">Redeemable noncontrolling interest </w:t>
            </w:r>
            <w:r>
              <w:rPr>
                <w:rFonts w:ascii="Arial" w:cs="Arial" w:eastAsia="Arial" w:hAnsi="Arial"/>
                <w:sz w:val="15"/>
                <w:szCs w:val="15"/>
                <w:color w:val="auto"/>
              </w:rPr>
              <w:t>(3)</w:t>
            </w:r>
          </w:p>
        </w:tc>
        <w:tc>
          <w:tcPr>
            <w:tcW w:w="3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(58,031)</w:t>
            </w:r>
          </w:p>
        </w:tc>
      </w:tr>
      <w:tr>
        <w:trPr>
          <w:trHeight w:val="223"/>
        </w:trPr>
        <w:tc>
          <w:tcPr>
            <w:tcW w:w="79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consideration transferred</w:t>
            </w: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540" w:hanging="262"/>
        <w:spacing w:after="0" w:line="25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Identifiable definite-lived intangible assets were comprised of developed technology, brand, and customer relationships of $63,000, $23,100, and $18,000, respectively, with estimated useful lives of 3 years, 11 years, and 3 years, respectively, which will be amortized on a straight-line basis over their estimated useful lives. The fair value of the developed technology has been estimated using the multi-period excess earnings method which is a variation of the income approach. The fair value of the brand and customer relationships has been estimated using the relief from royalty method and the with/without approach, respectively.</w:t>
      </w:r>
    </w:p>
    <w:p>
      <w:pPr>
        <w:spacing w:after="0" w:line="12" w:lineRule="exact"/>
        <w:rPr>
          <w:rFonts w:ascii="Arial" w:cs="Arial" w:eastAsia="Arial" w:hAnsi="Arial"/>
          <w:sz w:val="18"/>
          <w:szCs w:val="18"/>
          <w:color w:val="auto"/>
        </w:rPr>
      </w:pPr>
    </w:p>
    <w:p>
      <w:pPr>
        <w:jc w:val="both"/>
        <w:ind w:left="540" w:hanging="262"/>
        <w:spacing w:after="0" w:line="285"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Goodwill represents the excess value of the purchase price over net assets acquired, primarily attributable to adding wholesale vehicle acquisition and selling capabilities to CarGurus’ portfolio of dealer offerings. All goodwill is assigned to the United States reporting segment. For tax purposes, $29,006 of the goodwill is estimated to be deductible under IRC Section 197 and will be concluded upon finalization of the transaction cost study. In connection with the transaction, the Company accelerated certain stock options deemed to be outside of consideration transferred. Therefore, the Company recognized an additional $1,229 of stock-based compensation expense during the three months ended June 30, 2021.</w:t>
      </w:r>
    </w:p>
    <w:p>
      <w:pPr>
        <w:spacing w:after="0" w:line="1" w:lineRule="exact"/>
        <w:rPr>
          <w:rFonts w:ascii="Arial" w:cs="Arial" w:eastAsia="Arial" w:hAnsi="Arial"/>
          <w:sz w:val="16"/>
          <w:szCs w:val="16"/>
          <w:color w:val="auto"/>
        </w:rPr>
      </w:pPr>
    </w:p>
    <w:p>
      <w:pPr>
        <w:ind w:left="540" w:hanging="262"/>
        <w:spacing w:after="0" w:line="26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the redeemable noncontrolling interest has been estimated using the Least Square Monte Carlo Simulation approach. Significant inputs include market price of risk, volatility, correlation and risk-free rate.</w:t>
      </w:r>
    </w:p>
    <w:p>
      <w:pPr>
        <w:spacing w:after="0" w:line="200" w:lineRule="exact"/>
        <w:rPr>
          <w:sz w:val="20"/>
          <w:szCs w:val="20"/>
          <w:color w:val="auto"/>
        </w:rPr>
      </w:pPr>
    </w:p>
    <w:p>
      <w:pPr>
        <w:spacing w:after="0" w:line="228"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In addition, the Company, TopCo, each Member and CarOffer MidCo, LLC, a Delaware limited liability company, entered into the Second Amended and Restated Limited Liability Company Agreement, dated as of December 9, 2020 (the “CarOffer Operating Agreement”), pursuant to which, among other matters, the Company secured the right to appoint a majority of the members of the Board of Managers of CarOffer, other rights customary for a transaction of this nature and the put and call rights described below.</w:t>
      </w:r>
    </w:p>
    <w:p>
      <w:pPr>
        <w:spacing w:after="0" w:line="227" w:lineRule="exact"/>
        <w:rPr>
          <w:sz w:val="20"/>
          <w:szCs w:val="20"/>
          <w:color w:val="auto"/>
        </w:rPr>
      </w:pPr>
    </w:p>
    <w:p>
      <w:pPr>
        <w:jc w:val="both"/>
        <w:ind w:firstLine="382"/>
        <w:spacing w:after="0" w:line="272" w:lineRule="auto"/>
        <w:rPr>
          <w:sz w:val="20"/>
          <w:szCs w:val="20"/>
          <w:color w:val="auto"/>
        </w:rPr>
      </w:pPr>
      <w:r>
        <w:rPr>
          <w:rFonts w:ascii="Arial" w:cs="Arial" w:eastAsia="Arial" w:hAnsi="Arial"/>
          <w:sz w:val="17"/>
          <w:szCs w:val="17"/>
          <w:color w:val="auto"/>
        </w:rPr>
        <w:t>In the second half of 2022, the Company will have a call right (the “2022 Call Right”), exercisable in its sole discretion, to acquire a portion of the Remaining Equity representing up to twenty-five percent (25%) of the fully diluted capitalization of CarOffer (such acquired Remaining Equity, the “2022 Acquired Remaining Equity”) at an implied CarOffer value (the “2022 Call Right Value”) of seven (7) times CarOffer’s trailing twelve months gross profit as of June 30, 2022 (calculated in accordance with the defined terms and subject to the adjustments set forth in the CarOffer Operating Agreement). If the 2022 Call Right is exercised by the Company, the 2022 Acquired Remaining Equity will be purchased ratably across all of the holders of CarOffer equity securities other than the Company. The consideration to be paid by the Company in connection with the exercise of the 2022 Call Right will be in the form of cash and/or shares of Class A common stock, as determined by the Company in its sole discretion.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ind w:firstLine="382"/>
        <w:spacing w:after="0" w:line="269" w:lineRule="auto"/>
        <w:rPr>
          <w:sz w:val="20"/>
          <w:szCs w:val="20"/>
          <w:color w:val="auto"/>
        </w:rPr>
      </w:pPr>
      <w:r>
        <w:rPr>
          <w:rFonts w:ascii="Arial" w:cs="Arial" w:eastAsia="Arial" w:hAnsi="Arial"/>
          <w:sz w:val="17"/>
          <w:szCs w:val="17"/>
          <w:color w:val="auto"/>
        </w:rPr>
        <w:t>In the second half of 2024, (a) the Company will have a call right (the “2024 Call Right”), exercisable in its sole discretion, to acquire all, and not less than all, of the Remaining Equity that it has not acquired pursuant to the 2022 Call Right and the Closing, at the greater of (i) (x) one hundred million dollars ($100,000,000), and (y) the 2022 Call Right Value, whichever is less, and (ii) an implied CarOffer value of twelve (12) times CarOffer’s trailing twelve months EBITDA as of June 30, 2024 (in each case calculated in accordance with the defined terms and subject to the adjustments set forth in the CarOffer Operating Agreement), and (b) the representative of the holders of the Remaining Equity will have a put right (the “2024 Put Right”), exercisable in his, her or their sole discretion, to have the holders of the Remaining Equity sell to the Company, all, and not less than all, of the Remaining Equity at an implied CarOffer value of twelve (12) times CarOffer’s trailing twelve months EBITDA as of June 30, 2024 (calculated in accordance with the defined terms and subject to the adjustments set forth in the CarOffer Operating Agreement). The determination of whether the 2024 Call Right or the 2024 Put Right is ultimately exercised is as set forth in the CarOffer Operating Agreement. The consideration to be paid by the Company in connection with the exercise of either the 2024 Call Right or the 2024 Put Right, as applicable, will be in the form of cash and/or shares of Class A common stock, as determined by the Company in its sole discretion.</w:t>
      </w:r>
    </w:p>
    <w:p>
      <w:pPr>
        <w:spacing w:after="0" w:line="209"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 foregoing summary of the Purchase Agreement, the CarOffer Operating Agreement and the transactions contemplated thereby does not purport to be complete and is subject to, and qualified in its entirety by, the full text of the Purchase Agreement and the CarOffer Operating Agreement, which are filed as exhibits to the Annual Report.</w:t>
      </w:r>
    </w:p>
    <w:p>
      <w:pPr>
        <w:spacing w:after="0" w:line="224" w:lineRule="exact"/>
        <w:rPr>
          <w:sz w:val="20"/>
          <w:szCs w:val="20"/>
          <w:color w:val="auto"/>
        </w:rPr>
      </w:pPr>
    </w:p>
    <w:p>
      <w:pPr>
        <w:jc w:val="both"/>
        <w:ind w:firstLine="382"/>
        <w:spacing w:after="0" w:line="289" w:lineRule="auto"/>
        <w:rPr>
          <w:sz w:val="20"/>
          <w:szCs w:val="20"/>
          <w:color w:val="auto"/>
        </w:rPr>
      </w:pPr>
      <w:r>
        <w:rPr>
          <w:rFonts w:ascii="Arial" w:cs="Arial" w:eastAsia="Arial" w:hAnsi="Arial"/>
          <w:sz w:val="16"/>
          <w:szCs w:val="16"/>
          <w:color w:val="auto"/>
        </w:rPr>
        <w:t>The following unaudited pro forma consolidated financial information combines the unaudited results of the Company for the three and six months ended June 30, 2021 and 2020 and the unaudited results of CarOffer for the three and six months ended June 30, 2021 and 2020, and assumes that the CarOffer Acquisition, which closed on January 14, 2021, was completed on January 1, 2020 (the first day of fiscal year 2020). The pro forma consolidated financial information has been calculated after applying the Company’s accounting policies and includes adjustments for amortization expense of acquired intangible assets, transaction-related costs, and compensation expense for ongoing share-based compensation arrangements replaced, together with the consequential tax effects. These pro forma results have been prepared for comparative purposes only and do not purport to be indicative of the operating results of the Company that would have been achieved had the CarOffer Acquisition actually taken place on January 1, 2020. In addition, these results are not intended to be a projection of future results and do not reflect events that may occur after June 30, 2021, including, but not limited to revenue enhancements, cost savings or operating synergies that the combined Company may achieve as a result of the CarOffer Acquisition.</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38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217,748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392,055</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261,535</w:t>
            </w:r>
          </w:p>
        </w:tc>
        <w:tc>
          <w:tcPr>
            <w:tcW w:w="12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 xml:space="preserve">Consolidated net income (loss) </w:t>
            </w:r>
            <w:r>
              <w:rPr>
                <w:rFonts w:ascii="Arial" w:cs="Arial" w:eastAsia="Arial" w:hAnsi="Arial"/>
                <w:sz w:val="15"/>
                <w:szCs w:val="15"/>
                <w:color w:val="auto"/>
              </w:rPr>
              <w:t>(1)</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28,755</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(7,223)</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47,941</w:t>
            </w:r>
          </w:p>
        </w:tc>
        <w:tc>
          <w:tcPr>
            <w:tcW w:w="4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(5,522)</w:t>
            </w:r>
          </w:p>
        </w:tc>
      </w:tr>
    </w:tbl>
    <w:p>
      <w:pPr>
        <w:spacing w:after="0" w:line="228" w:lineRule="exact"/>
        <w:rPr>
          <w:sz w:val="20"/>
          <w:szCs w:val="20"/>
          <w:color w:val="auto"/>
        </w:rPr>
      </w:pPr>
    </w:p>
    <w:p>
      <w:pPr>
        <w:jc w:val="both"/>
        <w:ind w:left="540" w:hanging="262"/>
        <w:spacing w:after="0" w:line="273"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three months ended June 30, 2021, pro forma consolidated net income includes $7,275 and $7,123 related to intangibles amortization and stock-based compensation for CarOffer, respectively. For the three months ended June 30, 2020, pro forma consolidated net loss includes $7,275 and $7,123 related to intangibles amortization and stock-based compensation for CarOffer, respectively. For the six months ended June 30, 2021, pro forma consolidated net income includes $14,550 and $8,730 related to intangibles amortization and stock-based compensation for CarOffer, respectively. For the six months ended June 30, 2020, pro forma consolidated net loss includes $14,550 and $8,545 related to intangibles amortization and stock-based compensation for CarOffer, respectively.</w:t>
      </w:r>
    </w:p>
    <w:p>
      <w:pPr>
        <w:spacing w:after="0" w:line="205"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$57,289 of revenue and $1,720 of net loss attributable to CarOffer is included in our Unaudited Condensed Consolidated Income Statement for the three months ended June 30, 2021. $72,855 of revenue and $9,089 of net loss attributable to CarOffer is included in our Unaudited Condensed Consolidated Income Statement from the acquisition date of January 14, 2021 to June 30, 2021.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t>5. Fair Value of Financial Instruments Including Cash, Cash Equivalents, and Investments</w:t>
      </w:r>
    </w:p>
    <w:p>
      <w:pPr>
        <w:spacing w:after="0" w:line="256"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The following tables present, for each of the fair value levels, the Company’s assets that are measured at fair value on a recurring basis at June 30, 2021 and at December 31, 2020:</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At June 30, 2021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4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1"/>
                <w:szCs w:val="11"/>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2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 Inputs</w:t>
            </w:r>
          </w:p>
        </w:tc>
        <w:tc>
          <w:tcPr>
            <w:tcW w:w="28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(Level 1 Inputs)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(Level 2 Inputs)</w:t>
            </w: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(Level 3 Inputs)</w:t>
            </w: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132,474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At December 31, 2020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4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1"/>
                <w:szCs w:val="11"/>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2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 Inputs</w:t>
            </w:r>
          </w:p>
        </w:tc>
        <w:tc>
          <w:tcPr>
            <w:tcW w:w="28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(Level 1 Inputs)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(Level 2 Inputs)</w:t>
            </w: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(Level 3 Inputs)</w:t>
            </w: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112,431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There were no liabilities that were measured at fair value as of June 30, 2021 and December 31, 2020. Fair value treatment may be elected either upon initial recognition of an eligible asset or liability or, for an existing asset or liability, if an event triggers a new basis of accounting. The Company did not elect to remeasure any of its existing financial assets and did not elect the fair value option for any financial assets transacted during the six months ended June 30, 2021 or the year ended December 31, 2020.</w:t>
      </w:r>
    </w:p>
    <w:p>
      <w:pPr>
        <w:spacing w:after="0" w:line="188"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Certificates of deposit at June 30, 2021 and at December 31, 2020 had maturity dates of one year or less.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investments as of June 30, 2021 and December 31, 2020, respectively: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At June 30, 2021</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04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040" w:type="dxa"/>
            <w:vAlign w:val="bottom"/>
          </w:tcPr>
          <w:p>
            <w:pPr>
              <w:jc w:val="center"/>
              <w:ind w:right="12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Certificates of deposit due in 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77"/>
              <w:spacing w:after="0"/>
              <w:rPr>
                <w:sz w:val="20"/>
                <w:szCs w:val="20"/>
                <w:color w:val="auto"/>
              </w:rPr>
            </w:pPr>
            <w:r>
              <w:rPr>
                <w:rFonts w:ascii="Arial" w:cs="Arial" w:eastAsia="Arial" w:hAnsi="Arial"/>
                <w:sz w:val="18"/>
                <w:szCs w:val="18"/>
                <w:color w:val="auto"/>
                <w:w w:val="89"/>
              </w:rPr>
              <w:t>14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358"/>
              <w:spacing w:after="0"/>
              <w:rPr>
                <w:sz w:val="20"/>
                <w:szCs w:val="20"/>
                <w:color w:val="auto"/>
              </w:rPr>
            </w:pPr>
            <w:r>
              <w:rPr>
                <w:rFonts w:ascii="Arial" w:cs="Arial" w:eastAsia="Arial" w:hAnsi="Arial"/>
                <w:sz w:val="14"/>
                <w:szCs w:val="14"/>
                <w:b w:val="1"/>
                <w:bCs w:val="1"/>
                <w:color w:val="auto"/>
              </w:rPr>
              <w:t>At December 31, 2020</w:t>
            </w: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1"/>
                <w:szCs w:val="11"/>
                <w:color w:val="auto"/>
              </w:rPr>
            </w:pPr>
          </w:p>
        </w:tc>
        <w:tc>
          <w:tcPr>
            <w:tcW w:w="1000" w:type="dxa"/>
            <w:vAlign w:val="bottom"/>
          </w:tcPr>
          <w:p>
            <w:pPr>
              <w:jc w:val="center"/>
              <w:ind w:left="164"/>
              <w:spacing w:after="0" w:line="13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ind w:left="11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left="118"/>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99"/>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00" w:type="dxa"/>
            <w:vAlign w:val="bottom"/>
          </w:tcPr>
          <w:p>
            <w:pPr>
              <w:jc w:val="center"/>
              <w:ind w:left="164"/>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left="118"/>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Certificates of deposit due in 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0" w:type="dxa"/>
            <w:vAlign w:val="bottom"/>
            <w:gridSpan w:val="2"/>
          </w:tcPr>
          <w:p>
            <w:pPr>
              <w:jc w:val="right"/>
              <w:ind w:right="824"/>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38"/>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2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3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gridSpan w:val="2"/>
          </w:tcPr>
          <w:p>
            <w:pPr>
              <w:ind w:left="380"/>
              <w:spacing w:after="0"/>
              <w:rPr>
                <w:sz w:val="20"/>
                <w:szCs w:val="20"/>
                <w:color w:val="auto"/>
              </w:rPr>
            </w:pPr>
            <w:r>
              <w:rPr>
                <w:rFonts w:ascii="Arial" w:cs="Arial" w:eastAsia="Arial" w:hAnsi="Arial"/>
                <w:sz w:val="18"/>
                <w:szCs w:val="18"/>
                <w:color w:val="auto"/>
              </w:rPr>
              <w:t>Property and equipment, net consists of the following:</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ind w:right="318"/>
              <w:spacing w:after="0"/>
              <w:rPr>
                <w:sz w:val="20"/>
                <w:szCs w:val="20"/>
                <w:color w:val="auto"/>
              </w:rPr>
            </w:pPr>
            <w:r>
              <w:rPr>
                <w:rFonts w:ascii="Arial" w:cs="Arial" w:eastAsia="Arial" w:hAnsi="Arial"/>
                <w:sz w:val="14"/>
                <w:szCs w:val="14"/>
                <w:b w:val="1"/>
                <w:bCs w:val="1"/>
                <w:color w:val="auto"/>
              </w:rPr>
              <w:t>At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Capitalized software</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61,589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(29,948)</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(25,994)</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Depreciation and amortization expense, excluding amortization of intangible assets, was $2,293, $2,872, $4,313 and $5,430 for the three months ended June 30, 2021 and 2020 and the six months ended June 30, 2021 and 2020,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The changes in the carrying value of goodwill were as follows:</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0" w:type="dxa"/>
            <w:vAlign w:val="bottom"/>
          </w:tcPr>
          <w:p>
            <w:pPr>
              <w:spacing w:after="0"/>
              <w:rPr>
                <w:sz w:val="19"/>
                <w:szCs w:val="19"/>
                <w:color w:val="auto"/>
              </w:rPr>
            </w:pPr>
          </w:p>
        </w:tc>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29,129</w:t>
            </w:r>
          </w:p>
        </w:tc>
        <w:tc>
          <w:tcPr>
            <w:tcW w:w="120" w:type="dxa"/>
            <w:vAlign w:val="bottom"/>
            <w:shd w:val="clear" w:color="auto" w:fill="CFF0FC"/>
          </w:tcPr>
          <w:p>
            <w:pPr>
              <w:spacing w:after="0"/>
              <w:rPr>
                <w:sz w:val="19"/>
                <w:szCs w:val="19"/>
                <w:color w:val="auto"/>
              </w:rPr>
            </w:pPr>
          </w:p>
        </w:tc>
      </w:tr>
      <w:tr>
        <w:trPr>
          <w:trHeight w:val="230"/>
        </w:trPr>
        <w:tc>
          <w:tcPr>
            <w:tcW w:w="200" w:type="dxa"/>
            <w:vAlign w:val="bottom"/>
          </w:tcPr>
          <w:p>
            <w:pPr>
              <w:spacing w:after="0"/>
              <w:rPr>
                <w:sz w:val="19"/>
                <w:szCs w:val="19"/>
                <w:color w:val="auto"/>
              </w:rPr>
            </w:pPr>
          </w:p>
        </w:tc>
        <w:tc>
          <w:tcPr>
            <w:tcW w:w="8280" w:type="dxa"/>
            <w:vAlign w:val="bottom"/>
          </w:tcPr>
          <w:p>
            <w:pPr>
              <w:ind w:left="240"/>
              <w:spacing w:after="0"/>
              <w:rPr>
                <w:sz w:val="20"/>
                <w:szCs w:val="20"/>
                <w:color w:val="auto"/>
              </w:rPr>
            </w:pPr>
            <w:r>
              <w:rPr>
                <w:rFonts w:ascii="Arial" w:cs="Arial" w:eastAsia="Arial" w:hAnsi="Arial"/>
                <w:sz w:val="18"/>
                <w:szCs w:val="18"/>
                <w:color w:val="auto"/>
              </w:rPr>
              <w:t xml:space="preserve">CarOffer acquisition </w:t>
            </w:r>
            <w:r>
              <w:rPr>
                <w:rFonts w:ascii="Arial" w:cs="Arial" w:eastAsia="Arial" w:hAnsi="Arial"/>
                <w:sz w:val="15"/>
                <w:szCs w:val="15"/>
                <w:color w:val="auto"/>
              </w:rPr>
              <w:t>(1)</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127,500</w:t>
            </w:r>
          </w:p>
        </w:tc>
        <w:tc>
          <w:tcPr>
            <w:tcW w:w="120" w:type="dxa"/>
            <w:vAlign w:val="bottom"/>
          </w:tcPr>
          <w:p>
            <w:pPr>
              <w:spacing w:after="0"/>
              <w:rPr>
                <w:sz w:val="19"/>
                <w:szCs w:val="19"/>
                <w:color w:val="auto"/>
              </w:rPr>
            </w:pPr>
          </w:p>
        </w:tc>
      </w:tr>
      <w:tr>
        <w:trPr>
          <w:trHeight w:val="230"/>
        </w:trPr>
        <w:tc>
          <w:tcPr>
            <w:tcW w:w="200" w:type="dxa"/>
            <w:vAlign w:val="bottom"/>
          </w:tcPr>
          <w:p>
            <w:pPr>
              <w:spacing w:after="0"/>
              <w:rPr>
                <w:sz w:val="19"/>
                <w:szCs w:val="19"/>
                <w:color w:val="auto"/>
              </w:rPr>
            </w:pPr>
          </w:p>
        </w:tc>
        <w:tc>
          <w:tcPr>
            <w:tcW w:w="8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6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(531)</w:t>
            </w:r>
          </w:p>
        </w:tc>
      </w:tr>
      <w:tr>
        <w:trPr>
          <w:trHeight w:val="223"/>
        </w:trPr>
        <w:tc>
          <w:tcPr>
            <w:tcW w:w="20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156,098</w:t>
            </w:r>
          </w:p>
        </w:tc>
        <w:tc>
          <w:tcPr>
            <w:tcW w:w="12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 See Note 4 of the Unaudited Condensed Consolidated Financial Statements included elsewhere in this Quarterly Report</w:t>
      </w:r>
      <w:r>
        <w:rPr>
          <w:rFonts w:ascii="Arial" w:cs="Arial" w:eastAsia="Arial" w:hAnsi="Arial"/>
          <w:sz w:val="21"/>
          <w:szCs w:val="21"/>
          <w:color w:val="auto"/>
        </w:rPr>
        <w:t>.</w:t>
      </w:r>
    </w:p>
    <w:p>
      <w:pPr>
        <w:spacing w:after="0" w:line="238"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 Company tests goodwill for impairment at least annually or whenever events or changes in circumstances indicate that the carrying value may not be recoverable. As of June 30, 2021, there have been no events or changes in circumstance that the carrying value may not be recoverable. As of December 31, 2020, the Company assessed its goodwill for impairment and concluded that there was no impairment.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Other Intangible Assets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as of June 30, 2021 and December 31, 2020 consist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At June 30, 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65,214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117,494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At December 31, 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The Company recorded amortization expense related to intangible assets of $7,858, $485, $14,504, and $917 for the three months ended June 30, 2021 and 2020 and the six months ended June 30, 2021 and 2020, respectively.</w:t>
      </w:r>
    </w:p>
    <w:p>
      <w:pPr>
        <w:spacing w:after="0" w:line="197"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The Company evaluates the useful lives of these assets on an annual basis and tests for impairment whenever events or changes in circumstances occur that could impact the recoverability of these assets. As of June 30, 2021, there have been no events or changes in circumstances that could impact the recoverability of these assets. As of December 31, 2020, the Company assessed its intangible assets for impairment and concluded that there was no impairment.</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Estimated amortization expense of intangible assets for future periods as of June 30,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Amortization</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Expense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15,725</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31,062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1431"/>
              <w:spacing w:after="0"/>
              <w:rPr>
                <w:sz w:val="20"/>
                <w:szCs w:val="20"/>
                <w:color w:val="auto"/>
              </w:rPr>
            </w:pPr>
            <w:r>
              <w:rPr>
                <w:rFonts w:ascii="Arial" w:cs="Arial" w:eastAsia="Arial" w:hAnsi="Arial"/>
                <w:sz w:val="18"/>
                <w:szCs w:val="18"/>
                <w:b w:val="1"/>
                <w:bCs w:val="1"/>
                <w:color w:val="auto"/>
                <w:w w:val="90"/>
              </w:rPr>
              <w:t>8. Accrued Expenses, Accrued Income Taxes and Other Current Liabilities</w:t>
            </w: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80" w:type="dxa"/>
            <w:vAlign w:val="bottom"/>
            <w:gridSpan w:val="2"/>
          </w:tcPr>
          <w:p>
            <w:pPr>
              <w:jc w:val="right"/>
              <w:ind w:right="71"/>
              <w:spacing w:after="0"/>
              <w:rPr>
                <w:sz w:val="20"/>
                <w:szCs w:val="20"/>
                <w:color w:val="auto"/>
              </w:rPr>
            </w:pPr>
            <w:r>
              <w:rPr>
                <w:rFonts w:ascii="Arial" w:cs="Arial" w:eastAsia="Arial" w:hAnsi="Arial"/>
                <w:sz w:val="18"/>
                <w:szCs w:val="18"/>
                <w:color w:val="auto"/>
                <w:w w:val="96"/>
              </w:rPr>
              <w:t>Accrued expenses, accrued income taxes and other current liabilities consist of the following:</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4"/>
              </w:rPr>
              <w:t>At</w:t>
            </w:r>
          </w:p>
        </w:tc>
        <w:tc>
          <w:tcPr>
            <w:tcW w:w="1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7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Accrued income taxes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7,828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Accrued bonus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8,363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10,845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Accrued commissions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and other current liabilities</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14,591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33,394</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24,751</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147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8"/>
          <w:szCs w:val="18"/>
          <w:color w:val="auto"/>
        </w:rPr>
        <w:t>All of the Company’s property, equipment, and internal-use software have been purchased with cash with the exception of amounts related to unpaid property and equipment and internal use software and amounts related to obligations under finance leases as disclosed in the Unaudited Condensed Consolidated Statements of Cash Flows as of June 30, 2021. The Company has no material long-term purchase obligations outstanding with any vendor or third party.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 Company’s primary operating lease obligations consist of various leases for office space in: Boston, Massachusetts; Cambridge, Massachusetts; San Francisco, California; Addison, Texas; Plano, Texas; and Dublin, Ireland. The Company also has an operating lease obligation for data center space in Needham, Massachusetts.</w:t>
      </w:r>
    </w:p>
    <w:p>
      <w:pPr>
        <w:spacing w:after="0" w:line="184" w:lineRule="exact"/>
        <w:rPr>
          <w:sz w:val="20"/>
          <w:szCs w:val="20"/>
          <w:color w:val="auto"/>
        </w:rPr>
      </w:pPr>
    </w:p>
    <w:p>
      <w:pPr>
        <w:jc w:val="both"/>
        <w:ind w:right="20" w:firstLine="382"/>
        <w:spacing w:after="0" w:line="277" w:lineRule="auto"/>
        <w:rPr>
          <w:sz w:val="20"/>
          <w:szCs w:val="20"/>
          <w:color w:val="auto"/>
        </w:rPr>
      </w:pPr>
      <w:r>
        <w:rPr>
          <w:rFonts w:ascii="Arial" w:cs="Arial" w:eastAsia="Arial" w:hAnsi="Arial"/>
          <w:sz w:val="18"/>
          <w:szCs w:val="18"/>
          <w:color w:val="auto"/>
        </w:rPr>
        <w:t>As of June 30, 2021, there were no material changes in the Company’s material leases from those disclosed in the Annual Report, other than as discussed below.</w:t>
      </w:r>
    </w:p>
    <w:p>
      <w:pPr>
        <w:spacing w:after="0" w:line="170" w:lineRule="exact"/>
        <w:rPr>
          <w:sz w:val="20"/>
          <w:szCs w:val="20"/>
          <w:color w:val="auto"/>
        </w:rPr>
      </w:pPr>
    </w:p>
    <w:p>
      <w:pPr>
        <w:jc w:val="both"/>
        <w:ind w:firstLine="382"/>
        <w:spacing w:after="0" w:line="271" w:lineRule="auto"/>
        <w:rPr>
          <w:sz w:val="20"/>
          <w:szCs w:val="20"/>
          <w:color w:val="auto"/>
        </w:rPr>
      </w:pPr>
      <w:r>
        <w:rPr>
          <w:rFonts w:ascii="Arial" w:cs="Arial" w:eastAsia="Arial" w:hAnsi="Arial"/>
          <w:sz w:val="17"/>
          <w:szCs w:val="17"/>
          <w:color w:val="auto"/>
        </w:rPr>
        <w:t>On January 25, 2021, CarOffer entered into a sublease in Addison, Texas at 15601 Dallas Parkway for approximately 61,826 square feet of office space with a non-cancellable lease term through 2030. The sublease commenced on March 1, 2021. CarOffer’s monthly base rent for the premises, which is payable from January 1, 2022, will initially be approximately $152, and will increase each year up to a maximum monthly base rent of approximately $185. In connection with the sublease, CarOffer entered into a financing lease arrangement for furniture and fixtures used in connection with its operations. The term of the financing lease is for the entire period of the sublease. The monthly rent for the furniture and fixtures is included in the sublease monthly rent, with ownership of the furniture and fixtures transferring to CarOffer at the expiration of the lease term. Monthly rent payments are allocated based upon the relative fair value of the office space and furniture of 95% and 5%, respectively. Upon commencement, the right of use asset for the office space and furniture was $12,336 and $664, respectively.</w:t>
      </w:r>
    </w:p>
    <w:p>
      <w:pPr>
        <w:spacing w:after="0" w:line="178"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8"/>
          <w:szCs w:val="18"/>
          <w:color w:val="auto"/>
        </w:rPr>
        <w:t>On July 1, 2019, CarOffer entered into a sublease in Plano, Texas at 2701 East Plano Parkway, for the lease of approximately 26,971 square feet of office space with a non-cancellable lease term through 2023. The sublease commenced on July 1, 2019. CarOffer’s monthly base rent for the premises, which is payable from July 1, 2019, was initially approximately $21, and will increase each year up to maximum monthly base rent of $22. The Company acquired the lease as part of the CarOffer Acquisition.</w:t>
      </w:r>
    </w:p>
    <w:p>
      <w:pPr>
        <w:spacing w:after="0" w:line="179" w:lineRule="exact"/>
        <w:rPr>
          <w:sz w:val="20"/>
          <w:szCs w:val="20"/>
          <w:color w:val="auto"/>
        </w:rPr>
      </w:pPr>
    </w:p>
    <w:p>
      <w:pPr>
        <w:jc w:val="both"/>
        <w:ind w:firstLine="382"/>
        <w:spacing w:after="0" w:line="219" w:lineRule="exact"/>
        <w:rPr>
          <w:sz w:val="20"/>
          <w:szCs w:val="20"/>
          <w:color w:val="auto"/>
        </w:rPr>
      </w:pPr>
      <w:r>
        <w:rPr>
          <w:rFonts w:ascii="Arial" w:cs="Arial" w:eastAsia="Arial" w:hAnsi="Arial"/>
          <w:sz w:val="17"/>
          <w:szCs w:val="17"/>
          <w:color w:val="auto"/>
        </w:rPr>
        <w:t>The Company’s leases in Boston, Massachusetts, Cambridge, Massachusetts and San Francisco, California have associated letters of credit, which are recorded as restricted cash within the Unaudited Condensed Consolidated Balance Sheet. At June 30, 2021 and December 31, 2020, restricted cash was $19,357 and $10,627,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the letters of credit related to the contractual provisions for the Company’s building leases. Restricted cash at June 30, 2021 also includes pass-through payments from customers related to the Company’s wholesale business. At June 30, 2021 and December 31, 2020, portions of restricted cash were classified as a short-term asset and long</w:t>
      </w:r>
      <w:r>
        <w:rPr>
          <w:rFonts w:ascii="MS PGothic" w:cs="MS PGothic" w:eastAsia="MS PGothic" w:hAnsi="MS PGothic"/>
          <w:sz w:val="17"/>
          <w:szCs w:val="17"/>
          <w:color w:val="auto"/>
        </w:rPr>
        <w:t>‑</w:t>
      </w:r>
      <w:r>
        <w:rPr>
          <w:rFonts w:ascii="Arial" w:cs="Arial" w:eastAsia="Arial" w:hAnsi="Arial"/>
          <w:sz w:val="17"/>
          <w:szCs w:val="17"/>
          <w:color w:val="auto"/>
        </w:rPr>
        <w:t>term asset, as disclosed on the Unaudited Condensed Consolidated Balance Sheet.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On January 14, 2021, the Company completed the CarOffer Acquisition, details of which are described in Note 4 of the Unaudited Condensed Consolidated Financial Statements included elsewhere in this Quarterly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In the ordinary course of business, the Company enters into agreements with its customers, partners and service providers that include commercial provisions with respect to licensing, infringement, indemnification, and other common provisions. The Company does not, in the ordinary course, agree to guaranty or indemnification obligations for the Company under its contracts with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Based on historical experience and information known at June 30, 2021 and December 31, 2020, the Company has not incurred any costs for guarantees or indemnities.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8"/>
          <w:szCs w:val="18"/>
          <w:color w:val="auto"/>
        </w:rPr>
        <w:t>The 2020 CO Plan provides for the issuance of incentive interests to CarOffer’s employees, officers, managers, and consultants. The 2020 CO Plan authorized up to an aggregate of 485,714 incentive interests for such issuances. The Vesting Agreement provides for the vesting of the Subject Units beneficially owned by the T5 Holders, which vest in accordance with the terms described in Note 2 of the Unaudited Condensed Consolidated Financial Statements included elsewhere in this Quarterly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Unaudited Condensed Consolidated Income Statements: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tcPr>
          <w:p>
            <w:pPr>
              <w:jc w:val="center"/>
              <w:ind w:right="173"/>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left="437"/>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13,944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27,687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23,587</w:t>
            </w:r>
          </w:p>
        </w:tc>
        <w:tc>
          <w:tcPr>
            <w:tcW w:w="10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 Incentive Units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7,961</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37,933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23,604</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6"/>
          </w:tcPr>
          <w:p>
            <w:pPr>
              <w:jc w:val="center"/>
              <w:ind w:right="153"/>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left="457"/>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left="457"/>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1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 expense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12,630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19,407</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22,540</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11,923</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37,933</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Excluded from stock-based compensation expense is $866, $419, $1,435 and $667 of capitalized website development and internal-use software costs for the three months ended June 30, 2021 and 2020 and the six months ended June 30, 2021 and 2020, respectively.</w:t>
      </w:r>
    </w:p>
    <w:p>
      <w:pPr>
        <w:spacing w:after="0" w:line="211" w:lineRule="exact"/>
        <w:rPr>
          <w:sz w:val="20"/>
          <w:szCs w:val="20"/>
          <w:color w:val="auto"/>
        </w:rPr>
      </w:pPr>
    </w:p>
    <w:p>
      <w:pPr>
        <w:jc w:val="both"/>
        <w:ind w:firstLine="382"/>
        <w:spacing w:after="0" w:line="293" w:lineRule="auto"/>
        <w:rPr>
          <w:sz w:val="20"/>
          <w:szCs w:val="20"/>
          <w:color w:val="auto"/>
        </w:rPr>
      </w:pPr>
      <w:r>
        <w:rPr>
          <w:rFonts w:ascii="Arial" w:cs="Arial" w:eastAsia="Arial" w:hAnsi="Arial"/>
          <w:sz w:val="16"/>
          <w:szCs w:val="16"/>
          <w:color w:val="auto"/>
        </w:rPr>
        <w:t>During the three months ended June 30, 2021 and 2020 and the six months ended June 30, 2021 and 2020, the Company withheld 126,703, 119,009, 289,653 and 225,943 shares of Class A common stock, respectively, to satisfy employee tax withholding requirements and for option exercise costs due to net share settlements and cashless exercises of options. The shares withheld return to the authorized, but unissued pool under the 2017 Plan and can be reissued by the Company. Total payments to satisfy employee tax withholding requirements and for option exercise costs due to net share settlements and cashless exercises of options were $3,167, $2,389, $8,208 and $5,786 for the three months ended June 30, 2021 and 2020 and the six months ended June 30, 2021 and 2020, respectively, and are reflected as a financing activity within the Unaudited Condensed Consolidated Statements of Cash Flows.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jc w:val="both"/>
        <w:ind w:firstLine="382"/>
        <w:spacing w:after="0" w:line="218"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upon either the death or voluntary termination of the Company’s Executive Chairman.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 and diluted net income per share of Class A common stock and per share of Class B common stock are equivalent.</w:t>
      </w:r>
    </w:p>
    <w:p>
      <w:pPr>
        <w:spacing w:after="0" w:line="231"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During the three months ended June 30, 2021, holders of Class B common stock did not convert any shares of Class B common stock to Class A common stock. During the three months ended June 30, 2020, holders of Class B common stock converted 3,748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of Class B common stock to Class A common stock. During the six months ended June 30, 2021 and 2020, holders of Class B common stock converted 929,597 and 339,489 shares of Class B common stock to Class A common stock, respectively.</w:t>
      </w:r>
    </w:p>
    <w:p>
      <w:pPr>
        <w:spacing w:after="0" w:line="170"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8"/>
          <w:szCs w:val="18"/>
          <w:color w:val="auto"/>
        </w:rPr>
        <w:t>Basic net income per share (“Basic EPS”) is computed by dividing net income attributable to common stockholders and adjusted to reflect changes in the redemption value of the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w:t>
      </w:r>
    </w:p>
    <w:p>
      <w:pPr>
        <w:spacing w:after="0" w:line="180"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Diluted net income per share (“Diluted EPS”) gives effect to all potentially dilutive securities. Diluted EPS is computed by dividing net income attributable to common stockholders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inclusive of CarOffer noncontrolling interest and incentive units, that would be issuable as of the end of the reporting period assuming the end of the reporting period was also the end of the contingency period.</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a reconciliation of the numerator and denominator used in the calculation of basic and diluted net income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right"/>
              <w:ind w:right="41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right"/>
              <w:ind w:right="811"/>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84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27,396</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46,947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w w:val="92"/>
              </w:rPr>
              <w:t>Less: Net income (loss) attributable to redeemable noncontrolling</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(3,466)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 — basic</w:t>
            </w:r>
          </w:p>
        </w:tc>
        <w:tc>
          <w:tcPr>
            <w:tcW w:w="4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28,052</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50,413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19,827</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3"/>
              </w:rPr>
              <w:t>Add: Net income (loss) attributable to redeemable noncontrolling</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 — diluted</w:t>
            </w:r>
          </w:p>
        </w:tc>
        <w:tc>
          <w:tcPr>
            <w:tcW w:w="4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27,396</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49,757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19,827</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Weighted-average number of shares of common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stock used in computing net income per share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attributable to common stockholders — basic</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117,124,895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112,734,393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116,722,913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112,544,743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Dilutive effect of share equivalents resulting from</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w:t>
            </w: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450,512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674,063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481,802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735,474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40" w:type="dxa"/>
            <w:vAlign w:val="bottom"/>
          </w:tcPr>
          <w:p>
            <w:pPr>
              <w:ind w:left="240"/>
              <w:spacing w:after="0"/>
              <w:rPr>
                <w:sz w:val="20"/>
                <w:szCs w:val="20"/>
                <w:color w:val="auto"/>
              </w:rPr>
            </w:pPr>
            <w:r>
              <w:rPr>
                <w:rFonts w:ascii="Arial" w:cs="Arial" w:eastAsia="Arial" w:hAnsi="Arial"/>
                <w:sz w:val="18"/>
                <w:szCs w:val="18"/>
                <w:color w:val="auto"/>
              </w:rPr>
              <w:t>Dilutive effect of share equivalents resulting from</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tcPr>
          <w:p>
            <w:pPr>
              <w:ind w:left="380"/>
              <w:spacing w:after="0"/>
              <w:rPr>
                <w:sz w:val="20"/>
                <w:szCs w:val="20"/>
                <w:color w:val="auto"/>
              </w:rPr>
            </w:pPr>
            <w:r>
              <w:rPr>
                <w:rFonts w:ascii="Arial" w:cs="Arial" w:eastAsia="Arial" w:hAnsi="Arial"/>
                <w:sz w:val="18"/>
                <w:szCs w:val="18"/>
                <w:color w:val="auto"/>
              </w:rPr>
              <w:t>unvested restricted stock units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300,916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329,009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360,363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Dilutive effect of share equivalents resulting from</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CarOffer incentive units and noncontrolling interest</w:t>
            </w: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1,577,781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788,891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40" w:type="dxa"/>
            <w:vAlign w:val="bottom"/>
          </w:tcPr>
          <w:p>
            <w:pPr>
              <w:ind w:left="240"/>
              <w:spacing w:after="0"/>
              <w:rPr>
                <w:sz w:val="20"/>
                <w:szCs w:val="20"/>
                <w:color w:val="auto"/>
              </w:rPr>
            </w:pPr>
            <w:r>
              <w:rPr>
                <w:rFonts w:ascii="Arial" w:cs="Arial" w:eastAsia="Arial" w:hAnsi="Arial"/>
                <w:sz w:val="18"/>
                <w:szCs w:val="18"/>
                <w:color w:val="auto"/>
              </w:rPr>
              <w:t>Weighted-average number of shares of common</w:t>
            </w: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380"/>
              <w:spacing w:after="0"/>
              <w:rPr>
                <w:sz w:val="20"/>
                <w:szCs w:val="20"/>
                <w:color w:val="auto"/>
              </w:rPr>
            </w:pPr>
            <w:r>
              <w:rPr>
                <w:rFonts w:ascii="Arial" w:cs="Arial" w:eastAsia="Arial" w:hAnsi="Arial"/>
                <w:sz w:val="18"/>
                <w:szCs w:val="18"/>
                <w:color w:val="auto"/>
              </w:rPr>
              <w:t>stock used in computing net income per share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tcPr>
          <w:p>
            <w:pPr>
              <w:ind w:left="380"/>
              <w:spacing w:after="0"/>
              <w:rPr>
                <w:sz w:val="20"/>
                <w:szCs w:val="20"/>
                <w:color w:val="auto"/>
              </w:rPr>
            </w:pPr>
            <w:r>
              <w:rPr>
                <w:rFonts w:ascii="Arial" w:cs="Arial" w:eastAsia="Arial" w:hAnsi="Arial"/>
                <w:sz w:val="18"/>
                <w:szCs w:val="18"/>
                <w:color w:val="auto"/>
              </w:rPr>
              <w:t>attributable to common stockholders — diluted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119,454,104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113,737,465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118,353,969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113,947,241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ind w:right="20" w:firstLine="382"/>
        <w:spacing w:after="0" w:line="308" w:lineRule="auto"/>
        <w:rPr>
          <w:sz w:val="20"/>
          <w:szCs w:val="20"/>
          <w:color w:val="auto"/>
        </w:rPr>
      </w:pPr>
      <w:r>
        <w:rPr>
          <w:rFonts w:ascii="Arial" w:cs="Arial" w:eastAsia="Arial" w:hAnsi="Arial"/>
          <w:sz w:val="17"/>
          <w:szCs w:val="17"/>
          <w:color w:val="auto"/>
        </w:rPr>
        <w:t>The following potentially dilutive common stock equivalents have been excluded from the calculation of diluted weighted-average shares outstanding for the three and six months ended June 30, 2021 and 2020, as their effect would have been anti-dilutive for the periods presented:</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40" w:type="dxa"/>
            <w:vAlign w:val="bottom"/>
          </w:tcPr>
          <w:p>
            <w:pPr>
              <w:spacing w:after="0"/>
              <w:rPr>
                <w:sz w:val="14"/>
                <w:szCs w:val="14"/>
                <w:color w:val="auto"/>
              </w:rPr>
            </w:pPr>
          </w:p>
        </w:tc>
        <w:tc>
          <w:tcPr>
            <w:tcW w:w="144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588,490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457,714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000" w:type="dxa"/>
            <w:vAlign w:val="bottom"/>
          </w:tcPr>
          <w:p>
            <w:pPr>
              <w:jc w:val="right"/>
              <w:spacing w:after="0"/>
              <w:rPr>
                <w:sz w:val="20"/>
                <w:szCs w:val="20"/>
                <w:color w:val="auto"/>
              </w:rPr>
            </w:pPr>
            <w:r>
              <w:rPr>
                <w:rFonts w:ascii="Arial" w:cs="Arial" w:eastAsia="Arial" w:hAnsi="Arial"/>
                <w:sz w:val="18"/>
                <w:szCs w:val="18"/>
                <w:color w:val="auto"/>
              </w:rPr>
              <w:t>2,849,737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3,277,151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2,671,279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3,051,380</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jc w:val="both"/>
        <w:ind w:firstLine="382"/>
        <w:spacing w:after="0" w:line="311" w:lineRule="auto"/>
        <w:rPr>
          <w:sz w:val="20"/>
          <w:szCs w:val="20"/>
          <w:color w:val="auto"/>
        </w:rPr>
      </w:pPr>
      <w:r>
        <w:rPr>
          <w:rFonts w:ascii="Arial" w:cs="Arial" w:eastAsia="Arial" w:hAnsi="Arial"/>
          <w:sz w:val="16"/>
          <w:szCs w:val="16"/>
          <w:color w:val="auto"/>
        </w:rPr>
        <w:t>In addition, shares of Class A common stock potentially issuable under market-based performance awards of approximately 282,921 were excluded from the calculation of weighted average shares used to compute Diluted EPS for both the three and six months ended June 30, 2021 as the market-based vesting conditions had not been achieved as of the reporting period end date and as such there were zero contingently issuable shares.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35"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During the three months ended June 30, 2021, the Company recorded an income tax provision of $11,142, representing an effective tax rate of 28.4%. The effective tax rate for the three months ended June 30, 2021 was greater than the statutory tax rate of 21% principally due to state and local income taxes, shortfalls on the taxable compensation of share-based awards and the Section 162(m) excess officer compensation limitation, which became applicable upon the expiration in May 2021 of the transition period permitted following the Company’s initial public offering (“IPO”), partially offset by federal and state research and development tax credits.</w:t>
      </w:r>
    </w:p>
    <w:p>
      <w:pPr>
        <w:spacing w:after="0" w:line="188"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During the six months ended June 30, 2021, the Company recorded an income tax provision of $17,604, representing an effective tax rate of 25.9%. The effective tax rate for the six months ended June 30, 2021 was higher than the statutory tax rate of 21% principally due to state and local income taxes, shortfalls on the taxable compensation of share-based awards and the Section 162(m) excess officer compensation limitation, which became applicable upon the expiration in May 2021 of the transition period permitted following the IPO, partially offset by federal and state research and development tax credits.</w:t>
      </w:r>
    </w:p>
    <w:p>
      <w:pPr>
        <w:spacing w:after="0" w:line="188" w:lineRule="exact"/>
        <w:rPr>
          <w:sz w:val="20"/>
          <w:szCs w:val="20"/>
          <w:color w:val="auto"/>
        </w:rPr>
      </w:pPr>
    </w:p>
    <w:p>
      <w:pPr>
        <w:jc w:val="both"/>
        <w:ind w:firstLine="382"/>
        <w:spacing w:after="0" w:line="311" w:lineRule="auto"/>
        <w:rPr>
          <w:sz w:val="20"/>
          <w:szCs w:val="20"/>
          <w:color w:val="auto"/>
        </w:rPr>
      </w:pPr>
      <w:r>
        <w:rPr>
          <w:rFonts w:ascii="Arial" w:cs="Arial" w:eastAsia="Arial" w:hAnsi="Arial"/>
          <w:sz w:val="16"/>
          <w:szCs w:val="16"/>
          <w:color w:val="auto"/>
        </w:rPr>
        <w:t>During the three months ended June 30, 2020, the Company recorded an income tax provision of $2,052, representing an effective tax rate of 22.3%. The effective tax rate for the three months ended June 30, 2020 was higher than the statutory tax rate of 21% principally due to permanent non-deductible expenses and shortfalls on the taxable compensation of share-based awards, partially offset by federal and state research and development tax credits.</w:t>
      </w:r>
    </w:p>
    <w:p>
      <w:pPr>
        <w:spacing w:after="0" w:line="149"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During the six months ended June 30, 2020, the Company recorded an income tax provision of $2,103, representing an effective tax rate of 9.6%. The effective tax rate for the six months ended June 30, 2020 was lower than the statutory tax rate of 21% principally due to a discrete benefit recognized as a result of the enactment of the Coronavirus Aid, Relief, and Economic Security Act, excess stock deductions from the taxable compensation of stock-based awards and federal and state research and development tax credits, partially offset by state and local income taxes.</w:t>
      </w:r>
    </w:p>
    <w:p>
      <w:pPr>
        <w:spacing w:after="0" w:line="171" w:lineRule="exact"/>
        <w:rPr>
          <w:sz w:val="20"/>
          <w:szCs w:val="20"/>
          <w:color w:val="auto"/>
        </w:rPr>
      </w:pPr>
    </w:p>
    <w:p>
      <w:pPr>
        <w:jc w:val="both"/>
        <w:ind w:firstLine="382"/>
        <w:spacing w:after="0" w:line="305" w:lineRule="auto"/>
        <w:rPr>
          <w:sz w:val="20"/>
          <w:szCs w:val="20"/>
          <w:color w:val="auto"/>
        </w:rPr>
      </w:pPr>
      <w:r>
        <w:rPr>
          <w:rFonts w:ascii="Arial" w:cs="Arial" w:eastAsia="Arial" w:hAnsi="Arial"/>
          <w:sz w:val="16"/>
          <w:szCs w:val="16"/>
          <w:color w:val="auto"/>
        </w:rPr>
        <w:t>The Company and its subsidiaries are subject to various U.S. federal, state, and foreign income tax examinations. The Company is currently not subject to income tax examination for the tax years of 2017 and prior as a result of applicable statute of limitations of the Internal Revenue Service (“IRS”) and state jurisdictions. The Company is currently open to examination in its foreign jurisdictions for tax years 2018 and after. In 2019, the IRS commenced a federal employment tax audit with respect to the 2018, 2017 and 2016 calendar years and expanded the audit to cover tax year 2019 as part of the audit settlement in July 2021. In 2020, the State of New York commenced a sales tax audit of the Company for the tax years 2014 to 2020, which is still open.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121"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jc w:val="both"/>
        <w:ind w:right="20" w:firstLine="382"/>
        <w:spacing w:after="0" w:line="277" w:lineRule="auto"/>
        <w:rPr>
          <w:sz w:val="20"/>
          <w:szCs w:val="20"/>
          <w:color w:val="auto"/>
        </w:rPr>
      </w:pPr>
      <w:r>
        <w:rPr>
          <w:rFonts w:ascii="Arial" w:cs="Arial" w:eastAsia="Arial" w:hAnsi="Arial"/>
          <w:sz w:val="18"/>
          <w:szCs w:val="18"/>
          <w:color w:val="auto"/>
        </w:rPr>
        <w:t>The United States segment derives revenues from marketplace subscriptions and other revenues from customers within the United States. The International segment derives revenues from marketplace subscriptions and other revenues from customers outside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4" w:name="page25"/>
    <w:bookmarkEnd w:id="24"/>
    <w:p>
      <w:pPr>
        <w:jc w:val="both"/>
        <w:spacing w:after="0" w:line="275" w:lineRule="auto"/>
        <w:rPr>
          <w:sz w:val="20"/>
          <w:szCs w:val="20"/>
          <w:color w:val="auto"/>
        </w:rPr>
      </w:pPr>
      <w:r>
        <w:rPr>
          <w:rFonts w:ascii="Arial" w:cs="Arial" w:eastAsia="Arial" w:hAnsi="Arial"/>
          <w:sz w:val="17"/>
          <w:szCs w:val="17"/>
          <w:color w:val="auto"/>
        </w:rPr>
        <w:t>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Revenue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2"/>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206,584</w:t>
            </w:r>
          </w:p>
        </w:tc>
        <w:tc>
          <w:tcPr>
            <w:tcW w:w="14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89,746</w:t>
            </w:r>
          </w:p>
        </w:tc>
        <w:tc>
          <w:tcPr>
            <w:tcW w:w="14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369,595</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237,752</w:t>
            </w:r>
          </w:p>
        </w:tc>
        <w:tc>
          <w:tcPr>
            <w:tcW w:w="100" w:type="dxa"/>
            <w:vAlign w:val="bottom"/>
          </w:tcPr>
          <w:p>
            <w:pPr>
              <w:spacing w:after="0"/>
              <w:rPr>
                <w:sz w:val="19"/>
                <w:szCs w:val="19"/>
                <w:color w:val="auto"/>
              </w:rPr>
            </w:pPr>
          </w:p>
        </w:tc>
      </w:tr>
      <w:tr>
        <w:trPr>
          <w:trHeight w:val="229"/>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7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19,521</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14,674</w:t>
            </w:r>
          </w:p>
        </w:tc>
        <w:tc>
          <w:tcPr>
            <w:tcW w:w="100" w:type="dxa"/>
            <w:vAlign w:val="bottom"/>
            <w:shd w:val="clear" w:color="auto" w:fill="CFF0FC"/>
          </w:tcPr>
          <w:p>
            <w:pPr>
              <w:spacing w:after="0"/>
              <w:rPr>
                <w:sz w:val="19"/>
                <w:szCs w:val="19"/>
                <w:color w:val="auto"/>
              </w:rPr>
            </w:pPr>
          </w:p>
        </w:tc>
      </w:tr>
      <w:tr>
        <w:trPr>
          <w:trHeight w:val="223"/>
        </w:trPr>
        <w:tc>
          <w:tcPr>
            <w:tcW w:w="36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7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389,116</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252,426</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3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2"/>
              </w:rPr>
              <w:t>Six Months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6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40,194</w:t>
            </w:r>
          </w:p>
        </w:tc>
        <w:tc>
          <w:tcPr>
            <w:tcW w:w="14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15,337</w:t>
            </w:r>
          </w:p>
        </w:tc>
        <w:tc>
          <w:tcPr>
            <w:tcW w:w="14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69,584</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35,599</w:t>
            </w:r>
          </w:p>
        </w:tc>
        <w:tc>
          <w:tcPr>
            <w:tcW w:w="100" w:type="dxa"/>
            <w:vAlign w:val="bottom"/>
          </w:tcPr>
          <w:p>
            <w:pPr>
              <w:spacing w:after="0"/>
              <w:rPr>
                <w:sz w:val="19"/>
                <w:szCs w:val="19"/>
                <w:color w:val="auto"/>
              </w:rPr>
            </w:pPr>
          </w:p>
        </w:tc>
      </w:tr>
      <w:tr>
        <w:trPr>
          <w:trHeight w:val="229"/>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(6,628)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(5,316)</w:t>
            </w:r>
          </w:p>
        </w:tc>
        <w:tc>
          <w:tcPr>
            <w:tcW w:w="4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(14,871)</w:t>
            </w:r>
          </w:p>
        </w:tc>
      </w:tr>
      <w:tr>
        <w:trPr>
          <w:trHeight w:val="223"/>
        </w:trPr>
        <w:tc>
          <w:tcPr>
            <w:tcW w:w="3620" w:type="dxa"/>
            <w:vAlign w:val="bottom"/>
          </w:tcPr>
          <w:p>
            <w:pPr>
              <w:ind w:left="480"/>
              <w:spacing w:after="0"/>
              <w:rPr>
                <w:sz w:val="20"/>
                <w:szCs w:val="20"/>
                <w:color w:val="auto"/>
              </w:rPr>
            </w:pPr>
            <w:r>
              <w:rPr>
                <w:rFonts w:ascii="Arial" w:cs="Arial" w:eastAsia="Arial" w:hAnsi="Arial"/>
                <w:sz w:val="18"/>
                <w:szCs w:val="18"/>
                <w:color w:val="auto"/>
              </w:rPr>
              <w:t>Total income from operations</w:t>
            </w: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64,268</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20,728</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212529"/>
        </w:rPr>
        <w:t>The Company ceased the operations of the International segment online marketplaces in Germany, Italy, and Spain in the second quarter of 2020.</w:t>
      </w:r>
    </w:p>
    <w:p>
      <w:pPr>
        <w:spacing w:after="0" w:line="289" w:lineRule="exact"/>
        <w:rPr>
          <w:sz w:val="20"/>
          <w:szCs w:val="20"/>
          <w:color w:val="auto"/>
        </w:rPr>
      </w:pPr>
    </w:p>
    <w:p>
      <w:pPr>
        <w:ind w:right="20" w:firstLine="382"/>
        <w:spacing w:after="0" w:line="341" w:lineRule="auto"/>
        <w:rPr>
          <w:sz w:val="20"/>
          <w:szCs w:val="20"/>
          <w:color w:val="auto"/>
        </w:rPr>
      </w:pPr>
      <w:r>
        <w:rPr>
          <w:rFonts w:ascii="Arial" w:cs="Arial" w:eastAsia="Arial" w:hAnsi="Arial"/>
          <w:sz w:val="17"/>
          <w:szCs w:val="17"/>
          <w:color w:val="212529"/>
        </w:rPr>
        <w:t>As of June 30, 2021, total assets held outside of the United States were $33,537, primarily attributable to $16,119 of goodwill. As of December 31, 2020, total assets held outside of the United States were $32,012, primarily attributable to $16,652 of goodwill and $3,571 of intangible assets.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2020, filed with the Securities and Exchange Commission, or SEC, on February 12, 2021, or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CarGurus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gives dealerships the power to accurately price, effectively market, instantly acquire and quickly sell vehicles, all with a nationwide reach. We use our proprietary technology, search algorithms and data analytics to bring trust, transparency and competitive pricing to the automotive shopping experience.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are headquartered in Cambridge, Massachusetts and were incorporated in the State of Delaware on June 26, 2015.</w:t>
      </w:r>
    </w:p>
    <w:p>
      <w:pPr>
        <w:spacing w:after="0" w:line="225"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We operate principally in the United States. In the United States, we also operate the Autolist online marketplace, which we wholly own, and CarOffer digital wholesale marketplace, in which we have a 51% interest, as independent brands. In addition to the United States, we operate online marketplaces under the CarGurus brand in Canada and the United Kingdom. In the United Kingdom, we also operate the PistonHeads online marketplace, which we wholly own, as an independent brand. We also operated online marketplaces in Germany, Italy, and Spain until we ceased the operations of each of these marketplaces in the second quarter of 2020.</w:t>
      </w:r>
    </w:p>
    <w:p>
      <w:pPr>
        <w:spacing w:after="0" w:line="188" w:lineRule="exact"/>
        <w:rPr>
          <w:sz w:val="20"/>
          <w:szCs w:val="20"/>
          <w:color w:val="auto"/>
        </w:rPr>
      </w:pPr>
    </w:p>
    <w:p>
      <w:pPr>
        <w:jc w:val="both"/>
        <w:ind w:firstLine="382"/>
        <w:spacing w:after="0" w:line="308" w:lineRule="auto"/>
        <w:rPr>
          <w:sz w:val="20"/>
          <w:szCs w:val="20"/>
          <w:color w:val="auto"/>
        </w:rPr>
      </w:pPr>
      <w:r>
        <w:rPr>
          <w:rFonts w:ascii="Arial" w:cs="Arial" w:eastAsia="Arial" w:hAnsi="Arial"/>
          <w:sz w:val="17"/>
          <w:szCs w:val="17"/>
          <w:color w:val="auto"/>
        </w:rPr>
        <w:t>We have subsidiaries in the United States, Canada, Ireland, and the United Kingdom. Additionally, we have two reportable segments, United States and International. See Note 13 of the Unaudited Condensed Consolidated Financial Statements included elsewhere in this Quarterly Report.</w:t>
      </w:r>
    </w:p>
    <w:p>
      <w:pPr>
        <w:spacing w:after="0" w:line="146"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We generate marketplace subscription revenue from dealers primarily through Listings and Dealer Display subscriptions. We generate other revenue primarily from revenue relating to the wholesale sale of automobiles, display advertising revenue from auto manufacturers and other auto-related brand advertisers and revenue from partnerships with financing services companies.</w:t>
      </w:r>
    </w:p>
    <w:p>
      <w:pPr>
        <w:spacing w:after="0" w:line="184"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Our revenue for the three months ended June 30, 2021 was $217.7 million, a 130% increase from $94.7 million of revenue in the three months ended June 30, 2020. For the three months ended June 30, 2021, we generated consolidated net income of $27.4 million and Adjusted EBITDA of $66.4 million, compared to consolidated net income of $7.1 million and Adjusted EBITDA of $27.5 million for the three months ended June 30, 2020.</w:t>
      </w:r>
    </w:p>
    <w:p>
      <w:pPr>
        <w:spacing w:after="0" w:line="165"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Our revenue for the six months ended June 30, 2021 was $389.1 million, a 54% increase from $252.4 million of revenue in the six months ended June 30, 2020. For the six months ended June 30, 2021, we generated consolidated net income of $46.9 million and Adjusted EBITDA of $117.0 million, compared to consolidated net income of $19.8 million and Adjusted EBITDA of $55.2 million for the six months ended June 30, 2020.</w:t>
      </w:r>
    </w:p>
    <w:p>
      <w:pPr>
        <w:spacing w:after="0" w:line="165"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See “Adjusted EBITDA” below for more information regarding our use of Adjusted EBITDA, a non-GAAP financial measure, and a reconciliation of Adjusted EBITDA to our consolidated net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The COVID-19 pandemic has caused an international health crisis and resulted in significant disruptions to the global economy as well as businesses and capital markets around the world. Our operations have been materially adversely affected by a range of factors related to the COVID-19 pandemic. In March 2020, we temporarily closed all of our offices and began requiring our employees to work remotely until further notice, which has disrupted how we operate our business. In addition, in an effort to limit the spread of COVID-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jc w:val="both"/>
        <w:spacing w:after="0" w:line="290" w:lineRule="auto"/>
        <w:rPr>
          <w:sz w:val="20"/>
          <w:szCs w:val="20"/>
          <w:color w:val="auto"/>
        </w:rPr>
      </w:pPr>
      <w:r>
        <w:rPr>
          <w:rFonts w:ascii="Arial" w:cs="Arial" w:eastAsia="Arial" w:hAnsi="Arial"/>
          <w:sz w:val="16"/>
          <w:szCs w:val="16"/>
          <w:color w:val="auto"/>
        </w:rPr>
        <w:t>19, many countries, as well as states and localities in the United States, implemented or mandated significant restrictions on travel and commerce, shelter-in-place or stay-at-home orders, and business closures. Fluctuation in infection rates in the regions in which we operate has resulted in periodic changes in restrictions that vary from region to region and may require rapid response to new or reinstated orders. Many of these orders resulted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the market for automobile purchases. The automotive industry is also facing inventory supply problems, including for reasons attributable to the COVID-19 pandemic and other macroeconomic issues, such as the global semiconductor chip shortage, which have adversely affected the amount of inventory on our websites.</w:t>
      </w:r>
    </w:p>
    <w:p>
      <w:pPr>
        <w:spacing w:after="0" w:line="165" w:lineRule="exact"/>
        <w:rPr>
          <w:sz w:val="20"/>
          <w:szCs w:val="20"/>
          <w:color w:val="auto"/>
        </w:rPr>
      </w:pPr>
    </w:p>
    <w:p>
      <w:pPr>
        <w:jc w:val="both"/>
        <w:ind w:firstLine="382"/>
        <w:spacing w:after="0" w:line="311" w:lineRule="auto"/>
        <w:rPr>
          <w:sz w:val="20"/>
          <w:szCs w:val="20"/>
          <w:color w:val="auto"/>
        </w:rPr>
      </w:pPr>
      <w:r>
        <w:rPr>
          <w:rFonts w:ascii="Arial" w:cs="Arial" w:eastAsia="Arial" w:hAnsi="Arial"/>
          <w:sz w:val="16"/>
          <w:szCs w:val="16"/>
          <w:color w:val="auto"/>
        </w:rPr>
        <w:t>As a result of the travel and commerce restrictions and the impact on their businesses, a number of our dealer customers temporarily closed or are operating on a reduced capacity, and many dealerships are facing significant financial challenges. Such closures and circumstances led some paying dealers to cancel their subscriptions and/or reduce their spending with us, which has had a material adverse effect on our revenues and our business.</w:t>
      </w:r>
    </w:p>
    <w:p>
      <w:pPr>
        <w:spacing w:after="0" w:line="149"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7"/>
          <w:szCs w:val="17"/>
          <w:color w:val="auto"/>
        </w:rPr>
        <w:t>Further, because of the significant financial challenges that dealerships have faced, we took measures to help our paying dealers maintain their business health during the COVID-19 pandemic, including by proactively reducing the subscription fees for paying dealers for certain service periods. As a result, the level of fees we received from paying dealers materially decreased during the year ended December 31, 2020, resulting in a material decline in our revenue and a material adverse effect to our business. In addition, despite our proactive fee reductions during the second quarter of 2020, we experienced increased customer cancellation rates and slowed paying dealer additions, which materially and adversely affected our business for the year ended December 31, 2020. We have also experienced increased account delinquencies from dealer customers challenged by the COVID-19 pandemic that failed to pay us on time or at all. However, since the second quarter of 2020, cancellations by paying dealers have begun to stabilize, which we believe resulted from the resumption of consumer activity as well as the fee reductions that we provided to our customers. Additionally, while we suspended charging subscription fees for paying dealers in the United Kingdom for the February 2021 service period, during the three and six months ended June 30, 2021, we returned to normal contractual billings in all other markets. Although the fee reductions had a material adverse effect on our revenue for the year ended December 31, 2020 and for the three and six months ended June 30, 2020, they did not have a material adverse impact on the three and six months ended June 30, 2021.</w:t>
      </w:r>
    </w:p>
    <w:p>
      <w:pPr>
        <w:spacing w:after="0" w:line="179"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7"/>
          <w:szCs w:val="17"/>
          <w:color w:val="auto"/>
        </w:rPr>
        <w:t>These effects from the COVID-19 pandemic on our revenue caused us to implement certain cost-savings measures across our business, which disrupted our business and operations during the year ended December 31, 2020. For example, during the second quarter of 2020, we initiated a cost-savings initiative, or the Expense Reduction Plan, that included a reduction in our workforce, a limitation in discretionary spend across our business, and our ceasing certain international operations and expansion efforts. In particular, we ceased marketplace operations in Germany, Italy, and Spain, and halted any new international expansion efforts, which we believe will allow us to focus our financial and human capital resources on our more established international markets in Canada and the United Kingdom. We also reduced consumer marketing across both algorithmic traffic acquisition and brand spend during the year ended December 31, 2020 in comparison to the year ended December 31, 2019 in an effort to reduce expenses and as a result of suppressed dealer inventory and the resulting reduced demand for leads by dealers. However, since the second quarter of 2020, we have increased our consumer marketing expenses as consumer activity increased and governments implemented re-opening policies.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continue to monitor and assess the effects of the COVID-19 pandemic on our commercial operations, including the impact on our revenue.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However, we cannot at this time accurately predict what effects these conditions will ultimately have on our future revenue and operations. See the “Risk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Factors” section of this Quarterly Report for further discussion of the impacts of the COVID-19 pandemic on our business.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and other revenues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 The metrics presented below exclude CarOffer as we believe such metrics are either not applicable for the CarOffer business or do not provide a meaningful way to evaluate the CarOffer business.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31"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7"/>
          <w:szCs w:val="17"/>
          <w:color w:val="auto"/>
        </w:rPr>
        <w:t>For each of our websites,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3"/>
          </w:tcPr>
          <w:p>
            <w:pPr>
              <w:jc w:val="center"/>
              <w:ind w:left="740"/>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2160" w:type="dxa"/>
            <w:vAlign w:val="bottom"/>
            <w:tcBorders>
              <w:bottom w:val="single" w:sz="8" w:color="auto"/>
            </w:tcBorders>
            <w:gridSpan w:val="3"/>
          </w:tcPr>
          <w:p>
            <w:pPr>
              <w:jc w:val="center"/>
              <w:ind w:left="740"/>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20" w:type="dxa"/>
            <w:vAlign w:val="bottom"/>
            <w:gridSpan w:val="2"/>
            <w:vMerge w:val="continue"/>
          </w:tcPr>
          <w:p>
            <w:pPr>
              <w:spacing w:after="0"/>
              <w:rPr>
                <w:sz w:val="13"/>
                <w:szCs w:val="13"/>
                <w:color w:val="auto"/>
              </w:rPr>
            </w:pPr>
          </w:p>
        </w:tc>
        <w:tc>
          <w:tcPr>
            <w:tcW w:w="1360" w:type="dxa"/>
            <w:vAlign w:val="bottom"/>
          </w:tcPr>
          <w:p>
            <w:pPr>
              <w:jc w:val="right"/>
              <w:ind w:right="460"/>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ind w:right="455"/>
              <w:spacing w:after="0" w:line="155"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Borders>
              <w:top w:val="single" w:sz="8" w:color="auto"/>
            </w:tcBorders>
            <w:gridSpan w:val="3"/>
          </w:tcPr>
          <w:p>
            <w:pPr>
              <w:jc w:val="center"/>
              <w:ind w:left="7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32,828</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40,591</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6"/>
          <w:szCs w:val="16"/>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(iii) Greenwich Mean Time for our U.K. websites, and (iv) Central European Time (or Central European Summer Time when daylight savings is observed) for our Germany, Italy, and Spain websites, which ceased operations in the second quarter of 2020.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3"/>
          </w:tcPr>
          <w:p>
            <w:pPr>
              <w:jc w:val="center"/>
              <w:ind w:left="740"/>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2160" w:type="dxa"/>
            <w:vAlign w:val="bottom"/>
            <w:tcBorders>
              <w:bottom w:val="single" w:sz="8" w:color="auto"/>
            </w:tcBorders>
            <w:gridSpan w:val="3"/>
          </w:tcPr>
          <w:p>
            <w:pPr>
              <w:jc w:val="center"/>
              <w:ind w:left="740"/>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20" w:type="dxa"/>
            <w:vAlign w:val="bottom"/>
            <w:gridSpan w:val="2"/>
            <w:vMerge w:val="continue"/>
          </w:tcPr>
          <w:p>
            <w:pPr>
              <w:spacing w:after="0"/>
              <w:rPr>
                <w:sz w:val="13"/>
                <w:szCs w:val="13"/>
                <w:color w:val="auto"/>
              </w:rPr>
            </w:pPr>
          </w:p>
        </w:tc>
        <w:tc>
          <w:tcPr>
            <w:tcW w:w="1360" w:type="dxa"/>
            <w:vAlign w:val="bottom"/>
          </w:tcPr>
          <w:p>
            <w:pPr>
              <w:jc w:val="right"/>
              <w:ind w:right="460"/>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ind w:right="455"/>
              <w:spacing w:after="0" w:line="155"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Borders>
              <w:top w:val="single" w:sz="8" w:color="auto"/>
            </w:tcBorders>
            <w:gridSpan w:val="3"/>
          </w:tcPr>
          <w:p>
            <w:pPr>
              <w:jc w:val="center"/>
              <w:ind w:left="7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81,087</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85,901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18,017</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17,416</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99,104</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103,317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Number of Paying Dealers</w:t>
            </w: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At June 30</w:t>
            </w: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3560" w:type="dxa"/>
            <w:vAlign w:val="bottom"/>
            <w:gridSpan w:val="2"/>
          </w:tcPr>
          <w:p>
            <w:pPr>
              <w:spacing w:after="0"/>
              <w:rPr>
                <w:sz w:val="13"/>
                <w:szCs w:val="13"/>
                <w:color w:val="auto"/>
              </w:rPr>
            </w:pPr>
          </w:p>
        </w:tc>
        <w:tc>
          <w:tcPr>
            <w:tcW w:w="136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4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23,950</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23,806</w:t>
            </w:r>
          </w:p>
        </w:tc>
        <w:tc>
          <w:tcPr>
            <w:tcW w:w="26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International</w:t>
            </w:r>
          </w:p>
        </w:tc>
        <w:tc>
          <w:tcPr>
            <w:tcW w:w="4920" w:type="dxa"/>
            <w:vAlign w:val="bottom"/>
            <w:gridSpan w:val="3"/>
          </w:tcPr>
          <w:p>
            <w:pPr>
              <w:jc w:val="right"/>
              <w:spacing w:after="0"/>
              <w:rPr>
                <w:sz w:val="20"/>
                <w:szCs w:val="20"/>
                <w:color w:val="auto"/>
              </w:rPr>
            </w:pPr>
            <w:r>
              <w:rPr>
                <w:rFonts w:ascii="Arial" w:cs="Arial" w:eastAsia="Arial" w:hAnsi="Arial"/>
                <w:sz w:val="18"/>
                <w:szCs w:val="18"/>
                <w:color w:val="auto"/>
              </w:rPr>
              <w:t>6,777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6,452</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30,727</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30,258</w:t>
            </w:r>
          </w:p>
        </w:tc>
        <w:tc>
          <w:tcPr>
            <w:tcW w:w="26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0" w:type="dxa"/>
            <w:vAlign w:val="bottom"/>
          </w:tcPr>
          <w:p>
            <w:pPr>
              <w:jc w:val="right"/>
              <w:ind w:right="145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Quarterly Average Revenue per Subscribing Dealer (QARSD)</w:t>
      </w:r>
    </w:p>
    <w:p>
      <w:pPr>
        <w:spacing w:after="0" w:line="117" w:lineRule="exact"/>
        <w:rPr>
          <w:sz w:val="20"/>
          <w:szCs w:val="20"/>
          <w:color w:val="auto"/>
        </w:rPr>
      </w:pPr>
    </w:p>
    <w:p>
      <w:pPr>
        <w:jc w:val="both"/>
        <w:ind w:firstLine="382"/>
        <w:spacing w:after="0" w:line="291" w:lineRule="auto"/>
        <w:rPr>
          <w:sz w:val="20"/>
          <w:szCs w:val="20"/>
          <w:color w:val="auto"/>
        </w:rPr>
      </w:pPr>
      <w:r>
        <w:rPr>
          <w:rFonts w:ascii="Arial" w:cs="Arial" w:eastAsia="Arial" w:hAnsi="Arial"/>
          <w:sz w:val="16"/>
          <w:szCs w:val="16"/>
          <w:color w:val="auto"/>
        </w:rPr>
        <w:t>We define QARSD, which is measured at the end of a fiscal quarter, as the marketplace subscription revenue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At 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5,550</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International</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4,657</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firstLine="382"/>
        <w:spacing w:after="0" w:line="220"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This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is not based on any standardized methodology prescribed by United States generally accepted accounting principles, or GAAP, and is not necessarily comparable to similarly titled measures presented by other companies.</w:t>
      </w:r>
    </w:p>
    <w:p>
      <w:pPr>
        <w:spacing w:after="0" w:line="204" w:lineRule="exact"/>
        <w:rPr>
          <w:sz w:val="20"/>
          <w:szCs w:val="20"/>
          <w:color w:val="auto"/>
        </w:rPr>
      </w:pPr>
    </w:p>
    <w:p>
      <w:pPr>
        <w:jc w:val="both"/>
        <w:ind w:firstLine="382"/>
        <w:spacing w:after="0" w:line="219" w:lineRule="exact"/>
        <w:rPr>
          <w:sz w:val="20"/>
          <w:szCs w:val="20"/>
          <w:color w:val="auto"/>
        </w:rPr>
      </w:pPr>
      <w:r>
        <w:rPr>
          <w:rFonts w:ascii="Arial" w:cs="Arial" w:eastAsia="Arial" w:hAnsi="Arial"/>
          <w:sz w:val="18"/>
          <w:szCs w:val="18"/>
          <w:color w:val="auto"/>
        </w:rPr>
        <w:t>We define Adjusted EBITDA as consolidated net income, adjusted to exclude: depreciation and 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acquisition-related expenses, restructuring expenses, other income, net, provision for income taxes, and net income attributable to the minority interest in acquired entities. We have presented Adjusted EBITDA within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comparisons of our business.</w:t>
      </w:r>
    </w:p>
    <w:p>
      <w:pPr>
        <w:spacing w:after="0" w:line="203" w:lineRule="exact"/>
        <w:rPr>
          <w:sz w:val="20"/>
          <w:szCs w:val="20"/>
          <w:color w:val="auto"/>
        </w:rPr>
      </w:pPr>
    </w:p>
    <w:p>
      <w:pPr>
        <w:jc w:val="both"/>
        <w:ind w:firstLine="382"/>
        <w:spacing w:after="0" w:line="219" w:lineRule="exact"/>
        <w:rPr>
          <w:sz w:val="20"/>
          <w:szCs w:val="20"/>
          <w:color w:val="auto"/>
        </w:rPr>
      </w:pPr>
      <w:r>
        <w:rPr>
          <w:rFonts w:ascii="Arial" w:cs="Arial" w:eastAsia="Arial" w:hAnsi="Arial"/>
          <w:sz w:val="17"/>
          <w:szCs w:val="17"/>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 In addition, we evaluate our Adjusted EBITDA in relation to our revenue. We refer to this as Adjusted EBITDA margin and define it as Adjusted EBITDA divided by total revenue.</w:t>
      </w:r>
    </w:p>
    <w:p>
      <w:pPr>
        <w:spacing w:after="0" w:line="20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consolidated net income, which is the most directly comparable GAAP equivalent. Some of these limitations are:</w:t>
      </w:r>
    </w:p>
    <w:p>
      <w:pPr>
        <w:spacing w:after="0" w:line="76" w:lineRule="exact"/>
        <w:rPr>
          <w:sz w:val="20"/>
          <w:szCs w:val="20"/>
          <w:color w:val="auto"/>
        </w:rPr>
      </w:pPr>
    </w:p>
    <w:p>
      <w:pPr>
        <w:ind w:left="660" w:hanging="274"/>
        <w:spacing w:after="0" w:line="223"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94" w:lineRule="exact"/>
        <w:rPr>
          <w:rFonts w:ascii="Arial" w:cs="Arial" w:eastAsia="Arial" w:hAnsi="Arial"/>
          <w:sz w:val="18"/>
          <w:szCs w:val="18"/>
          <w:color w:val="auto"/>
        </w:rPr>
      </w:pPr>
    </w:p>
    <w:p>
      <w:pPr>
        <w:ind w:left="660" w:hanging="274"/>
        <w:spacing w:after="0" w:line="223"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94" w:lineRule="exact"/>
        <w:rPr>
          <w:rFonts w:ascii="Arial" w:cs="Arial" w:eastAsia="Arial" w:hAnsi="Arial"/>
          <w:sz w:val="18"/>
          <w:szCs w:val="18"/>
          <w:color w:val="auto"/>
        </w:rPr>
      </w:pPr>
    </w:p>
    <w:p>
      <w:pPr>
        <w:jc w:val="both"/>
        <w:ind w:left="660" w:hanging="274"/>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75" w:lineRule="exact"/>
        <w:rPr>
          <w:rFonts w:ascii="Arial" w:cs="Arial" w:eastAsia="Arial" w:hAnsi="Arial"/>
          <w:sz w:val="18"/>
          <w:szCs w:val="18"/>
          <w:color w:val="auto"/>
        </w:rPr>
      </w:pPr>
    </w:p>
    <w:p>
      <w:pPr>
        <w:ind w:left="660" w:hanging="274"/>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restructuring expenses incurred by us during a reporting period, which may not be reflective of our operational performance during such period;</w:t>
      </w:r>
    </w:p>
    <w:p>
      <w:pPr>
        <w:spacing w:after="0" w:line="62" w:lineRule="exact"/>
        <w:rPr>
          <w:rFonts w:ascii="Arial" w:cs="Arial" w:eastAsia="Arial" w:hAnsi="Arial"/>
          <w:sz w:val="18"/>
          <w:szCs w:val="18"/>
          <w:color w:val="auto"/>
        </w:rPr>
      </w:pPr>
    </w:p>
    <w:p>
      <w:pPr>
        <w:ind w:left="660" w:hanging="274"/>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other income, net which primarily includes transition service agreement income, interest income earned on our cash, cash equivalents, and investments, sublease income and net foreign exchange gains and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9" w:name="page30"/>
    <w:bookmarkEnd w:id="29"/>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the provision for income taxes;</w:t>
      </w:r>
    </w:p>
    <w:p>
      <w:pPr>
        <w:spacing w:after="0" w:line="117" w:lineRule="exact"/>
        <w:rPr>
          <w:rFonts w:ascii="Arial" w:cs="Arial" w:eastAsia="Arial" w:hAnsi="Arial"/>
          <w:sz w:val="18"/>
          <w:szCs w:val="18"/>
          <w:color w:val="auto"/>
        </w:rPr>
      </w:pPr>
    </w:p>
    <w:p>
      <w:pPr>
        <w:ind w:left="660" w:hanging="274"/>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the income attributable to the minority interest in acquired entities, adjusted for all prior limitations to Adjusted EBITDA as described above; and</w:t>
      </w:r>
    </w:p>
    <w:p>
      <w:pPr>
        <w:spacing w:after="0" w:line="62" w:lineRule="exact"/>
        <w:rPr>
          <w:rFonts w:ascii="Arial" w:cs="Arial" w:eastAsia="Arial" w:hAnsi="Arial"/>
          <w:sz w:val="18"/>
          <w:szCs w:val="18"/>
          <w:color w:val="auto"/>
        </w:rPr>
      </w:pPr>
    </w:p>
    <w:p>
      <w:pPr>
        <w:ind w:left="660" w:hanging="274"/>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w:t>
      </w:r>
    </w:p>
    <w:p>
      <w:pPr>
        <w:spacing w:after="0" w:line="170" w:lineRule="exact"/>
        <w:rPr>
          <w:sz w:val="20"/>
          <w:szCs w:val="20"/>
          <w:color w:val="auto"/>
        </w:rPr>
      </w:pPr>
    </w:p>
    <w:p>
      <w:pPr>
        <w:ind w:firstLine="382"/>
        <w:spacing w:after="0" w:line="258" w:lineRule="auto"/>
        <w:rPr>
          <w:sz w:val="20"/>
          <w:szCs w:val="20"/>
          <w:color w:val="auto"/>
        </w:rPr>
      </w:pPr>
      <w:r>
        <w:rPr>
          <w:rFonts w:ascii="Arial" w:cs="Arial" w:eastAsia="Arial" w:hAnsi="Arial"/>
          <w:sz w:val="18"/>
          <w:szCs w:val="18"/>
          <w:color w:val="auto"/>
        </w:rPr>
        <w:t>The following table presents a reconciliation of Adjusted EBITDA to consolidated net income, the most directly comparable measure calculated in accordance with GAAP, for each of the periods presented.</w:t>
      </w:r>
    </w:p>
    <w:tbl>
      <w:tblPr>
        <w:tblLayout w:type="fixed"/>
        <w:tblInd w:w="580" w:type="dxa"/>
        <w:tblCellMar>
          <w:top w:w="0" w:type="dxa"/>
          <w:left w:w="0" w:type="dxa"/>
          <w:bottom w:w="0" w:type="dxa"/>
          <w:right w:w="0" w:type="dxa"/>
        </w:tblCellMar>
      </w:tblPr>
      <w:tr>
        <w:trPr>
          <w:trHeight w:val="141"/>
        </w:trPr>
        <w:tc>
          <w:tcPr>
            <w:tcW w:w="4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5"/>
          </w:tcPr>
          <w:p>
            <w:pPr>
              <w:jc w:val="center"/>
              <w:ind w:right="400"/>
              <w:spacing w:after="0" w:line="141" w:lineRule="exact"/>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5"/>
          </w:tcPr>
          <w:p>
            <w:pPr>
              <w:jc w:val="center"/>
              <w:ind w:right="340"/>
              <w:spacing w:after="0" w:line="141"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center"/>
              <w:ind w:left="315"/>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6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27,396</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10,165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18,831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22,540</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15"/>
                <w:szCs w:val="15"/>
                <w:color w:val="auto"/>
              </w:rPr>
              <w:t>(1)</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w:t>
            </w:r>
          </w:p>
        </w:tc>
        <w:tc>
          <w:tcPr>
            <w:tcW w:w="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17,604</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Consolidated Adjusted EBITDA</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71,247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121,741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w w:val="98"/>
              </w:rPr>
              <w:t>Net income attributable to redeemable noncontrolling interest</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(4,805)</w:t>
            </w: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(4,737)</w:t>
            </w:r>
          </w:p>
        </w:tc>
        <w:tc>
          <w:tcPr>
            <w:tcW w:w="3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Adjusted EBITDA</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66,442</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117,004</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262"/>
        <w:spacing w:after="0" w:line="308"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Excludes stock-based compensation expense of $753 for the three and six months ended June 30, 2020 related to the Expense Reduction Plan, as the amount is already included within the stock-based compensation line item in the Reconciliation of Adjusted EBITDA.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135" w:lineRule="exact"/>
        <w:rPr>
          <w:sz w:val="20"/>
          <w:szCs w:val="20"/>
          <w:color w:val="auto"/>
        </w:rPr>
      </w:pPr>
    </w:p>
    <w:p>
      <w:pPr>
        <w:jc w:val="both"/>
        <w:ind w:firstLine="382"/>
        <w:spacing w:after="0" w:line="221" w:lineRule="exact"/>
        <w:rPr>
          <w:sz w:val="20"/>
          <w:szCs w:val="20"/>
          <w:color w:val="auto"/>
        </w:rPr>
      </w:pPr>
      <w:r>
        <w:rPr>
          <w:rFonts w:ascii="Arial" w:cs="Arial" w:eastAsia="Arial" w:hAnsi="Arial"/>
          <w:sz w:val="17"/>
          <w:szCs w:val="17"/>
          <w:color w:val="auto"/>
        </w:rPr>
        <w:t>We derive revenue from two sources: (1) marketplace subscription revenue, which consists primarily of Listings and Dealer Display subscriptions, and (2) other revenue, which consists primarily of revenue relating to the wholesale sale of automobiles, display advertising revenue from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and revenue from partnerships with financing services companies.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We offer multiple types of marketplace Listings packages to our dealers for our CarGurus U.S. platform (availability varies on our other marketplaces): Restricted Listings (formerly referred to as Basic Listings), which is free; and various levels of Listings packages, which each require a paid subscription under a monthly, quarterly, semiannual, or annual subscription basis.</w:t>
      </w:r>
    </w:p>
    <w:p>
      <w:pPr>
        <w:spacing w:after="0" w:line="184" w:lineRule="exact"/>
        <w:rPr>
          <w:sz w:val="20"/>
          <w:szCs w:val="20"/>
          <w:color w:val="auto"/>
        </w:rPr>
      </w:pPr>
    </w:p>
    <w:p>
      <w:pPr>
        <w:jc w:val="both"/>
        <w:ind w:firstLine="382"/>
        <w:spacing w:after="0" w:line="293" w:lineRule="auto"/>
        <w:rPr>
          <w:sz w:val="20"/>
          <w:szCs w:val="20"/>
          <w:color w:val="auto"/>
        </w:rPr>
      </w:pPr>
      <w:r>
        <w:rPr>
          <w:rFonts w:ascii="Arial" w:cs="Arial" w:eastAsia="Arial" w:hAnsi="Arial"/>
          <w:sz w:val="16"/>
          <w:szCs w:val="16"/>
          <w:color w:val="auto"/>
        </w:rPr>
        <w:t>Our subscriptions for customers generally auto-renew on a monthly basis and are cancellable by dealers with 30 days’ advance notice at the end of the committed term, although during the second quarter of 2020 we did not require 30 days’ advance notice of termination from dealers who cancelled as a result of the COVID-19 pandemic.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have access to the Pricing Tool, Market Analysis tool and our IMV Scan tool.</w:t>
      </w:r>
    </w:p>
    <w:p>
      <w:pPr>
        <w:spacing w:after="0" w:line="164"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In addition to displaying inventory in our marketplace and providing access to the Dealer Dashboard, we offer dealers subscribing to certain of our Listings packages other subscription advertising and customer acquisition products and enhancements, including Dealer Display, which is marketed under our Real-time Performance Marketing suite. With Dealer Display, dealers can buy display advertising that appears in our marketplace, on other sites on the internet and/or on Facebook, a highly converting social platform. Such advertisements can be targeted by the user’s geography, search history, CarGurus website activity (including showing a consumer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relevant vehicles from a dealer’s inventory that the consumer has not yet discovered on our marketplace), and a number of other targeting factors, allowing dealers to increase their visibility with in-market consumers and drive qualified traffic for dealers.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also offer paid Listings packages for the Autolist website and paid Listings and display products for the PistonHeads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Other revenue consists of revenue relating to the wholesale sale of automobiles, which includes transaction fees earned by CarOffer from facilitating the purchase and sale of vehicles between dealers, where CarOffer collects fees from both the buyer and seller. CarOffer also sells vehicles to dealers that CarOffer acquires at other marketplaces or directly from consumers – in these instances, CarOffer collects a transaction fee from the buyer. CarOffer also charges the buyer fees to perform inspection and transportation services for all wholesale transactions.</w:t>
      </w:r>
    </w:p>
    <w:p>
      <w:pPr>
        <w:spacing w:after="0" w:line="171"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Other revenue also consists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8" w:lineRule="exact"/>
        <w:rPr>
          <w:sz w:val="20"/>
          <w:szCs w:val="20"/>
          <w:color w:val="auto"/>
        </w:rPr>
      </w:pPr>
    </w:p>
    <w:p>
      <w:pPr>
        <w:jc w:val="both"/>
        <w:ind w:firstLine="382"/>
        <w:spacing w:after="0" w:line="311" w:lineRule="auto"/>
        <w:rPr>
          <w:sz w:val="20"/>
          <w:szCs w:val="20"/>
          <w:color w:val="auto"/>
        </w:rPr>
      </w:pPr>
      <w:r>
        <w:rPr>
          <w:rFonts w:ascii="Arial" w:cs="Arial" w:eastAsia="Arial" w:hAnsi="Arial"/>
          <w:sz w:val="16"/>
          <w:szCs w:val="16"/>
          <w:color w:val="auto"/>
        </w:rPr>
        <w:t>Other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also offer non-dealer display products for the Autolist and PistonHeads websites.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 description of our revenue accounting policies, see “— Critical Accounting Policies and Significant Estimates.”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382"/>
        <w:spacing w:after="0" w:line="273" w:lineRule="auto"/>
        <w:rPr>
          <w:sz w:val="20"/>
          <w:szCs w:val="20"/>
          <w:color w:val="auto"/>
        </w:rPr>
      </w:pPr>
      <w:r>
        <w:rPr>
          <w:rFonts w:ascii="Arial" w:cs="Arial" w:eastAsia="Arial" w:hAnsi="Arial"/>
          <w:sz w:val="17"/>
          <w:szCs w:val="17"/>
          <w:color w:val="auto"/>
        </w:rPr>
        <w:t>Cost of revenue includes costs incurred to support revenue relating to the wholesale sale of automobiles. These costs include the costs to facilitate the purchase and sale of vehicles between dealers and from fulfilling buy orders from dealers through the acquisition of vehicles at auction. The primary costs incurred for wholesale transactions include the costs to transport and inspect vehicles, certain salaries, benefits, incentive compensation and stock-based compensation for employees directly involved in the fulfillment and support of transactions, allocated overhead costs and other third-party costs. In limited circumstances, typically during an arbitration process, CarOffer acquires vehicles in transactions for which it is deemed to control the vehicle and recognizes the cost of the vehicle through cost of revenue when the vehicle is sold.</w:t>
      </w:r>
    </w:p>
    <w:p>
      <w:pPr>
        <w:spacing w:after="0" w:line="178" w:lineRule="exact"/>
        <w:rPr>
          <w:sz w:val="20"/>
          <w:szCs w:val="20"/>
          <w:color w:val="auto"/>
        </w:rPr>
      </w:pPr>
    </w:p>
    <w:p>
      <w:pPr>
        <w:jc w:val="both"/>
        <w:ind w:firstLine="382"/>
        <w:spacing w:after="0" w:line="273" w:lineRule="auto"/>
        <w:rPr>
          <w:sz w:val="20"/>
          <w:szCs w:val="20"/>
          <w:color w:val="auto"/>
        </w:rPr>
      </w:pPr>
      <w:r>
        <w:rPr>
          <w:rFonts w:ascii="Arial" w:cs="Arial" w:eastAsia="Arial" w:hAnsi="Arial"/>
          <w:sz w:val="17"/>
          <w:szCs w:val="17"/>
          <w:color w:val="auto"/>
        </w:rPr>
        <w:t>Cost of revenue also includes costs related to supporting and hosting our digital product offerings. These costs include salaries, benefits, incentive compensation, and stock-based compensation for our customer support team and third-party service provider costs such as advertising, data center and networking expenses, allocated overhead costs, depreciation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382"/>
        <w:spacing w:after="0" w:line="291" w:lineRule="auto"/>
        <w:rPr>
          <w:sz w:val="20"/>
          <w:szCs w:val="20"/>
          <w:color w:val="auto"/>
        </w:rPr>
      </w:pPr>
      <w:r>
        <w:rPr>
          <w:rFonts w:ascii="Arial" w:cs="Arial" w:eastAsia="Arial" w:hAnsi="Arial"/>
          <w:sz w:val="16"/>
          <w:szCs w:val="16"/>
          <w:color w:val="auto"/>
        </w:rPr>
        <w:t>Sales and marketing expenses consist primarily of personnel and related expenses for our sales and marketing team,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amortization of internal-use software; and allocated overhead costs. A portion of our commissions that are related to obtaining a new contract is capitalized and amortized over the estimated benefit period of customer relationships. All other sales and marketing costs are expensed as incurred. We expect sales and marketing expenses to fluctuate from quarter to quarter as we respond to the COVID-19 pandemic and changes in the macroeconomic and competitive landscapes affecting our consumer audience and brand awareness, which will impact our quarterly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Product, technology, and development expenses, which include research and development costs, consist primarily of personnel and related expenses for our development team, including salaries, benefits, incentive compensation, stock-based compensation and allocated overhead costs. Other than website development and internal-use software costs as well as other costs that qualify for capitalization, research and development costs are expensed as incurred. We expect product, technology, and development expenses to increase as we invest in additional engineering resourcing to develop new solutions and make improvements to our existing platform.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General and administrative expenses consist primarily of personnel and related expenses for our executive, finance, legal, people &amp; talent, and administrative teams, including salaries, benefits, incentive compensation, and stock-based compensation, in addition to the costs associated with professional fees for external legal, accounting and other consulting services, insurance premiums, payment processing and billing costs, and allocated overhead costs. General and administrative costs are expensed as incurred. We expect general and administrative expenses to increase as we continue to scale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Other income, net consists primarily of transition service agreement income, interest income earned on our cash, cash equivalents, and investments, sublease income and net foreign exchange gains and losses.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firstLine="382"/>
        <w:spacing w:after="0" w:line="273" w:lineRule="auto"/>
        <w:rPr>
          <w:sz w:val="20"/>
          <w:szCs w:val="20"/>
          <w:color w:val="auto"/>
        </w:rPr>
      </w:pPr>
      <w:r>
        <w:rPr>
          <w:rFonts w:ascii="Arial" w:cs="Arial" w:eastAsia="Arial" w:hAnsi="Arial"/>
          <w:sz w:val="17"/>
          <w:szCs w:val="17"/>
          <w:color w:val="auto"/>
        </w:rPr>
        <w:t>We are subject to federal and state income taxes in the United States and taxes in foreign jurisdictions in which we operate. We have recorded a provision for income taxes for the three months ended June 30, 2021 and 2020 and a provision for income taxes for the six months ended June 30, 2021 and 2020.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Our valuation allowances against our net deferred tax assets as of June 30, 2021 and December 31, 2020 were both immaterial.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The following table sets forth our selected consolidated income statements data for each of the periods indicated. The period-to-period comparison of financial results is not necessarily indicative of future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8"/>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center"/>
              <w:ind w:left="355"/>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6"/>
          </w:tcPr>
          <w:p>
            <w:pPr>
              <w:ind w:left="2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7"/>
          </w:tcPr>
          <w:p>
            <w:pPr>
              <w:jc w:val="center"/>
              <w:ind w:right="21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144,240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79,953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283,805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221,819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73,508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105,311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revenue</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217,748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94,737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389,116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252,426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50,317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167,431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314,741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230,936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66,135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134,309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132,178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52,794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26,167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46,681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9,022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16,689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128,954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250,473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210,208</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38,477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6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38,538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64,551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11,142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27,396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8"/>
              </w:rPr>
              <w:t>Net loss attributable to redeemable noncontrolling interest</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8"/>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2"/>
              </w:rPr>
              <w:t>Six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7"/>
          </w:tcPr>
          <w:p>
            <w:pPr>
              <w:ind w:left="3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8"/>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8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206,584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89,746</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369,595</w:t>
            </w:r>
          </w:p>
        </w:tc>
        <w:tc>
          <w:tcPr>
            <w:tcW w:w="10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237,752</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6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11,164</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4,991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19,521</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14,674</w:t>
            </w: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217,748</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94,737</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389,116</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252,426</w:t>
            </w: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8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15,337</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69,584</w:t>
            </w:r>
          </w:p>
        </w:tc>
        <w:tc>
          <w:tcPr>
            <w:tcW w:w="10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35,599</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International</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(6,628)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(5,316)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(14,871)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38,477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64,268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ind w:firstLine="382"/>
        <w:spacing w:after="0" w:line="277" w:lineRule="auto"/>
        <w:rPr>
          <w:sz w:val="20"/>
          <w:szCs w:val="20"/>
          <w:color w:val="auto"/>
        </w:rPr>
      </w:pPr>
      <w:r>
        <w:rPr>
          <w:rFonts w:ascii="Arial" w:cs="Arial" w:eastAsia="Arial" w:hAnsi="Arial"/>
          <w:sz w:val="18"/>
          <w:szCs w:val="18"/>
          <w:color w:val="auto"/>
        </w:rPr>
        <w:t>The following table sets forth our selected consolidated income statements data as a percentage of revenue for each of the periods indicated. Amounts in tables below may not sum due to rounding.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3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Marketplace subscription</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Total revenue</w:t>
            </w:r>
          </w:p>
        </w:tc>
        <w:tc>
          <w:tcPr>
            <w:tcW w:w="6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Gross profit</w:t>
            </w:r>
          </w:p>
        </w:tc>
        <w:tc>
          <w:tcPr>
            <w:tcW w:w="6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66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w:t>
            </w: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9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3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100%</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100%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International</w:t>
            </w:r>
          </w:p>
        </w:tc>
        <w:tc>
          <w:tcPr>
            <w:tcW w:w="66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5700" w:type="dxa"/>
            <w:vAlign w:val="bottom"/>
            <w:gridSpan w:val="2"/>
          </w:tcPr>
          <w:p>
            <w:pPr>
              <w:ind w:left="496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For the three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144,240</w:t>
            </w:r>
          </w:p>
        </w:tc>
        <w:tc>
          <w:tcPr>
            <w:tcW w:w="2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79,953</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64,287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58,724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217,748</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94,737</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123,011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Overall revenue increased by $123.0 million, or 130%, in the three months ended June 30, 2021 compared to the three months ended June 30,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by 397% and marketplace subscription revenue increased by 80%.</w:t>
      </w:r>
    </w:p>
    <w:p>
      <w:pPr>
        <w:spacing w:after="0" w:line="211"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Marketplace subscription revenue increased by $64.3 million in the three months ended June 30, 2021 compared to the three months ended June 30, 2020 and represented 66% of total revenue for the three months ended June 30, 2021 and 84% of total revenue for the three months ended June 30, 2020. The increase was due primarily to the approximately $50 million impact of fee reductions that we provided to our paying dealers during the second quarter of 2020 in response to the COVID-19 pandemic, of which approximately $47 million resulted in revenue reductions during such quarter, with the remaining impact spread over the life of the contract term. The increase in marketplace subscription revenue was also due in part to expansion across our dealer base. The expansion was driven by rate increases and product upgrades for existing dealers and signing on new dealers with higher average monthly recurring revenue.</w:t>
      </w:r>
    </w:p>
    <w:p>
      <w:pPr>
        <w:spacing w:after="0" w:line="222"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Other revenue increased by $58.7 million in the three months ended June 30, 2021 compared to the three months ended June 30, 2020 and represented 34% of total revenue for the three months ended June 30, 2021 and 16% of total revenue for the three months ended June 30, 2020. The increase was due primarily to a $57.3 million increase in wholesale revenue due to our acquisition of a 51% interest in CarOffer.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United States</w:t>
            </w:r>
          </w:p>
        </w:tc>
        <w:tc>
          <w:tcPr>
            <w:tcW w:w="1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206,584</w:t>
            </w:r>
          </w:p>
        </w:tc>
        <w:tc>
          <w:tcPr>
            <w:tcW w:w="2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89,746</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116,838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217,748</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94,737</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123,011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United States</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82"/>
        <w:spacing w:after="0" w:line="273" w:lineRule="auto"/>
        <w:rPr>
          <w:sz w:val="20"/>
          <w:szCs w:val="20"/>
          <w:color w:val="auto"/>
        </w:rPr>
      </w:pPr>
      <w:r>
        <w:rPr>
          <w:rFonts w:ascii="Arial" w:cs="Arial" w:eastAsia="Arial" w:hAnsi="Arial"/>
          <w:sz w:val="17"/>
          <w:szCs w:val="17"/>
          <w:color w:val="auto"/>
        </w:rPr>
        <w:t>United States revenue increased $116.8 million, or 130%, in the three months ended June 30, 2021 compared to the three months ended June 30, 2020. The increase was due primarily to a $57.3 million increase in wholesale revenue due to our acquisition of a 51% interest in CarOffer. Additionally, the increase was due to approximately $44 million in revenue reductions during the second quarter of 2020 as a result of the impact of fee reductions that we provided to our United States paying dealers during such quarter in response to the COVID-19 pandemic. The increase in United States revenue was also due in part to expansion across our dealer base. The expansion was driven by rate increases and product upgrades for existing dealers and signing on new dealers with higher average monthly recurring revenue.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ind w:firstLine="382"/>
        <w:spacing w:after="0" w:line="257" w:lineRule="auto"/>
        <w:rPr>
          <w:sz w:val="20"/>
          <w:szCs w:val="20"/>
          <w:color w:val="auto"/>
        </w:rPr>
      </w:pPr>
      <w:r>
        <w:rPr>
          <w:rFonts w:ascii="Arial" w:cs="Arial" w:eastAsia="Arial" w:hAnsi="Arial"/>
          <w:sz w:val="18"/>
          <w:szCs w:val="18"/>
          <w:color w:val="auto"/>
        </w:rPr>
        <w:t>International revenue increased $6.2 million, or 124%, in the three months ended June 30, 2021 compared to the three months ended June 30, 2020. The increase was due primarily to approximately $3 million in revenue reductions during the second quarter of 2020 as a result of the impact of fee reductions that we provided to our international paying dealers during such quarter in response to the COVID-19 pandemic. The increase in international revenue was also due in part to expansion across our dealer base. The expansion was driven by rate increases and product upgrades for existing dealers and signing on new dealers with higher average monthly recurring revenue.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50,317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40,437</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Cost of revenue increased $40.4 million, or 409%, in the three months ended June 30, 2021 compared to the three months ended June 30, 2020. The increase was due primarily to $38.9 million in cost of revenue attributable to our wholesale offerings from CarOffer.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66,135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38,583</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27,552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82"/>
        <w:spacing w:after="0" w:line="271" w:lineRule="auto"/>
        <w:rPr>
          <w:sz w:val="20"/>
          <w:szCs w:val="20"/>
          <w:color w:val="auto"/>
        </w:rPr>
      </w:pPr>
      <w:r>
        <w:rPr>
          <w:rFonts w:ascii="Arial" w:cs="Arial" w:eastAsia="Arial" w:hAnsi="Arial"/>
          <w:sz w:val="17"/>
          <w:szCs w:val="17"/>
          <w:color w:val="auto"/>
        </w:rPr>
        <w:t>Sales and marketing expenses increased $27.6 million, or 71%, in the three months ended June 30, 2021 compared to the three months ended June 30, 2020. The increase was due primarily to a $19.8 million increase in advertising costs and a $1.5 million increase in marketing costs relative to advertising and marketing costs in the second quarter of 2020, during which we implemented cost savings efforts in response to the COVID-19 pandemic. The increase was also due in part to a $4.6 million increase in salaries and employee-related costs. The increase in salaries and employee-related costs was primarily driven by an increase in commissions expense, resulting from a decrease of capitalizable costs to obtain contracts and an increase of non-capitalizable costs to obtain contracts. The increase in sales and marketing expenses was also due in part to a $0.7 million increase in consultant and recruiting expenses and a $0.5 million increase in software subscriptions. The increase for the three months ended June 30, 2021 is inclusive of a $4.2 million increase in sales and marketing expenses associated with CarOffer.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27,630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5,743</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Product, technology, and development expenses increased $5.7 million, or 26%, in the three months ended June 30, 2021 compared to the three months ended June 30, 2020. The increase was due primarily to a $3.7 million increase in salaries and employee-related costs, exclusive of stock-based compensation expense, which increased $0.9 million. The increase in salaries and employee-related costs was due primarily to a 35% increase in headcount due in part to our acquisition of CarOffer, and an increase in expected bonus attainment in comparison to the three months ended June 30, 2020 due to improved performance since the outset of the COVID-19 pandemic. The increase in stock-based compensation expense was due primarily to the revaluation of certain liability-based stock awards and annual retention grants. The increase in product, technology and development expenses was also due to a $1.2 million increase in consultant expenses. The increase for the three months ended June 30, 2021 is inclusive of a $1.8 million increase in product, technology,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and development expenses associated with CarOffer.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26,167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12,009</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General and administrative expenses increased $12.0 million, or 85%, in the three months ended June 30, 2021 compared to the three months ended June 30, 2020. The increase was due primarily to a $1.3 million increase in salaries and employee related costs, exclusive of stock-based compensation expense, which increased $9.2 million. The increase in salaries and employee-related costs was due primarily to a 21% increase in headcount due primarily to our acquisition of CarOffer, and an increase in expected bonus attainment in comparison to the three months ended June 30, 2020 due to improved performance since the outset of the COVID-19 pandemic. The increase in stock-based compensation expense was due primarily to the revaluation of certain liability-based stock awards and annual retention grants. The increase in general and administrative expenses is also due in part to a $0.9 million increase in costs related to payment processing and billing due to increased customer transactions as a result of increased revenue and a $0.5 million increase in consulting expenses. The increase for the three months ended June 30, 2021 is inclusive of a $7.1 million increase in general and administrative expenses associated with CarOffer.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9,022</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7,502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382"/>
        <w:spacing w:after="0" w:line="308" w:lineRule="auto"/>
        <w:rPr>
          <w:sz w:val="20"/>
          <w:szCs w:val="20"/>
          <w:color w:val="auto"/>
        </w:rPr>
      </w:pPr>
      <w:r>
        <w:rPr>
          <w:rFonts w:ascii="Arial" w:cs="Arial" w:eastAsia="Arial" w:hAnsi="Arial"/>
          <w:sz w:val="17"/>
          <w:szCs w:val="17"/>
          <w:color w:val="auto"/>
        </w:rPr>
        <w:t>Depreciation and amortization expenses increased $7.5 million, or 494%, in the three months ended June 30, 2021 compared to the three months ended June 30, 2020, due primarily to an increase in amortization of intangible assets related to the acquired intangible assets from CarOffer.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4"/>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(413)</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Total other income, net decreased $0.4 million, or 87%, in the three months ended June 30, 2021 compared to the three months ended June 30, 2020, due primarily to a $0.3 million decrease in interest income as a result of a decline in interest rates associated with our investments in certificates of deposit during the three months ended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11,142</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9,090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p>
      <w:pPr>
        <w:jc w:val="both"/>
        <w:ind w:firstLine="382"/>
        <w:spacing w:after="0" w:line="301" w:lineRule="auto"/>
        <w:rPr>
          <w:sz w:val="20"/>
          <w:szCs w:val="20"/>
          <w:color w:val="auto"/>
        </w:rPr>
      </w:pPr>
      <w:r>
        <w:rPr>
          <w:rFonts w:ascii="Arial" w:cs="Arial" w:eastAsia="Arial" w:hAnsi="Arial"/>
          <w:sz w:val="16"/>
          <w:szCs w:val="16"/>
          <w:color w:val="auto"/>
        </w:rPr>
        <w:t>The provision for income taxes recorded during the three months ended June 30, 2021, as compared to the provision for income taxes recorded during the three months ended June 30, 2020 was principally due to increased profitability in excess of tax attributes available to offset. Additionally, there was $0.6 million tax expense recorded during the three months ended June 30, 2021in connection with the Section 162(m) excess officer compensation limitation, which became applicable upon the expiration in May 2021 of the transition period permitted following our initial public offering, or IPO.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6"/>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40,194</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15,337</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(6,628)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38,477</w:t>
            </w:r>
          </w:p>
        </w:tc>
        <w:tc>
          <w:tcPr>
            <w:tcW w:w="20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080" w:type="dxa"/>
            <w:vAlign w:val="bottom"/>
          </w:tcPr>
          <w:p>
            <w:pPr>
              <w:spacing w:after="0"/>
              <w:rPr>
                <w:sz w:val="20"/>
                <w:szCs w:val="20"/>
                <w:color w:val="auto"/>
              </w:rPr>
            </w:pPr>
            <w:r>
              <w:rPr>
                <w:rFonts w:ascii="Arial" w:cs="Arial" w:eastAsia="Arial" w:hAnsi="Arial"/>
                <w:sz w:val="18"/>
                <w:szCs w:val="18"/>
                <w:b w:val="1"/>
                <w:bCs w:val="1"/>
                <w:color w:val="auto"/>
              </w:rPr>
              <w:t>Percentage of segment revenue:</w:t>
            </w:r>
          </w:p>
        </w:tc>
        <w:tc>
          <w:tcPr>
            <w:tcW w:w="25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5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19%</w:t>
            </w:r>
          </w:p>
        </w:tc>
        <w:tc>
          <w:tcPr>
            <w:tcW w:w="3500" w:type="dxa"/>
            <w:vAlign w:val="bottom"/>
            <w:shd w:val="clear" w:color="auto" w:fill="CFF0FC"/>
          </w:tcPr>
          <w:p>
            <w:pPr>
              <w:jc w:val="right"/>
              <w:ind w:right="2530"/>
              <w:spacing w:after="0"/>
              <w:rPr>
                <w:sz w:val="20"/>
                <w:szCs w:val="20"/>
                <w:color w:val="auto"/>
              </w:rPr>
            </w:pPr>
            <w:r>
              <w:rPr>
                <w:rFonts w:ascii="Arial" w:cs="Arial" w:eastAsia="Arial" w:hAnsi="Arial"/>
                <w:sz w:val="18"/>
                <w:szCs w:val="18"/>
                <w:color w:val="auto"/>
              </w:rPr>
              <w:t>17%</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International</w:t>
            </w:r>
          </w:p>
        </w:tc>
        <w:tc>
          <w:tcPr>
            <w:tcW w:w="252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3500" w:type="dxa"/>
            <w:vAlign w:val="bottom"/>
          </w:tcPr>
          <w:p>
            <w:pPr>
              <w:jc w:val="right"/>
              <w:ind w:right="2470"/>
              <w:spacing w:after="0"/>
              <w:rPr>
                <w:sz w:val="20"/>
                <w:szCs w:val="20"/>
                <w:color w:val="auto"/>
              </w:rPr>
            </w:pPr>
            <w:r>
              <w:rPr>
                <w:rFonts w:ascii="Arial" w:cs="Arial" w:eastAsia="Arial" w:hAnsi="Arial"/>
                <w:sz w:val="18"/>
                <w:szCs w:val="18"/>
                <w:color w:val="auto"/>
              </w:rPr>
              <w:t>(133)%</w:t>
            </w:r>
          </w:p>
        </w:tc>
      </w:tr>
    </w:tbl>
    <w:p>
      <w:pPr>
        <w:spacing w:after="0" w:line="228"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United States income from operations increased $24.9 million, or 162%, in the three months ended June 30, 2021 compared to the three months ended June 30, 2020. The increase was due to increases in revenue of $116.8 million, offset in part by an increase in operating expenses of $50.3 and an increase in cost of revenue of $41.6 million.</w:t>
      </w:r>
    </w:p>
    <w:p>
      <w:pPr>
        <w:spacing w:after="0" w:line="184"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International loss from operations decreased $4.9 million, or 74%, in the three months ended June 30, 2021 compared to the three months ended June 30, 2020. The decrease was due to an increase in revenue of $6.2 million and a decrease in cost of revenue of $1.1 million, offset in part by an increase in operating expenses of $2.4 million.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283,805</w:t>
            </w:r>
          </w:p>
        </w:tc>
        <w:tc>
          <w:tcPr>
            <w:tcW w:w="2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221,819</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61,986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74,704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389,116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252,426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136,690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Overall revenue increased by $136.7 million, or 54%, in the six months ended June 30, 2021 compared to the six months ended June 30, 2020. Other revenue increased by 244% and marketplace subscription revenue increased by 28%.</w:t>
      </w:r>
    </w:p>
    <w:p>
      <w:pPr>
        <w:spacing w:after="0" w:line="238"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Marketplace subscription revenue increased by $62.0 million in the six months ended June 30, 2021 compared to the six months ended June 30, 2020 and represented 73% of total revenue for the six months ended June 30, 2021 and 88% of total revenue for the six months ended June 30, 2020. The increase was due primarily to the approximately $50 million impact of fee reductions that we provided to our paying dealers during the second quarter of 2020 in response to the COVID-19 pandemic, of which approximately $47 million resulted in revenue reductions during such quarter, with the remaining impact spread over the life of the contract term. The increase in marketplace subscription revenue was also due in part to expansion across our dealer base. The expansion was driven by rate increases and product upgrades for existing dealers and signing on new dealers with higher average monthly recurring revenue.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8" w:name="page39"/>
    <w:bookmarkEnd w:id="38"/>
    <w:p>
      <w:pPr>
        <w:jc w:val="both"/>
        <w:ind w:firstLine="382"/>
        <w:spacing w:after="0" w:line="263" w:lineRule="auto"/>
        <w:rPr>
          <w:sz w:val="20"/>
          <w:szCs w:val="20"/>
          <w:color w:val="auto"/>
        </w:rPr>
      </w:pPr>
      <w:r>
        <w:rPr>
          <w:rFonts w:ascii="Arial" w:cs="Arial" w:eastAsia="Arial" w:hAnsi="Arial"/>
          <w:sz w:val="18"/>
          <w:szCs w:val="18"/>
          <w:color w:val="auto"/>
        </w:rPr>
        <w:t>Other revenue increased by $74.7 million in the six months ended June 30, 2021 compared to the six months ended June 30, 2020 and represented 27% of total revenue for the six months ended June 30, 2021 and 12% of total revenue for the six months ended June 30, 2020. The increase was due primarily to a $72.9 million increase in wholesale revenue due to our acquisition of a 51% interest in CarOffer.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United States</w:t>
            </w:r>
          </w:p>
        </w:tc>
        <w:tc>
          <w:tcPr>
            <w:tcW w:w="1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369,595</w:t>
            </w:r>
          </w:p>
        </w:tc>
        <w:tc>
          <w:tcPr>
            <w:tcW w:w="2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237,752</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131,843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9"/>
              </w:rPr>
              <w:t>33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6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389,116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252,426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136,690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United States</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16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82"/>
        <w:spacing w:after="0" w:line="255" w:lineRule="auto"/>
        <w:rPr>
          <w:sz w:val="20"/>
          <w:szCs w:val="20"/>
          <w:color w:val="auto"/>
        </w:rPr>
      </w:pPr>
      <w:r>
        <w:rPr>
          <w:rFonts w:ascii="Arial" w:cs="Arial" w:eastAsia="Arial" w:hAnsi="Arial"/>
          <w:sz w:val="18"/>
          <w:szCs w:val="18"/>
          <w:color w:val="auto"/>
        </w:rPr>
        <w:t>United States revenue increased $131.8 million, or 55%, in the six months ended June 30, 2021 compared to the six months ended June 30, 2020. The increase was due primarily to a $72.9 million increase in wholesale revenue due to our acquisition of a 51% interest in CarOffer. Additionally, the increase was due to approximately $44 million in revenue reductions during the second quarter of 2020 as a result of the impact of fee reductions that we provided to our United States paying dealers during such quarter in response to the COVID-19 pandemic. The increase in United States revenue was also due in part to expansion across our dealer base. The expansion was driven by rate increases and product upgrades for existing dealers and signing on new dealers with higher average monthly recurring revenue.</w:t>
      </w:r>
    </w:p>
    <w:p>
      <w:pPr>
        <w:spacing w:after="0" w:line="23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International revenue increased $4.8 million, or 64%, in the six months ended June 30, 2021 compared to the six months ended June 30, 2020. The increase was due primarily to approximately $3 million in revenue reductions during the second quarter of 2020 as a result of the impact of fee reductions that we provided to our international paying dealers during such quarter in response to the COVID-19 pandemic. The increase in international revenue was also due in part to expansion across our dealer base. The expansion was driven by rate increases and product upgrades for existing dealers and signing on new dealers with higher average monthly recurring revenue.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74,375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52,885</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Cost of revenue increased $52.9 million, or 246%, in the six months ended June 30, 2021 compared to the six months ended June 30, 2020. The increase was due primarily to $52.0 million in cost of revenue attributable to our wholesale offerings from CarOffer.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134,309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132,178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2,131</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9" w:name="page40"/>
    <w:bookmarkEnd w:id="39"/>
    <w:p>
      <w:pPr>
        <w:jc w:val="both"/>
        <w:ind w:firstLine="382"/>
        <w:spacing w:after="0" w:line="253" w:lineRule="auto"/>
        <w:rPr>
          <w:sz w:val="20"/>
          <w:szCs w:val="20"/>
          <w:color w:val="auto"/>
        </w:rPr>
      </w:pPr>
      <w:r>
        <w:rPr>
          <w:rFonts w:ascii="Arial" w:cs="Arial" w:eastAsia="Arial" w:hAnsi="Arial"/>
          <w:sz w:val="18"/>
          <w:szCs w:val="18"/>
          <w:color w:val="auto"/>
        </w:rPr>
        <w:t>Sales and marketing expenses increased $2.1 million, or 2%, in the six months ended June 30, 2021 compared to the six months ended June 30, 2020. The increase was due primarily to a $4.6 million increase in salaries and employee-related costs. The increase in salaries and employee-related costs was primarily driven by an increase in commissions expense, resulting from a decrease of capitalizable costs to obtain contracts and an increase of non-capitalizable costs to obtain contracts. The increase in sales and marketing expense was also due in part to an increase of $1.3 million in marketing costs relative to marketing costs in the second quarter of 2020, during which we implemented cost savings efforts in response to the COVID-19 pandemic. This increase was offset in part by a decrease of $3.8 million in advertising costs due to a gain in efficiency of algorithmic traffic acquisition and a deliberate reduction in spend as a result of marketing conditions, strong consumer demand for cars and automotive inventory supply issues due to global semiconductor chip shortage. The increase for the six months ended June 30, 2021 is inclusive of a $5.1 million increase in sales and marketing expenses associated with CarOffer.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52,794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7,823</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82"/>
        <w:spacing w:after="0" w:line="272" w:lineRule="auto"/>
        <w:rPr>
          <w:sz w:val="20"/>
          <w:szCs w:val="20"/>
          <w:color w:val="auto"/>
        </w:rPr>
      </w:pPr>
      <w:r>
        <w:rPr>
          <w:rFonts w:ascii="Arial" w:cs="Arial" w:eastAsia="Arial" w:hAnsi="Arial"/>
          <w:sz w:val="17"/>
          <w:szCs w:val="17"/>
          <w:color w:val="auto"/>
        </w:rPr>
        <w:t>Product, technology, and development expenses increased $7.8 million, or 17%, in the six months ended June 30, 2021 compared to the six months ended June 30, 2020. The increase was due primarily to a $6.0 million increase in salaries and employee-related costs, exclusive of stock-based compensation expense, which increased $1.3 million. The increase in salaries and employee-related costs was due primarily to a 35% increase in headcount, due in part to our acquisition of CarOffer, and an increase in expected bonus attainment in comparison to the six months ended June 30, 2020 due to improved performance since the outset of the COVID-19 pandemic. The increase in stock-based compensation expense was due primarily to annual retention grants and the revaluation of certain liability-based stock awards. The increase for the six months ended June 30, 2021 is inclusive of a $2.8 million increase in product, technology, and development expenses associated with CarOffer.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46,681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16,663</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General and administrative expenses increased $16.7 million, or 56%, in the six months ended June 30, 2021 compared to the six months ended June 30, 2020. The increase was due primarily to a $2.1 million increase in salaries and employee-related costs, exclusive of stock-based compensation expense, which increased $12.5 million. The increase in salaries and employee-related costs was due primarily to a 21% increase in headcount, due primarily to our acquisition of CarOffer, and an increase in expected bonus attainment in comparison to the six months ended June 30, 2020 due to improved performance since the outset of the COVID-19 pandemic. The increase in stock-based compensation expense was due primarily to the revaluation of certain liability-based stock awards and annual retention grants. The increase in general and administrative expenses is also due in part to a $0.9 million increase in consulting expenses and a $0.8 million increase in costs related to payment processing and billing due to increased customer transactions as a result of increased revenue. The increase for the six months ended June 30, 2021 is inclusive of a $9.1 million increase in general and administrative expenses associated with CarOffer.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16,689</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13,648</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0" w:name="page41"/>
    <w:bookmarkEnd w:id="40"/>
    <w:p>
      <w:pPr>
        <w:jc w:val="both"/>
        <w:ind w:firstLine="382"/>
        <w:spacing w:after="0" w:line="308" w:lineRule="auto"/>
        <w:rPr>
          <w:sz w:val="20"/>
          <w:szCs w:val="20"/>
          <w:color w:val="auto"/>
        </w:rPr>
      </w:pPr>
      <w:r>
        <w:rPr>
          <w:rFonts w:ascii="Arial" w:cs="Arial" w:eastAsia="Arial" w:hAnsi="Arial"/>
          <w:sz w:val="17"/>
          <w:szCs w:val="17"/>
          <w:color w:val="auto"/>
        </w:rPr>
        <w:t>Depreciation and amortization expenses increased $13.6 million, or 449%, in the six months ended June 30, 2021 compared to the six months ended June 30, 2020, due primarily to an increase in amortization of intangible assets related to the acquired intangible assets from CarOffer.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4"/>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(919)</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Total other income, net decreased $0.9 million, or 76%, in the six months ended June 30, 2021 compared to the six months ended June 30, 2020, due primarily to a $0.8 million decrease in interest income as a result of a decline in interest rates associated with our investments in certificates of deposit during the six months ended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17,604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15,501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82"/>
        <w:spacing w:after="0" w:line="255" w:lineRule="auto"/>
        <w:rPr>
          <w:sz w:val="20"/>
          <w:szCs w:val="20"/>
          <w:color w:val="auto"/>
        </w:rPr>
      </w:pPr>
      <w:r>
        <w:rPr>
          <w:rFonts w:ascii="Arial" w:cs="Arial" w:eastAsia="Arial" w:hAnsi="Arial"/>
          <w:sz w:val="18"/>
          <w:szCs w:val="18"/>
          <w:color w:val="auto"/>
        </w:rPr>
        <w:t>The provision for income taxes recorded during the six months ended June 30, 2021, as compared to the provision for income taxes recorded during the six months ended June 30, 2020 was principally due to increased profitability in excess of tax attributes available to offset. Additionally, there was $0.6 million tax expense related to excess stock-based compensation deductions recorded during the six months ended June 30, 2021, compared to $0.5 million tax benefit recorded during the six months ended June 30, 2020. Furthermore, $0.6 million tax expense was recorded during the six months ended June 30, 2021 in connection with the Section 162(m) excess officer compensation limitation, which became applicable upon the expiration in May 2021 of the transition period permitted following our IPO.</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69,584</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35,599</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International</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(5,316)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(14,871)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9,555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20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vMerge w:val="continue"/>
            <w:shd w:val="clear" w:color="auto" w:fill="CFF0FC"/>
          </w:tcPr>
          <w:p>
            <w:pPr>
              <w:spacing w:after="0"/>
              <w:rPr>
                <w:sz w:val="19"/>
                <w:szCs w:val="19"/>
                <w:color w:val="auto"/>
              </w:rPr>
            </w:pPr>
          </w:p>
        </w:tc>
        <w:tc>
          <w:tcPr>
            <w:tcW w:w="20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64,268</w:t>
            </w:r>
          </w:p>
        </w:tc>
        <w:tc>
          <w:tcPr>
            <w:tcW w:w="20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20,728</w:t>
            </w:r>
          </w:p>
        </w:tc>
        <w:tc>
          <w:tcPr>
            <w:tcW w:w="18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Percentage of segment revenue:</w:t>
            </w:r>
          </w:p>
        </w:tc>
        <w:tc>
          <w:tcPr>
            <w:tcW w:w="25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52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19%</w:t>
            </w:r>
          </w:p>
        </w:tc>
        <w:tc>
          <w:tcPr>
            <w:tcW w:w="3500" w:type="dxa"/>
            <w:vAlign w:val="bottom"/>
            <w:shd w:val="clear" w:color="auto" w:fill="CFF0FC"/>
          </w:tcPr>
          <w:p>
            <w:pPr>
              <w:jc w:val="right"/>
              <w:ind w:right="2510"/>
              <w:spacing w:after="0"/>
              <w:rPr>
                <w:sz w:val="20"/>
                <w:szCs w:val="20"/>
                <w:color w:val="auto"/>
              </w:rPr>
            </w:pPr>
            <w:r>
              <w:rPr>
                <w:rFonts w:ascii="Arial" w:cs="Arial" w:eastAsia="Arial" w:hAnsi="Arial"/>
                <w:sz w:val="18"/>
                <w:szCs w:val="18"/>
                <w:color w:val="auto"/>
              </w:rPr>
              <w:t>15%</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International</w:t>
            </w:r>
          </w:p>
        </w:tc>
        <w:tc>
          <w:tcPr>
            <w:tcW w:w="252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3500" w:type="dxa"/>
            <w:vAlign w:val="bottom"/>
          </w:tcPr>
          <w:p>
            <w:pPr>
              <w:jc w:val="right"/>
              <w:ind w:right="2450"/>
              <w:spacing w:after="0"/>
              <w:rPr>
                <w:sz w:val="20"/>
                <w:szCs w:val="20"/>
                <w:color w:val="auto"/>
              </w:rPr>
            </w:pPr>
            <w:r>
              <w:rPr>
                <w:rFonts w:ascii="Arial" w:cs="Arial" w:eastAsia="Arial" w:hAnsi="Arial"/>
                <w:sz w:val="18"/>
                <w:szCs w:val="18"/>
                <w:color w:val="auto"/>
              </w:rPr>
              <w:t>(101)%</w:t>
            </w:r>
          </w:p>
        </w:tc>
      </w:tr>
    </w:tbl>
    <w:p>
      <w:pPr>
        <w:spacing w:after="0" w:line="241"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United States income from operations increased $34.0 million, or 95%, in the six months ended June 30, 2021 compared to the six months ended June 30, 2020. This increase was due to increases in revenue of $131.8 million, offset in part by increases in cost of revenue of $54.7 million and increases in operating expenses of $43.1 million.</w:t>
      </w:r>
    </w:p>
    <w:p>
      <w:pPr>
        <w:spacing w:after="0" w:line="251"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International loss from operations decreased $9.6 million, or 64%, in the six months ended June 30, 2021 compared to the six months ended June 30, 2020. The decrease was due to increases in revenue of $4.8 million, decreases in operating expenses of $2.9 million and decreases in cost of revenue of $1.9 million.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At June 30, 2021 and December 31, 2020, our principal sources of liquidity were cash and cash equivalents of $184.6 million and $190.3 million, respectively, and investments in certificates of deposit with terms of greater than 90 days but less than one year of $85.0 million and $100.0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jc w:val="both"/>
        <w:ind w:right="20" w:firstLine="382"/>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175"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Six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580" w:type="dxa"/>
        <w:tblCellMar>
          <w:top w:w="0" w:type="dxa"/>
          <w:left w:w="0" w:type="dxa"/>
          <w:bottom w:w="0" w:type="dxa"/>
          <w:right w:w="0" w:type="dxa"/>
        </w:tblCellMar>
      </w:tblPr>
      <w:tr>
        <w:trPr>
          <w:trHeight w:val="156"/>
        </w:trPr>
        <w:tc>
          <w:tcPr>
            <w:tcW w:w="69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81,335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34,928</w:t>
            </w:r>
          </w:p>
        </w:tc>
        <w:tc>
          <w:tcPr>
            <w:tcW w:w="10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(56,054)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43,422</w:t>
            </w:r>
          </w:p>
        </w:tc>
        <w:tc>
          <w:tcPr>
            <w:tcW w:w="10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(22,073)</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(4,875)</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382"/>
        <w:spacing w:after="0" w:line="277" w:lineRule="auto"/>
        <w:rPr>
          <w:sz w:val="20"/>
          <w:szCs w:val="20"/>
          <w:color w:val="auto"/>
        </w:rPr>
      </w:pPr>
      <w:r>
        <w:rPr>
          <w:rFonts w:ascii="Arial" w:cs="Arial" w:eastAsia="Arial" w:hAnsi="Arial"/>
          <w:sz w:val="18"/>
          <w:szCs w:val="18"/>
          <w:color w:val="auto"/>
        </w:rPr>
        <w:t>Our operations have been financed primarily from operating activities. We generated cash from operating activities of $81.3 million during the six months ended June 30, 2021, and $34.9 million during the six months ended June 30, 2020.</w:t>
      </w:r>
    </w:p>
    <w:p>
      <w:pPr>
        <w:spacing w:after="0" w:line="170"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7"/>
          <w:szCs w:val="17"/>
          <w:color w:val="auto"/>
        </w:rPr>
        <w:t>We believe that our existing sources of liquidity will be sufficient to fund our operations for at least the next 12 months from the date of the filing of this Quarterly Report. During the second quarter of 2020 in connection with the COVID-19 pandemic, we implemented the Expense Reduction Plan, pursuant to which we reduced our workforce, ceased operation of certain international marketplaces, halted expansion efforts in any new international markets, and implemented targeted reductions in sales and marketing expenses, including across both algorithmic traffic acquisition and brand spend, and discretionary operating expenses. Our future capital requirements will depend on many factors, including the further impact of the COVID-19 pandemic, our revenue, costs associated with our sales and marketing activities and the support of our product, technology, and development efforts, our investments in international markets, and the timing and extent of our cost savings related to the Expense Reduction Plan. Cash from operations could also be affected by various risks and uncertainties, including, but not limited to, the effects of the COVID-19 pandemic and other risks detailed in the “Risk Factors” section of this Quarterly Report.</w:t>
      </w:r>
    </w:p>
    <w:p>
      <w:pPr>
        <w:spacing w:after="0" w:line="181" w:lineRule="exact"/>
        <w:rPr>
          <w:sz w:val="20"/>
          <w:szCs w:val="20"/>
          <w:color w:val="auto"/>
        </w:rPr>
      </w:pPr>
    </w:p>
    <w:p>
      <w:pPr>
        <w:jc w:val="both"/>
        <w:ind w:right="20" w:firstLine="382"/>
        <w:spacing w:after="0" w:line="342" w:lineRule="auto"/>
        <w:rPr>
          <w:sz w:val="20"/>
          <w:szCs w:val="20"/>
          <w:color w:val="auto"/>
        </w:rPr>
      </w:pPr>
      <w:r>
        <w:rPr>
          <w:rFonts w:ascii="Arial" w:cs="Arial" w:eastAsia="Arial" w:hAnsi="Arial"/>
          <w:sz w:val="16"/>
          <w:szCs w:val="16"/>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Cash provided by operating activities of $81.3 million during the six months ended June 30, 2021 was due primarily to consolidated net income of $46.9 million, adjusted for $28.7 million of stock-based compensation expense for equity classified awards, $18.8 million of depreciation and amortization, $6.5 million of amortization of deferred contract costs, $2.3 million of deferred taxes, and $0.5 million of provision for doubtful accounts. Cash provided by operating activities was also attributable to a $15.6 million increase in accrued expenses, accrued income taxes and other liabilities, a $15.3 million increase in accounts payable, and a $4.0 million increase in deferred revenue. The increases in cash flow from operations were partially offset by a $48.0 million increase in accounts receivable, net, a $5.1 million increase in deferred contract costs and a $4.0 million increase in prepaid expenses, prepaid income taxes, and other assets.</w:t>
      </w:r>
    </w:p>
    <w:p>
      <w:pPr>
        <w:spacing w:after="0" w:line="195"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212529"/>
        </w:rPr>
        <w:t>Cash provided by operating activities of $34.9 million during the six months ended June 30, 2020 was due primarily to net income of $19.8 million, adjusted for $23.4 million of stock-based compensation expense for equity classified awards, $6.3 million of depreciation and amortization, $5.6 million of amortization of deferred contract costs, $4.7 million of deferred taxes, and $1.7 million of provision for doubtful accounts. Cash provided by operating activities was also attributable to a $5.7 million decrease in accounts receivable, a $2.8 decrease in prepaid expenses, prepaid income taxes, and other assets, and a $0.9 million increase in lease obligations. The increases in cash flow from operations were partially offset by a $25.9 million decrease in accounts payable, a $4.1 million decrease in accrued expenses, accrued income taxes, and other liabilities, a $4.1 million increase in deferred contract costs and a $1.8 million decrease in deferred revenue.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Cash used in investing activities of $56.1 million during the six months ended June 30, 2021 was due to $64.3 million of cash paid for acquisitions, net of cash acquired, $4.7 million of purchases of property and equipment and $2.1 million related to the capitalization of website development costs, offset in part by $60 million of maturities of certificates of deposit, net of investments in certificates of deposit of $45 million.</w:t>
      </w:r>
    </w:p>
    <w:p>
      <w:pPr>
        <w:spacing w:after="0" w:line="165"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Cash provided by investing activities of $43.4 million during the six months ended June 30, 2020 was due to maturities of certificates of deposit of $68.7 million, offset in part by $21.0 million of cash paid for acquisitions, $2.6 million of purchases of property and equipment, and $1.7 million related to the capitalization of website development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Cash used in financing activities of $22.1 million during the six months ended June 30, 2021 was due primarily to CarOffer’s repayment of a line of credit of $14.3 million and our payment of withholding taxes on net share settlements of restricted stock units of $8.2 million, partially offset by $0.4 million related to the proceeds from the issuance of common stock related to the exercise of vested stock options.</w:t>
      </w:r>
    </w:p>
    <w:p>
      <w:pPr>
        <w:spacing w:after="0" w:line="184"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Cash used in financing activities of $4.9 million during the six months ended June 30, 2020 was due primarily to the payment of withholding taxes on net share settlements of restricted stock units of $5.8 million, partially offset by $0.9 million related to the proceeds from the issuance of common stock related to the exercise of vested stock options.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As of June 30, 2021, there were no material changes in our contractual obligations and commitments from those disclosed in our Annual Report, other than those appearing in the notes to the Unaudited Condensed Consolidated Financial Statements appearing elsewhere in this Quarterly Report, which are hereby incorporated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As of June 30, 2021 and December 31, 2020, we did not have any off-balance sheet arrangements, or leases that are less than twelve months in duration, that have or are reasonably likely to have a current or future material effect on our financial condition, changes in financial condition, revenues or expenses, results of operations, liquidity, capital expenditures, or capital resources.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us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4"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our estimates if these results differ from historical experience, or other assumptions do not turn out to be substantially accurate, even if such assumptions are reasonable when made. Changes in estimates are recorded in the period in which they become known.</w:t>
      </w:r>
    </w:p>
    <w:p>
      <w:pPr>
        <w:spacing w:after="0" w:line="18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6"/>
          <w:szCs w:val="16"/>
          <w:color w:val="auto"/>
        </w:rPr>
        <w:t>Significant estimates relied upon in preparing the Unaudited Condensed Consolidated Financial Statements include the determination of sales allowance and variable consideration in our revenue recognition, allowance for doubtful accounts, the valuation of redeemable noncontrolling interest, valuation of equity and liability-classified compensation awards under ASC 718, the expensing and capitalization of product, technology, and development costs for website development and internal-use software, the valuation and recoverability of goodwill, intangible assets and other long-lived assets, and the recoverability of our net deferred tax assets and related valuation allowance. Accordingly, we consider these to be our critical accounting policies.</w:t>
      </w:r>
    </w:p>
    <w:p>
      <w:pPr>
        <w:spacing w:after="0" w:line="161"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For a detailed explanation of the judgments made in these areas, refer to Note 2 to our Unaudited Condensed Consolidated Financial Statements appearing elsewhere in this Quarterly Report and “Management’s Discussion and Analysis of Financial Condition and Results of Operations” in our Annual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did not have any long-term borrowings at June 30, 2021 or at December 31, 2020.</w:t>
      </w:r>
    </w:p>
    <w:p>
      <w:pPr>
        <w:spacing w:after="0" w:line="225" w:lineRule="exact"/>
        <w:rPr>
          <w:sz w:val="20"/>
          <w:szCs w:val="20"/>
          <w:color w:val="auto"/>
        </w:rPr>
      </w:pPr>
    </w:p>
    <w:p>
      <w:pPr>
        <w:jc w:val="both"/>
        <w:ind w:firstLine="382"/>
        <w:spacing w:after="0" w:line="308" w:lineRule="auto"/>
        <w:rPr>
          <w:sz w:val="20"/>
          <w:szCs w:val="20"/>
          <w:color w:val="auto"/>
        </w:rPr>
      </w:pPr>
      <w:r>
        <w:rPr>
          <w:rFonts w:ascii="Arial" w:cs="Arial" w:eastAsia="Arial" w:hAnsi="Arial"/>
          <w:sz w:val="17"/>
          <w:szCs w:val="17"/>
          <w:color w:val="auto"/>
        </w:rPr>
        <w:t>We had cash, cash equivalents, and investments of $269.6 million and $290.3 million at June 30, 2021 and December 31, 2020, respectively, which consisted of bank deposits, money market funds and certificates of deposit with maturity dates ranging from six to nine months.</w:t>
      </w:r>
    </w:p>
    <w:p>
      <w:pPr>
        <w:spacing w:after="0" w:line="17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Such interest-earning instruments carry a degree of interest rate risk. Given recent changes in the interest rate environment and in an effort to ensure liquidity, we expect lower returns from our investments for the foreseeable future. To date, fluctuations in interest income have not been material to the operations of the business.</w:t>
      </w:r>
    </w:p>
    <w:p>
      <w:pPr>
        <w:spacing w:after="0" w:line="184"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June 30, 2021 and December 31, 2020, we had foreign currency exposures in the British pound, the Euro and the Canadian dollar, although such exposure is not significant.</w:t>
      </w:r>
    </w:p>
    <w:p>
      <w:pPr>
        <w:spacing w:after="0" w:line="184"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the heading, other income, net. Exchange rate fluctuations on long-term intercompany accounts are recorded in our Unaudited Condensed Consolidated Balance Sheets under the heading accumulated other comprehensive income.</w:t>
      </w:r>
    </w:p>
    <w:p>
      <w:pPr>
        <w:spacing w:after="0" w:line="171" w:lineRule="exact"/>
        <w:rPr>
          <w:sz w:val="20"/>
          <w:szCs w:val="20"/>
          <w:color w:val="auto"/>
        </w:rPr>
      </w:pPr>
    </w:p>
    <w:p>
      <w:pPr>
        <w:jc w:val="both"/>
        <w:ind w:right="20" w:firstLine="382"/>
        <w:spacing w:after="0" w:line="277"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spacing w:after="0" w:line="218"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382"/>
        <w:spacing w:after="0" w:line="219"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and uncertainties described below, together with all of the other information contained in this Quarterly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we expect it to continue to be, adversely affected by the COVID-19 pandemic.</w:t>
      </w:r>
    </w:p>
    <w:p>
      <w:pPr>
        <w:spacing w:after="0" w:line="158"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7"/>
          <w:szCs w:val="17"/>
          <w:color w:val="auto"/>
        </w:rPr>
        <w:t>The COVID-19 pandemic has caused an international health crisis and resulted in significant disruptions to the global economy as well as businesses and capital markets around the world. Our operations have been materially adversely affected by a range of factors related to the COVID-19 pandemic. In March 2020, we temporarily closed all of our offices and began requiring our employees to work remotely until further notice, which has disrupted and may continue to disrupt how we operate our business. In addition, in an effort to limit the spread of COVID-19, many countries, as well as states and localities in the United States, implemented or mandated and continue to implement or mandate significant restrictions on travel and commerce, shelter-in-place or stay-at-home orders, and business closures. Fluctuation in infection rates in the regions in which we operate has resulted in periodic changes in restrictions that vary from region to region and may require rapid response to new or reinstated orders. Many of these orders resulted in, and may continue to result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and may continue to adversely affect the market for automobile purchases.</w:t>
      </w:r>
    </w:p>
    <w:p>
      <w:pPr>
        <w:spacing w:after="0" w:line="114"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7"/>
          <w:szCs w:val="17"/>
          <w:color w:val="auto"/>
        </w:rPr>
        <w:t>The automotive industry is also facing, and may continue to face, inventory supply problems, including for reasons attributable to the COVID-19 pandemic and other macroeconomic issues, such as the global semiconductor chip shortage. This decline in vehicle inventory has led to an increase in bids per vehicle at auction and corresponding increases to wholesale auction prices. As the price of replenishing inventory through wholesale auctions has increased, dealers have increased, and may continue to increase, the prices they charge consumers. A high volume of price increases on vehicle sales at a rapid rate could impact our proprietary Instant Market Values, or IMV, and distribution of Deal Ratings. In addition, if our paying dealers continue to operate at reduced inventory levels or with increased costs, they may reduce or be unwilling to increase their advertising spend with us and/or may terminate their subscriptions at the conclusion of the committed term. Our ability to add new paying dealers or increase our fees with dealers may be impeded if dealers perceive they have less of a need for our products and services because of their limited inventory. Inventory challenges in the automotive industry have adversely impacted, and could continue to adversely impact, the amount of inventory on our websites, which could contribute to a decline in the number of consumer visits to our websites and/or the number of connections between consumers and dealers through our marketplaces. These inventory-related issues resulting from the COVID-19 pandemic and other macroeconomic issues may materially and adversely impact our business, financial condition and results of operations.</w:t>
      </w:r>
    </w:p>
    <w:p>
      <w:pPr>
        <w:spacing w:after="0" w:line="98"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As a result of the travel and commerce restrictions and the impact on their businesses, a number of our dealer customers temporarily closed or are operating on a reduced capacity, and many dealerships are facing significant financial challenges. Such closures and circumstances led some paying dealers to cancel their subscriptions and/or reduce their spending with us, which has had and may continue to have a material adverse effect on our revenues and on our business. Additionally, in response to the increasing cancelations and the drop in consumer demand at the beginning of the COVID-19 pandemic, we reduced our spending on brand advertising and traffic acquisition, which contributed to fewer consumers using our platform during the year ended December 31, 2020 and each of the three months ended March 31, 2021 and June 30, 2021 compared to the prior periods, which in turn has, and may continue to, materially and adversely affect our business. While we have since restored a portion of that historical consumer spend, we may not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fully restore prior spending levels if we elect to redirect our investments elsewhere, including in favor of new product development. If such a strategy were not to result in the benefits that we expect, our business could be harmed. Our business relies on the ability of consumers to borrow funds to acquire automobiles and banks and other financing companies may limit or restrict lending to consumers as a result of the economic impacts of the COVID-19 pandemic, which may also materially and adversely affect our business.</w:t>
      </w:r>
    </w:p>
    <w:p>
      <w:pPr>
        <w:spacing w:after="0" w:line="106" w:lineRule="exact"/>
        <w:rPr>
          <w:sz w:val="20"/>
          <w:szCs w:val="20"/>
          <w:color w:val="auto"/>
        </w:rPr>
      </w:pPr>
    </w:p>
    <w:p>
      <w:pPr>
        <w:jc w:val="both"/>
        <w:ind w:firstLine="382"/>
        <w:spacing w:after="0" w:line="289" w:lineRule="auto"/>
        <w:rPr>
          <w:sz w:val="20"/>
          <w:szCs w:val="20"/>
          <w:color w:val="auto"/>
        </w:rPr>
      </w:pPr>
      <w:r>
        <w:rPr>
          <w:rFonts w:ascii="Arial" w:cs="Arial" w:eastAsia="Arial" w:hAnsi="Arial"/>
          <w:sz w:val="16"/>
          <w:szCs w:val="16"/>
          <w:color w:val="auto"/>
        </w:rPr>
        <w:t>Further, because of the significant financial challenges that dealerships have faced and continue to face as a result of the COVID-19 pandemic, we took measures to help our paying dealers maintain their business health during the COVID-19 pandemic, including by proactively reducing the subscription fees for paying dealers for certain service periods. As a result, the level of fees we received from paying dealers materially decreased during the year ended December 31, 2020, resulting in a material decline in our revenue and a material adverse effect to our business. In addition, despite our proactive fee reductions during the second quarter of 2020, we experienced increased customer cancellation rates and slowed paying dealer additions, which materially and adversely affected our business for the year ended December 31, 2020. We may again in the future experience increased cancellations and/or slowed paying dealer additions and as a result may decide to re-institute further billings relief as we continue to assess the effects of the COVID-19 pandemic on our paying dealers and business operations. During the COVID-19 pandemic, we have also experienced, and may continue to experience, increased account delinquencies from dealer customers challenged by the COVID-19 pandemic that failed to pay us on time or at all.</w:t>
      </w:r>
    </w:p>
    <w:p>
      <w:pPr>
        <w:spacing w:after="0" w:line="99"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6"/>
          <w:szCs w:val="16"/>
          <w:color w:val="auto"/>
        </w:rPr>
        <w:t>These effects from the COVID-19 pandemic on our revenue caused us to implement certain cost-savings measures across our business, which disrupted our business and operations during the year ended December 31, 2020. For example, during the second quarter of 2020, we initiated a cost-savings initiative that included a reduction in our workforce, a limitation in discretionary spend across our business and our ceasing of certain international operations and expansion efforts. We also reduced consumer marketing across both algorithmic traffic acquisition and brand spend during the year ended December 31, 2020 in comparison to the prior year in an effort to reduce expenses and as a result of suppressed dealer inventory and resulting reduced demand for leads from dealers. Despite these measures, we may not achieve the costs savings or attract consumer visits at the levels we expect, which would adversely impact our cash flows and financial condition. These expense reduction activities, and any future cost savings actions that we may take, may yield unintended consequences, such as loss of key employees, undesired attrition, and the risk that we may not achieve the anticipated cost savings at the levels we expect, any of which may have a material adverse effect on our results of operations and/or financial condition. If the COVID-19 pandemic materially impacts our revenues in the future, we may also decide that additional disruptive measures are necessary to reduce our operating expenses.</w:t>
      </w:r>
    </w:p>
    <w:p>
      <w:pPr>
        <w:spacing w:after="0" w:line="101"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The global nature of the COVID-19 pandemic has also had, and will continue to have, a significant impact on our international businesses. Due to the crisis, we ceased marketplace operations in Germany, Italy, and Spain, and halted any new international expansion efforts, which we believe will allow us to focus our financial and human capital resources on our more established international markets in Canada and the United Kingdom. Failure by us to succeed in these two markets, however, would materially and adversely affect our business and potential growth.</w:t>
      </w:r>
    </w:p>
    <w:p>
      <w:pPr>
        <w:spacing w:after="0" w:line="90" w:lineRule="exact"/>
        <w:rPr>
          <w:sz w:val="20"/>
          <w:szCs w:val="20"/>
          <w:color w:val="auto"/>
        </w:rPr>
      </w:pPr>
    </w:p>
    <w:p>
      <w:pPr>
        <w:jc w:val="both"/>
        <w:ind w:firstLine="382"/>
        <w:spacing w:after="0" w:line="273" w:lineRule="auto"/>
        <w:rPr>
          <w:sz w:val="20"/>
          <w:szCs w:val="20"/>
          <w:color w:val="auto"/>
        </w:rPr>
      </w:pPr>
      <w:r>
        <w:rPr>
          <w:rFonts w:ascii="Arial" w:cs="Arial" w:eastAsia="Arial" w:hAnsi="Arial"/>
          <w:sz w:val="17"/>
          <w:szCs w:val="17"/>
          <w:color w:val="auto"/>
        </w:rPr>
        <w:t>We continue to monitor and assess the effects of the COVID-19 pandemic on our commercial operations, including the impact on our revenue. However, we cannot at this time accurately predict what effects these conditions will ultimately have on our operations due to uncertainties relating to the duration of the pandemic, the extent and effectiveness of governmental responses and other preventative, treatment and containment actions or developments, including the distribution of vaccines, shifts in behavior going forward, and the length or severity of the travel and commerce restrictions imposed by relevant governmental authorities. Nor can we predict the adverse impact on the global economies and financial markets in which we operate, which may have a significant negative impact on our business, financial condition and results of operations.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If a significant number of dealers terminate their subscription agreements with us, our business and financial results would be materially and adversely affected.</w:t>
      </w:r>
    </w:p>
    <w:p>
      <w:pPr>
        <w:spacing w:after="0" w:line="103"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7"/>
          <w:szCs w:val="17"/>
          <w:color w:val="auto"/>
        </w:rPr>
        <w:t>Our primary source of revenue consists of subscription fees paid to us by dealers for access to enhanced features on our automotive marketplaces. Our subscription agreements with dealers generally may be terminated by us with 30 days’ notice and by dealers with 30 days’ notice at the end of the committed term. The majority of our contracts with dealers currently provide for one-month committed terms and do not contain contractual obligations requiring a dealer to maintain its relationship with us beyond the committed term. Accordingly, these dealers may cancel their subscriptions with us in accordance with the terms of their subscription agreements. A dealer’s decision to cancel its subscription with us may be influenced by several factors,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this belief could become shared by dealers and we may lose a number of our paying dealers. If a significant number of our paying dealers terminate their subscriptions with us, our business and financial results would be materially and adversely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89" w:lineRule="exact"/>
        <w:rPr>
          <w:sz w:val="20"/>
          <w:szCs w:val="20"/>
          <w:color w:val="auto"/>
        </w:rPr>
      </w:pPr>
    </w:p>
    <w:p>
      <w:pPr>
        <w:jc w:val="both"/>
        <w:ind w:firstLine="382"/>
        <w:spacing w:after="0" w:line="272" w:lineRule="auto"/>
        <w:rPr>
          <w:sz w:val="20"/>
          <w:szCs w:val="20"/>
          <w:color w:val="auto"/>
        </w:rPr>
      </w:pPr>
      <w:r>
        <w:rPr>
          <w:rFonts w:ascii="Arial" w:cs="Arial" w:eastAsia="Arial" w:hAnsi="Arial"/>
          <w:sz w:val="17"/>
          <w:szCs w:val="17"/>
          <w:color w:val="auto"/>
        </w:rPr>
        <w:t>As a result of the COVID-19 pandemic, many paying dealers cancelled their subscriptions with us (including, in some cases, with our permission prior to the end of the applicable contract term and notice period), which caused a material adverse impact on our revenues during the year ended December 31, 2020, and it is possible that additional dealers will cancel their subscriptions as they continue to experience the effects of the COVID-19 pandemic. 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at the conclusion of the committed term. If we fail to maintain or expand our base of paying dealers or fail to maintain or increase the level of fees that we receive from them, our business and financial results would be materially and adversely affected.</w:t>
      </w:r>
    </w:p>
    <w:p>
      <w:pPr>
        <w:spacing w:after="0" w:line="110"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We allow dealers to list their inventory in CarGurus marketplaces for free; however, we impose certain limitations on such free listings, such as capping the number of leads that non-paying dealers in the U.S. may receive within a 30-day period, not displaying non-paying dealer identity and contact information, and prohibiting access to the paid features of our marketplaces. We continue to adapt our free listings product, Restricted Listings, in our CarGurus marketplaces and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non-paying dealers to receive fewer leads and connections, which may make it more difficult for us to convert such dealers to paying dealers. If dealers do not subscribe to our paid offerings at the rates we expect, our business and financial results would be materially and adversely affected.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dealers or other advertisers reduce their advertising spending with us and we are unable to replace the reduced advertising spending, our advertising revenue and business would be harmed.</w:t>
      </w:r>
    </w:p>
    <w:p>
      <w:pPr>
        <w:spacing w:after="0" w:line="89" w:lineRule="exact"/>
        <w:rPr>
          <w:sz w:val="20"/>
          <w:szCs w:val="20"/>
          <w:color w:val="auto"/>
        </w:rPr>
      </w:pPr>
    </w:p>
    <w:p>
      <w:pPr>
        <w:jc w:val="both"/>
        <w:ind w:firstLine="382"/>
        <w:spacing w:after="0" w:line="293" w:lineRule="auto"/>
        <w:rPr>
          <w:sz w:val="20"/>
          <w:szCs w:val="20"/>
          <w:color w:val="auto"/>
        </w:rPr>
      </w:pPr>
      <w:r>
        <w:rPr>
          <w:rFonts w:ascii="Arial" w:cs="Arial" w:eastAsia="Arial" w:hAnsi="Arial"/>
          <w:sz w:val="16"/>
          <w:szCs w:val="16"/>
          <w:color w:val="auto"/>
        </w:rPr>
        <w:t>A significant amount of revenue is derived from advertising revenues generated primarily through advertising sales, including display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spacing w:after="0" w:line="97"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7"/>
          <w:szCs w:val="17"/>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Certain of our other advertising contracts, including those with auto manufacturers, typically do not have ongoing commitments to advertise in our marketplaces beyond a committed term. As a result of the COVID-19 pandemic, some advertisers have cancelled or reduced their advertising with us, which has caused a material adverse impact on our revenues during the year ended December 31, 2020 compared to the prior period, and it is possible that advertising customers will continue to cancel or reduce their advertising with us as they continue to experience the effects of the COVID-19 pandemic. In addition, a reduction in consumer visits to our sites as a result of the COVID-19 pandemic resulted in the delivery of fewer impressions for our advertising customers than anticipated during the year ended December 31, 2020 and each of the three months ended March 31, 2021 and June 30, 2021 compared to the prior periods, which has caused, and may continue to cause, an adverse impact on our advertising revenues.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fully realize anticipated transaction synergies from our acquisition of a 51% interest in CarOffer, or if the CarOffer business fails to grow at the rate we expect, our revenue and business would be harmed.</w:t>
      </w:r>
    </w:p>
    <w:p>
      <w:pPr>
        <w:spacing w:after="0" w:line="89" w:lineRule="exact"/>
        <w:rPr>
          <w:sz w:val="20"/>
          <w:szCs w:val="20"/>
          <w:color w:val="auto"/>
        </w:rPr>
      </w:pPr>
    </w:p>
    <w:p>
      <w:pPr>
        <w:jc w:val="both"/>
        <w:ind w:firstLine="382"/>
        <w:spacing w:after="0" w:line="271" w:lineRule="auto"/>
        <w:rPr>
          <w:sz w:val="20"/>
          <w:szCs w:val="20"/>
          <w:color w:val="auto"/>
        </w:rPr>
      </w:pPr>
      <w:r>
        <w:rPr>
          <w:rFonts w:ascii="Arial" w:cs="Arial" w:eastAsia="Arial" w:hAnsi="Arial"/>
          <w:sz w:val="17"/>
          <w:szCs w:val="17"/>
          <w:color w:val="auto"/>
        </w:rPr>
        <w:t>In January 2021, we completed our acquisition of a 51% interest in CarOffer, which adds wholesale vehicle acquisition and selling capabilities to our portfolio of dealer offerings. Achievement of our anticipated transaction synergies and our ability to grow the CarOffer business depends on a number of factors, including, but not limited to, our ability to: expand the number of dealers engaging on the CarOffer platform; retain existing customers and increase the share of wholesale transactions which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If our anticipated transaction synergies do not fully materialize and/or the CarOffer business fails to grow at the rate we expect, our revenue and business would be harmed.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8" w:name="page49"/>
    <w:bookmarkEnd w:id="48"/>
    <w:p>
      <w:pPr>
        <w:jc w:val="both"/>
        <w:ind w:firstLine="382"/>
        <w:spacing w:after="0" w:line="271" w:lineRule="auto"/>
        <w:rPr>
          <w:sz w:val="20"/>
          <w:szCs w:val="20"/>
          <w:color w:val="auto"/>
        </w:rPr>
      </w:pPr>
      <w:r>
        <w:rPr>
          <w:rFonts w:ascii="Arial" w:cs="Arial" w:eastAsia="Arial" w:hAnsi="Arial"/>
          <w:sz w:val="17"/>
          <w:szCs w:val="17"/>
          <w:color w:val="auto"/>
        </w:rPr>
        <w:t>Industry conditions such as a significant change in vehicle retail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rather than selling them on the CarOffer platform, which could adversely impact the volume of vehicles offered for sale on the CarOffer platform and the demand for those used vehicles. Inventory challenges in the automotive industry, including for reasons attributable to the COVID-19 pandemic, could also contribute to a decrease in the supply of vehicles coming to the wholesale market and reduce the number of vehicles sold on the CarOffer platform. An inability by CarOffer to retain customers and/or increase or find alternative sources of vehicle supply would adversely impact our revenue and business.</w:t>
      </w:r>
    </w:p>
    <w:p>
      <w:pPr>
        <w:spacing w:after="0" w:line="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marketplaces may decline and our business and financial results would be materially and adversely affected.</w:t>
      </w:r>
    </w:p>
    <w:p>
      <w:pPr>
        <w:spacing w:after="0" w:line="56" w:lineRule="exact"/>
        <w:rPr>
          <w:sz w:val="20"/>
          <w:szCs w:val="20"/>
          <w:color w:val="auto"/>
        </w:rPr>
      </w:pPr>
    </w:p>
    <w:p>
      <w:pPr>
        <w:jc w:val="both"/>
        <w:ind w:firstLine="382"/>
        <w:spacing w:after="0" w:line="287"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As consumers increasingly use their mobile devices to access the internet and our marketplaces, our success depends, in part, on our ability to provide consumers with a robust and user-friendly experience through their mobile devices. We believe that our ability to provide a compelling vehicle search experience, both on desktop computers and through mobile devices, is subject to a number of factors, including our ability to: maintain attractive marketplaces for consumers and dealers; continue to innovate and introduce products for our marketplaces;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89"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7"/>
          <w:szCs w:val="17"/>
          <w:color w:val="auto"/>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methodologies in ways that are detrimental to us, if our efforts to improve our search engine optimization are unsuccessful or less successful than our competitors’ internet search engine optimization efforts, our ability to attract a large consumer audience could diminish and traffic to our marketplaces could decline. In addition, internet search engine providers could provide dealer and pricing information directly in search results, align with our competitors, or choose to develop competing products.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10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6"/>
          <w:szCs w:val="16"/>
          <w:color w:val="auto"/>
        </w:rPr>
        <w:t>Our success depends on our continued innovation to provide products that make our marketplaces, websites, and mobile applications useful for consumers and dealers or that otherwise provide value to consumers and dealers. We anticipate that over time we may reach a point when investments in our current products are less productive and the growth of our revenue will require more focus on developing new products for consumers and dealers. These new products must be widely adopted by consumers and dealers in order for us to continue to attract consumers to our marketplaces and dealers to our products and services. Accordingly, we must continually invest resources in product, technology, and development in order to improve the attractiveness and comprehensiveness of our marketplaces and their related products and effectively incorporate new internet and mobile technologies into them. Our ability to engage in these activities may decline as a result of the impact of the COVID-19 pandemic and our cost-savings initiatives on our business. These product, technology, and development expenses may include costs of hiring additional personnel, engaging third-party service providers and conducting other research and development activities. In addition, revenue relating to new products is typically unpredictable and our new products may have lower gross margins, lower retention rates, and higher marketing and sales costs than our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9" w:name="page50"/>
    <w:bookmarkEnd w:id="49"/>
    <w:p>
      <w:pPr>
        <w:jc w:val="both"/>
        <w:spacing w:after="0" w:line="293" w:lineRule="auto"/>
        <w:rPr>
          <w:sz w:val="20"/>
          <w:szCs w:val="20"/>
          <w:color w:val="auto"/>
        </w:rPr>
      </w:pPr>
      <w:r>
        <w:rPr>
          <w:rFonts w:ascii="Arial" w:cs="Arial" w:eastAsia="Arial" w:hAnsi="Arial"/>
          <w:sz w:val="16"/>
          <w:szCs w:val="16"/>
          <w:color w:val="auto"/>
        </w:rPr>
        <w:t>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103" w:lineRule="exact"/>
        <w:rPr>
          <w:sz w:val="20"/>
          <w:szCs w:val="20"/>
          <w:color w:val="auto"/>
        </w:rPr>
      </w:pPr>
    </w:p>
    <w:p>
      <w:pPr>
        <w:jc w:val="both"/>
        <w:ind w:firstLine="382"/>
        <w:spacing w:after="0" w:line="308" w:lineRule="auto"/>
        <w:rPr>
          <w:sz w:val="20"/>
          <w:szCs w:val="20"/>
          <w:color w:val="auto"/>
        </w:rPr>
      </w:pPr>
      <w:r>
        <w:rPr>
          <w:rFonts w:ascii="Arial" w:cs="Arial" w:eastAsia="Arial" w:hAnsi="Arial"/>
          <w:sz w:val="15"/>
          <w:szCs w:val="15"/>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large amount of inventory and vehicle information available in our marketplaces is critical to the value we provide for consumers.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effects of the COVID-19 pandemic.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89" w:lineRule="exact"/>
        <w:rPr>
          <w:sz w:val="20"/>
          <w:szCs w:val="20"/>
          <w:color w:val="auto"/>
        </w:rPr>
      </w:pPr>
    </w:p>
    <w:p>
      <w:pPr>
        <w:jc w:val="both"/>
        <w:ind w:firstLine="382"/>
        <w:spacing w:after="0" w:line="271" w:lineRule="auto"/>
        <w:rPr>
          <w:sz w:val="20"/>
          <w:szCs w:val="20"/>
          <w:color w:val="auto"/>
        </w:rPr>
      </w:pPr>
      <w:r>
        <w:rPr>
          <w:rFonts w:ascii="Arial" w:cs="Arial" w:eastAsia="Arial" w:hAnsi="Arial"/>
          <w:sz w:val="17"/>
          <w:szCs w:val="17"/>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as a result of suppressed dealer inventory and resulting reduced demand for leads by dealers since the onset of the COVID-19 pandemic, we reduced our brand spend and we may decide to continue to suppress our brand spend in the future depending on the continued impact of the COVID-19 pandemic.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111"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p>
    <w:p>
      <w:pPr>
        <w:spacing w:after="0" w:line="120"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Portions of our platform enable consumers and dealers using our marketplaces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marketplaces could damage our reputation, reduce our ability to attract new users or retain our current users, and diminish the value of our brands.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past growth is not indicative of our future growth, and our ability to grow our revenue in the future is uncertain due to the impact of the COVID-19 pandemic.</w:t>
      </w:r>
    </w:p>
    <w:p>
      <w:pPr>
        <w:spacing w:after="0" w:line="103" w:lineRule="exact"/>
        <w:rPr>
          <w:sz w:val="20"/>
          <w:szCs w:val="20"/>
          <w:color w:val="auto"/>
        </w:rPr>
      </w:pPr>
    </w:p>
    <w:p>
      <w:pPr>
        <w:jc w:val="both"/>
        <w:ind w:firstLine="382"/>
        <w:spacing w:after="0" w:line="290" w:lineRule="auto"/>
        <w:rPr>
          <w:sz w:val="20"/>
          <w:szCs w:val="20"/>
          <w:color w:val="auto"/>
        </w:rPr>
      </w:pPr>
      <w:r>
        <w:rPr>
          <w:rFonts w:ascii="Arial" w:cs="Arial" w:eastAsia="Arial" w:hAnsi="Arial"/>
          <w:sz w:val="16"/>
          <w:szCs w:val="16"/>
          <w:color w:val="auto"/>
        </w:rPr>
        <w:t>Our revenue decreased to $551.5 million for the year ended December 31, 2020 from $588.9 million for the year ended December 31, 2019, representing a 6% decrease between such periods – which we primarily attribute to the approximately $50 million impact of fee reductions that we provided to our paying dealers during the second quarter of 2020 in response to the COVID-19 pandemic – and increased to $389.1 million for the six months ended June 30, 2021 from $252.4 million for the six months ended June 30, 2020, representing a 54% increase between such periods. Our revenue for the remainder of 2021 and beyond may continue to be impacted by the COVID-19 pandemic. In addition, we will not be able to grow as expected, or at all, if we fail to: increase the number of consumers using our marketplaces; maintain and expand the number of dealers that subscribe to our marketplaces and maintain and increase the fees that they are paying; attract and retain advertisers placing advertisements in our marketplaces; further improve the quality of our marketplaces and introduce high quality new products; and increase the number of connections between consumers and dealers using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0" w:name="page51"/>
    <w:bookmarkEnd w:id="50"/>
    <w:p>
      <w:pPr>
        <w:jc w:val="both"/>
        <w:ind w:right="20"/>
        <w:spacing w:after="0" w:line="277" w:lineRule="auto"/>
        <w:rPr>
          <w:sz w:val="20"/>
          <w:szCs w:val="20"/>
          <w:color w:val="auto"/>
        </w:rPr>
      </w:pPr>
      <w:r>
        <w:rPr>
          <w:rFonts w:ascii="Arial" w:cs="Arial" w:eastAsia="Arial" w:hAnsi="Arial"/>
          <w:sz w:val="18"/>
          <w:szCs w:val="18"/>
          <w:color w:val="auto"/>
        </w:rPr>
        <w:t>our marketplaces and connections to paying dealers, in particular. If our revenue declines further or fails to grow, investors’ perceptions of our business may be adversely affected, and the market price of our Class A common stock could decline.</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116"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If we are unable to generate sufficient cash flows, we would require additional capital to pursue our business objectives and respond to business opportunities, challenges, or unforeseen circumstances, including the effects of the COVID-19 pandemic,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particularly as a result of the COVID-19 pandemic, may also have an adverse effect on our ability to obtain debt financing.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risks that may differ from, or are in addition to, our domestic operational risks.</w:t>
      </w:r>
    </w:p>
    <w:p>
      <w:pPr>
        <w:spacing w:after="0" w:line="144"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While we ceased operations of our marketplaces in Germany, Italy and Spain and stopped development of emerging marketplaces, we continue to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expect to continue to incur losses in the United Kingdom and Canada, and face various other challenges.</w:t>
      </w:r>
    </w:p>
    <w:p>
      <w:pPr>
        <w:spacing w:after="0" w:line="119"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7"/>
          <w:szCs w:val="17"/>
          <w:color w:val="auto"/>
        </w:rPr>
        <w:t>For example, in the United Kingdom and Canada, we were not the first market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marketplaces. Dealers may also be parties to agreements with other dealers and syndicates that prevent them from being able to access our marketplaces. Any of these barriers could impede our operations in our international markets, which could affect our business and potential growth.</w:t>
      </w:r>
    </w:p>
    <w:p>
      <w:pPr>
        <w:spacing w:after="0" w:line="109"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6"/>
          <w:szCs w:val="16"/>
          <w:color w:val="auto"/>
        </w:rPr>
        <w:t>In addition to English, we have made portions of our marketplaces available in French and Spanish. We may have difficulty in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recruiting, managing and retaining qualified multilingual employees, including sales personnel; adapting our websites and mobile applications to conform to local consumer behavior; increased competition from local websites and mobile applications and potential preferences by local populations for local providers; compliance with applicable foreign laws and regulations, including different privacy, censorship, and liability standards and regulations, and different intellectual property laws; providing solutions in different languages and for different cultures, which may require that we modify our solutions and features so they are culturally relevant in different countries; the enforceability of our intellectual property rights; credit risk and higher levels of payment fraud; compliance with anti-bribery laws, including compliance with the Foreign Corrupt Practices Act and the United Kingdom Bribery Act; currency exchange rate fluctuations; adverse changes in trade relationships among foreign countries and/or between the United States and such countries, including as related to the United Kingdom’s exit from the European Union, or the EU, commonly referred to as “Brexit”; double taxation of our international earnings and potentially adverse tax consequences arising from the tax laws of the United States or the foreign jurisdictions in which we operate; and higher costs of doing business internationally.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58"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7"/>
          <w:szCs w:val="17"/>
          <w:color w:val="auto"/>
        </w:rPr>
        <w:t>In the past, the number of United States dealers has declined due to dealership closures and consolidations as a result of factors such as global economic downturns or other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1" w:name="page52"/>
    <w:bookmarkEnd w:id="51"/>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spacing w:after="0" w:line="43"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and we may become less competitive in attracting and retaining employees as a result of our expense reduction efforts due to the COVID-19 pandemic. In addition, any unplanned turnover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118"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7"/>
          <w:szCs w:val="17"/>
          <w:color w:val="auto"/>
        </w:rPr>
        <w:t>In January 2021, we announced the promotion of Jason Trevisan from Chief Financial Officer and President, International to the role of Chief Executive Officer, and the transition of Langley Steinert from Chief Executive Officer to Executive Chairman. Additionally, Scot Fredo, our former Senior Vice President, Financial Planning &amp; Analysis, was appointed to succeed Jason Trevisan in the role of Chief Financial Officer. Furthermore, effective July 1, 2021, Kyle Lomeli separated from the Company in his role as Chief Technology Officer. We may face risks related to these and other transitions in our leadership team, including the disruption of our operations and the depletion of our institutional knowledge base.</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89"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7"/>
          <w:szCs w:val="17"/>
          <w:color w:val="auto"/>
        </w:rPr>
        <w:t>We provide consumers using our CarGurus marketplaces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the COVID-19 pandemic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marketplaces and could result in legal disputes.</w:t>
      </w:r>
    </w:p>
    <w:p>
      <w:pPr>
        <w:spacing w:after="0" w:line="1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a complex framework of laws and regulations, many of which are unsettled, still developing and contradictory, which have in the past, and could in the future, subject us to claims, challenge our business model, or otherwise harm our business.</w:t>
      </w:r>
    </w:p>
    <w:p>
      <w:pPr>
        <w:spacing w:after="0" w:line="79"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58"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The advertising and sale of new and used motor vehicles is highly regulated by the jurisdictions in which we do business. Although we do not sell motor vehicles, and although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27"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If regulators or other third parties take the position that our marketplaces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result in substantial adverse publicity, termination of subscriptions by dealers, decreased revenues, distraction for our employees, increased expenses, and decreased profitability.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58" w:lineRule="exact"/>
        <w:rPr>
          <w:sz w:val="20"/>
          <w:szCs w:val="20"/>
          <w:color w:val="auto"/>
        </w:rPr>
      </w:pPr>
    </w:p>
    <w:p>
      <w:pPr>
        <w:jc w:val="both"/>
        <w:ind w:firstLine="382"/>
        <w:spacing w:after="0" w:line="255" w:lineRule="auto"/>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125" w:lineRule="exact"/>
        <w:rPr>
          <w:sz w:val="20"/>
          <w:szCs w:val="20"/>
          <w:color w:val="auto"/>
        </w:rPr>
      </w:pPr>
    </w:p>
    <w:p>
      <w:pPr>
        <w:jc w:val="both"/>
        <w:ind w:firstLine="382"/>
        <w:spacing w:after="0" w:line="255" w:lineRule="auto"/>
        <w:rPr>
          <w:sz w:val="20"/>
          <w:szCs w:val="20"/>
          <w:color w:val="auto"/>
        </w:rPr>
      </w:pPr>
      <w:r>
        <w:rPr>
          <w:rFonts w:ascii="Arial" w:cs="Arial" w:eastAsia="Arial" w:hAnsi="Arial"/>
          <w:sz w:val="18"/>
          <w:szCs w:val="18"/>
          <w:color w:val="auto"/>
        </w:rPr>
        <w:t>Our platforms enable us, dealers, and users to send and receive text messages and other mobile phone communications. The TCPA, as interpreted and implemented by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spacing w:after="0" w:line="111"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and Other Laws</w:t>
      </w:r>
    </w:p>
    <w:p>
      <w:pPr>
        <w:spacing w:after="0" w:line="158" w:lineRule="exact"/>
        <w:rPr>
          <w:sz w:val="20"/>
          <w:szCs w:val="20"/>
          <w:color w:val="auto"/>
        </w:rPr>
      </w:pPr>
    </w:p>
    <w:p>
      <w:pPr>
        <w:jc w:val="both"/>
        <w:ind w:right="20" w:firstLine="382"/>
        <w:spacing w:after="0" w:line="259" w:lineRule="auto"/>
        <w:rPr>
          <w:sz w:val="20"/>
          <w:szCs w:val="20"/>
          <w:color w:val="auto"/>
        </w:rPr>
      </w:pPr>
      <w:r>
        <w:rPr>
          <w:rFonts w:ascii="Arial" w:cs="Arial" w:eastAsia="Arial" w:hAnsi="Arial"/>
          <w:sz w:val="18"/>
          <w:szCs w:val="18"/>
          <w:color w:val="auto"/>
        </w:rPr>
        <w:t>Antitrust and competition laws prohibit, among other things, any joint conduct among competitors that would lessen competition in the marketplace.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10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120"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129"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which could have a material adverse effect on our business, revenue, results of operations, and financial condition.</w:t>
      </w:r>
    </w:p>
    <w:p>
      <w:pPr>
        <w:spacing w:after="0" w:line="89"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6"/>
          <w:szCs w:val="16"/>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reductions in business and consumer confidence; stock market volatility; and increased unemployment.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3" w:name="page54"/>
    <w:bookmarkEnd w:id="53"/>
    <w:p>
      <w:pPr>
        <w:jc w:val="both"/>
        <w:ind w:firstLine="382"/>
        <w:spacing w:after="0" w:line="259"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06"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8"/>
          <w:szCs w:val="18"/>
          <w:color w:val="auto"/>
        </w:rPr>
        <w:t>In addition, our business may be negatively affected by challenges to the larger automotive industry ecosystem, including global supply chain challenges, the global semiconductor chip shortage, changes to trade policies, including tariff rates and customs duties, trade relations between the United States and China and other macroeconomic issues, including the ongoing effects of the COVID-19 pandemic. These factors could have a material adverse effect on our business, revenue, results of operations, and financial condition.</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marketplaces may cause us to forgo short-term gains in pursuit of potential but uncertain long-term growth.</w:t>
      </w:r>
    </w:p>
    <w:p>
      <w:pPr>
        <w:spacing w:after="0" w:line="103"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marketplaces, even if such decisions negatively impact our results of operations in the short term. For example, during select monthly service periods in 2020 and 2021, we provided paying dealers with marketplace subscriptions at no cost or at a discount in an effort to help our paying dealers maintain their business health during the COVID-19 pandemic. However, such strategies may not result in the long-term benefits that we expect, in which case our user traffic and engagement, business, and financial results could be harmed.</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103"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physical or electronic break-ins, or otherwise, could affect the security or availability of our marketplaces on our websites and mobile applications, and prevent or inhibit the ability of dealers and consumers to access our marketplaces.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24" w:lineRule="exact"/>
        <w:rPr>
          <w:sz w:val="20"/>
          <w:szCs w:val="20"/>
          <w:color w:val="auto"/>
        </w:rPr>
      </w:pPr>
    </w:p>
    <w:p>
      <w:pPr>
        <w:jc w:val="both"/>
        <w:ind w:firstLine="382"/>
        <w:spacing w:after="0" w:line="289" w:lineRule="auto"/>
        <w:rPr>
          <w:sz w:val="20"/>
          <w:szCs w:val="20"/>
          <w:color w:val="auto"/>
        </w:rPr>
      </w:pPr>
      <w:r>
        <w:rPr>
          <w:rFonts w:ascii="Arial" w:cs="Arial" w:eastAsia="Arial" w:hAnsi="Arial"/>
          <w:sz w:val="16"/>
          <w:szCs w:val="16"/>
          <w:color w:val="auto"/>
        </w:rPr>
        <w:t>Substantially all of the communications, network, and computer hardware used to operate our platforms is located in the United States near each of Boston, Massachusetts and Dallas, Texas, and internationally near each of London, England and Dublin, Ireland. Although we can host our U.S. CarGurus’ marketplace from two alternative locations in the United States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A disruption to one or more of these systems may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85"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Problems faced by our third-party web hosting providers could adversely affect the experience consumers have while using our marketplaces. Our third-party web hosting providers could close their facilities without adequate notice. Any financial difficulties, up to and including bankruptcy, faced by our third-party web hosting providers or any of the service providers whose services they use, which may be exacerbated as a result of the COVID-19 pandemic, may have negative effects on our business, the nature and extent of which are difficult to predict. If our third-party web hosting providers are unable to keep up with our capacity needs, our business could be harmed.</w:t>
      </w:r>
    </w:p>
    <w:p>
      <w:pPr>
        <w:spacing w:after="0" w:line="120"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Any errors, defects, disruptions, or other performance or reliability problems with our network operations could cause interruptions in access to our marketplaces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4" w:name="page55"/>
    <w:bookmarkEnd w:id="54"/>
    <w:p>
      <w:pPr>
        <w:jc w:val="both"/>
        <w:spacing w:after="0" w:line="342"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brands and harm our business and operating results.</w:t>
      </w:r>
    </w:p>
    <w:p>
      <w:pPr>
        <w:spacing w:after="0" w:line="43"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6"/>
          <w:szCs w:val="16"/>
          <w:color w:val="auto"/>
        </w:rPr>
        <w:t>Some functions of our marketplaces involve the storage and transmission of consumers’ information, such as IP addresses, contact information of users who connect with dealers and profile information of users who create accounts on our marketplaces, as well as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103" w:lineRule="exact"/>
        <w:rPr>
          <w:sz w:val="20"/>
          <w:szCs w:val="20"/>
          <w:color w:val="auto"/>
        </w:rPr>
      </w:pPr>
    </w:p>
    <w:p>
      <w:pPr>
        <w:jc w:val="both"/>
        <w:ind w:firstLine="382"/>
        <w:spacing w:after="0" w:line="293" w:lineRule="auto"/>
        <w:rPr>
          <w:sz w:val="20"/>
          <w:szCs w:val="20"/>
          <w:color w:val="auto"/>
        </w:rPr>
      </w:pPr>
      <w:r>
        <w:rPr>
          <w:rFonts w:ascii="Arial" w:cs="Arial" w:eastAsia="Arial" w:hAnsi="Arial"/>
          <w:sz w:val="16"/>
          <w:szCs w:val="16"/>
          <w:color w:val="auto"/>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97"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7"/>
          <w:szCs w:val="17"/>
          <w:color w:val="auto"/>
        </w:rPr>
        <w:t>Any or all of the issues above could adversely affect our brand reputation, negatively impact our ability to attract new consumers and increase engagement by existing consumers, cause existing consumers to curtail or stop use of our marketplaces or close their accounts, cause existing dealers and advertisers to cancel their contracts, cause employees to terminate their employment, cause employment candidates to be unwilling to pursue employment opportunities or accept employment offers, and or subject us to governmental or third-party lawsuits, investigations, regulatory fines, or other actions or liability, thereby harming our business, results of operations, and financial condition.</w:t>
      </w:r>
    </w:p>
    <w:p>
      <w:pPr>
        <w:spacing w:after="0" w:line="95"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104"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7"/>
          <w:szCs w:val="17"/>
          <w:color w:val="auto"/>
        </w:rPr>
        <w:t xml:space="preserve">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the California Consumer Privacy Act, or the CCPA, which went into effect on January 1, 2020, and the California Privacy Rights Act, or the CPRA, and the Virginia Consumer Data Protection Act, or the VCDPA, each of which goes into effect on January 1, 2023. The GDPR and CCPA in particular have already required, and along with the CPRA and VCDPA,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of the Court of Justice of the EU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CCPA, CPRA or VCDPA requirements.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5" w:name="page56"/>
    <w:bookmarkEnd w:id="55"/>
    <w:p>
      <w:pPr>
        <w:jc w:val="both"/>
        <w:ind w:firstLine="382"/>
        <w:spacing w:after="0" w:line="271" w:lineRule="auto"/>
        <w:rPr>
          <w:sz w:val="20"/>
          <w:szCs w:val="20"/>
          <w:color w:val="auto"/>
        </w:rPr>
      </w:pPr>
      <w:r>
        <w:rPr>
          <w:rFonts w:ascii="Arial" w:cs="Arial" w:eastAsia="Arial" w:hAnsi="Arial"/>
          <w:sz w:val="17"/>
          <w:szCs w:val="17"/>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sensitive information,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9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spacing w:after="0" w:line="33" w:lineRule="exact"/>
        <w:rPr>
          <w:sz w:val="20"/>
          <w:szCs w:val="20"/>
          <w:color w:val="auto"/>
        </w:rPr>
      </w:pPr>
    </w:p>
    <w:p>
      <w:pPr>
        <w:jc w:val="both"/>
        <w:ind w:firstLine="382"/>
        <w:spacing w:after="0" w:line="289" w:lineRule="auto"/>
        <w:rPr>
          <w:sz w:val="20"/>
          <w:szCs w:val="20"/>
          <w:color w:val="auto"/>
        </w:rPr>
      </w:pPr>
      <w:r>
        <w:rPr>
          <w:rFonts w:ascii="Arial" w:cs="Arial" w:eastAsia="Arial" w:hAnsi="Arial"/>
          <w:sz w:val="16"/>
          <w:szCs w:val="16"/>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including GDPR, CCPA, CPRA and VCDPA;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w:t>
      </w:r>
    </w:p>
    <w:p>
      <w:pPr>
        <w:spacing w:after="0" w:line="99"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103" w:lineRule="exact"/>
        <w:rPr>
          <w:sz w:val="20"/>
          <w:szCs w:val="20"/>
          <w:color w:val="auto"/>
        </w:rPr>
      </w:pPr>
    </w:p>
    <w:p>
      <w:pPr>
        <w:jc w:val="both"/>
        <w:ind w:firstLine="382"/>
        <w:spacing w:after="0" w:line="301" w:lineRule="auto"/>
        <w:rPr>
          <w:sz w:val="20"/>
          <w:szCs w:val="20"/>
          <w:color w:val="auto"/>
        </w:rPr>
      </w:pPr>
      <w:r>
        <w:rPr>
          <w:rFonts w:ascii="Arial" w:cs="Arial" w:eastAsia="Arial" w:hAnsi="Arial"/>
          <w:sz w:val="16"/>
          <w:szCs w:val="16"/>
          <w:color w:val="auto"/>
        </w:rPr>
        <w:t>We have been, and expect in the future to be, subject to claims and litigation alleging that we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w:t>
      </w:r>
    </w:p>
    <w:p>
      <w:pPr>
        <w:spacing w:after="0" w:line="90" w:lineRule="exact"/>
        <w:rPr>
          <w:sz w:val="20"/>
          <w:szCs w:val="20"/>
          <w:color w:val="auto"/>
        </w:rPr>
      </w:pPr>
    </w:p>
    <w:p>
      <w:pPr>
        <w:jc w:val="both"/>
        <w:ind w:firstLine="382"/>
        <w:spacing w:after="0" w:line="291" w:lineRule="auto"/>
        <w:rPr>
          <w:sz w:val="20"/>
          <w:szCs w:val="20"/>
          <w:color w:val="auto"/>
        </w:rPr>
      </w:pPr>
      <w:r>
        <w:rPr>
          <w:rFonts w:ascii="Arial" w:cs="Arial" w:eastAsia="Arial" w:hAnsi="Arial"/>
          <w:sz w:val="16"/>
          <w:szCs w:val="16"/>
          <w:color w:val="auto"/>
        </w:rPr>
        <w:t>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while we develop non-infringing substitutes, which could require significant effort and expense and may ultimately not be successful.</w:t>
      </w:r>
    </w:p>
    <w:p>
      <w:pPr>
        <w:spacing w:after="0" w:line="85" w:lineRule="exact"/>
        <w:rPr>
          <w:sz w:val="20"/>
          <w:szCs w:val="20"/>
          <w:color w:val="auto"/>
        </w:rPr>
      </w:pPr>
    </w:p>
    <w:p>
      <w:pPr>
        <w:jc w:val="both"/>
        <w:ind w:firstLine="382"/>
        <w:spacing w:after="0" w:line="272"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58"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106"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our trademarks. We have registered the CARGURUS and CG logos, as well as the word-mark CARGURUS, in the U.S., Canada and the United Kingdom.</w:t>
      </w:r>
    </w:p>
    <w:p>
      <w:pPr>
        <w:spacing w:after="0" w:line="119"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44" w:lineRule="exact"/>
        <w:rPr>
          <w:sz w:val="20"/>
          <w:szCs w:val="20"/>
          <w:color w:val="auto"/>
        </w:rPr>
      </w:pPr>
    </w:p>
    <w:p>
      <w:pPr>
        <w:jc w:val="both"/>
        <w:ind w:firstLine="382"/>
        <w:spacing w:after="0" w:line="291" w:lineRule="auto"/>
        <w:rPr>
          <w:sz w:val="20"/>
          <w:szCs w:val="20"/>
          <w:color w:val="auto"/>
        </w:rPr>
      </w:pPr>
      <w:r>
        <w:rPr>
          <w:rFonts w:ascii="Arial" w:cs="Arial" w:eastAsia="Arial" w:hAnsi="Arial"/>
          <w:sz w:val="16"/>
          <w:szCs w:val="16"/>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If we become aware of such activities, we intend to employ technological or legal measures in an attempt to halt their operations. However, we may be unable to detect and remedy all such activities in a timely manner. In some cases, our available remedies may not be adequate to protect us against the impact of such operations.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other factors may cause fluctuations in our operating results and our marketing spend.</w:t>
      </w:r>
    </w:p>
    <w:p>
      <w:pPr>
        <w:spacing w:after="0" w:line="158" w:lineRule="exact"/>
        <w:rPr>
          <w:sz w:val="20"/>
          <w:szCs w:val="20"/>
          <w:color w:val="auto"/>
        </w:rPr>
      </w:pPr>
    </w:p>
    <w:p>
      <w:pPr>
        <w:jc w:val="both"/>
        <w:ind w:firstLine="382"/>
        <w:spacing w:after="0" w:line="289"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This seasonality has not been immediately apparent historically due to the overall growth of other operating expenses. In addition, reduction of our marketing spend in response to COVID-19-related expense management and shifts in demand from dealers and consumers could impact the efficiency of our marketing spend. As our growth rates moderate or cease, the impact of these seasonality trends and other influences on our results of operations could become more pronounced. In addition, the volume of wholesale vehicle sales fluctuates from quarter to quarter and as a result of macroeconomic issues, such as the global semiconductor chip shortage, which may have a corresponding impact on our results of operations. This variability is caused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prospects for growth.</w:t>
      </w:r>
    </w:p>
    <w:p>
      <w:pPr>
        <w:spacing w:after="0" w:line="103" w:lineRule="exact"/>
        <w:rPr>
          <w:sz w:val="20"/>
          <w:szCs w:val="20"/>
          <w:color w:val="auto"/>
        </w:rPr>
      </w:pPr>
    </w:p>
    <w:p>
      <w:pPr>
        <w:jc w:val="both"/>
        <w:ind w:firstLine="382"/>
        <w:spacing w:after="0" w:line="291" w:lineRule="auto"/>
        <w:rPr>
          <w:sz w:val="20"/>
          <w:szCs w:val="20"/>
          <w:color w:val="auto"/>
        </w:rPr>
      </w:pPr>
      <w:r>
        <w:rPr>
          <w:rFonts w:ascii="Arial" w:cs="Arial" w:eastAsia="Arial" w:hAnsi="Arial"/>
          <w:sz w:val="16"/>
          <w:szCs w:val="16"/>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prospects for growth.</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10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7" w:name="page58"/>
    <w:bookmarkEnd w:id="57"/>
    <w:p>
      <w:pPr>
        <w:jc w:val="both"/>
        <w:spacing w:after="0" w:line="268" w:lineRule="auto"/>
        <w:rPr>
          <w:sz w:val="20"/>
          <w:szCs w:val="20"/>
          <w:color w:val="auto"/>
        </w:rPr>
      </w:pPr>
      <w:r>
        <w:rPr>
          <w:rFonts w:ascii="Arial" w:cs="Arial" w:eastAsia="Arial" w:hAnsi="Arial"/>
          <w:sz w:val="17"/>
          <w:szCs w:val="17"/>
          <w:color w:val="auto"/>
        </w:rPr>
        <w:t>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03"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103"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w:t>
      </w:r>
    </w:p>
    <w:p>
      <w:pPr>
        <w:spacing w:after="0" w:line="114"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103"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7"/>
          <w:szCs w:val="17"/>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 stockholders; adverse changes to recommendations regarding our stock by securities analysts that cover us;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and general economic conditions, including as related to the COVID-19 pandemic.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89"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6"/>
          <w:szCs w:val="16"/>
          <w:color w:val="auto"/>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79" w:lineRule="exact"/>
        <w:rPr>
          <w:sz w:val="20"/>
          <w:szCs w:val="20"/>
          <w:color w:val="auto"/>
        </w:rPr>
      </w:pPr>
    </w:p>
    <w:p>
      <w:pPr>
        <w:jc w:val="both"/>
        <w:ind w:firstLine="382"/>
        <w:spacing w:after="0" w:line="289" w:lineRule="auto"/>
        <w:rPr>
          <w:sz w:val="20"/>
          <w:szCs w:val="20"/>
          <w:color w:val="auto"/>
        </w:rPr>
      </w:pPr>
      <w:r>
        <w:rPr>
          <w:rFonts w:ascii="Arial" w:cs="Arial" w:eastAsia="Arial" w:hAnsi="Arial"/>
          <w:sz w:val="16"/>
          <w:szCs w:val="16"/>
          <w:color w:val="auto"/>
        </w:rPr>
        <w:t>We face significant competition from companies that provide listings, car-shopping information, lead generation, marketing, wholesale, and car-buying services designed to help consumers and dealers shop for cars and to enable dealers to reach these consumers. Our competitors include: online automotive marketplaces and websites; internet search engines; peer-to-peer marketplaces; social media marketplaces; sites operated by automobile dealers; online dealerships; and vehicle auction companies.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spacing w:after="0" w:line="99"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6"/>
          <w:szCs w:val="16"/>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94" w:lineRule="exact"/>
        <w:rPr>
          <w:sz w:val="20"/>
          <w:szCs w:val="20"/>
          <w:color w:val="auto"/>
        </w:rPr>
      </w:pPr>
    </w:p>
    <w:p>
      <w:pPr>
        <w:jc w:val="both"/>
        <w:ind w:firstLine="382"/>
        <w:spacing w:after="0" w:line="272" w:lineRule="auto"/>
        <w:rPr>
          <w:sz w:val="20"/>
          <w:szCs w:val="20"/>
          <w:color w:val="auto"/>
        </w:rPr>
      </w:pPr>
      <w:r>
        <w:rPr>
          <w:rFonts w:ascii="Arial" w:cs="Arial" w:eastAsia="Arial" w:hAnsi="Arial"/>
          <w:sz w:val="17"/>
          <w:szCs w:val="17"/>
          <w:color w:val="auto"/>
        </w:rPr>
        <w:t>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10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6"/>
          <w:szCs w:val="16"/>
          <w:color w:val="auto"/>
        </w:rPr>
        <w:t>Our success depends upon our relationships with third parties, including, among others, our payment processor, our data center hosts, our information technology providers and our data providers for inventory and vehicle information.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the COVID-19 pandemic or otherwise,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01"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update third-party platforms or any interruptions to our internal enterprise systems could harm our business by causing delays in our ability to quote, activate service and bill new and existing customers on our platform.</w:t>
      </w:r>
    </w:p>
    <w:p>
      <w:pPr>
        <w:spacing w:after="0" w:line="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must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79" w:lineRule="exact"/>
        <w:rPr>
          <w:sz w:val="20"/>
          <w:szCs w:val="20"/>
          <w:color w:val="auto"/>
        </w:rPr>
      </w:pPr>
    </w:p>
    <w:p>
      <w:pPr>
        <w:jc w:val="both"/>
        <w:ind w:firstLine="382"/>
        <w:spacing w:after="0" w:line="301"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90"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6"/>
          <w:szCs w:val="16"/>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80"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58" w:lineRule="exact"/>
        <w:rPr>
          <w:sz w:val="20"/>
          <w:szCs w:val="20"/>
          <w:color w:val="auto"/>
        </w:rPr>
      </w:pPr>
    </w:p>
    <w:p>
      <w:pPr>
        <w:jc w:val="both"/>
        <w:ind w:firstLine="382"/>
        <w:spacing w:after="0" w:line="273" w:lineRule="auto"/>
        <w:rPr>
          <w:sz w:val="20"/>
          <w:szCs w:val="20"/>
          <w:color w:val="auto"/>
        </w:rPr>
      </w:pPr>
      <w:r>
        <w:rPr>
          <w:rFonts w:ascii="Arial" w:cs="Arial" w:eastAsia="Arial" w:hAnsi="Arial"/>
          <w:sz w:val="17"/>
          <w:szCs w:val="17"/>
          <w:color w:val="auto"/>
        </w:rPr>
        <w:t>Our revenue and results of operations could vary significantly from period to period and may fail to match expectations as a result of a variety of factors, some of which are outside of our control, including the effects of the COVID-19 pandemic. Our results may vary as a result of fluctuations in the number of dealers subscribing to our marketplaces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adverse changes in tax laws, regulations and interpretations, plus challenges to our tax positions.</w:t>
      </w:r>
    </w:p>
    <w:p>
      <w:pPr>
        <w:spacing w:after="0" w:line="158" w:lineRule="exact"/>
        <w:rPr>
          <w:sz w:val="20"/>
          <w:szCs w:val="20"/>
          <w:color w:val="auto"/>
        </w:rPr>
      </w:pPr>
    </w:p>
    <w:p>
      <w:pPr>
        <w:jc w:val="both"/>
        <w:ind w:firstLine="382"/>
        <w:spacing w:after="0" w:line="271" w:lineRule="auto"/>
        <w:rPr>
          <w:sz w:val="20"/>
          <w:szCs w:val="20"/>
          <w:color w:val="auto"/>
        </w:rPr>
      </w:pPr>
      <w:r>
        <w:rPr>
          <w:rFonts w:ascii="Arial" w:cs="Arial" w:eastAsia="Arial" w:hAnsi="Arial"/>
          <w:sz w:val="17"/>
          <w:szCs w:val="17"/>
          <w:color w:val="auto"/>
        </w:rPr>
        <w:t xml:space="preserve">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the U.S. Supreme Court’s decision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which could precipitate reactions by legislators, regulators and courts that could adversely increase our tax administrative costs and tax risk, and negatively affect our overall business, results of operations, financial condition and cash flows. We are also regularly subject to audits by tax authorities. For example, we are currently under New York State sales and uses tax audit for tax years 2014 – 2020. Any adverse development or outcome in connection with these tax audits, and any other audits or litigation, could materially and adversely impact our effective tax rate, tax payments, results of operations, financial condition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agreements may not adequately prevent disclosure of our trade secrets and other proprietary information.</w:t>
      </w:r>
    </w:p>
    <w:p>
      <w:pPr>
        <w:spacing w:after="0" w:line="144" w:lineRule="exact"/>
        <w:rPr>
          <w:sz w:val="20"/>
          <w:szCs w:val="20"/>
          <w:color w:val="auto"/>
        </w:rPr>
      </w:pPr>
    </w:p>
    <w:p>
      <w:pPr>
        <w:jc w:val="both"/>
        <w:ind w:firstLine="382"/>
        <w:spacing w:after="0" w:line="271"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To the extent that our employees, contractors, or other third parties with whom we do business use intellectual property owned by others in their work for us, disputes may arise as to the rights to related or resulting know-how and inventions.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0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vMerge w:val="restart"/>
          </w:tcPr>
          <w:p>
            <w:pPr>
              <w:spacing w:after="0"/>
              <w:rPr>
                <w:sz w:val="10"/>
                <w:szCs w:val="10"/>
                <w:color w:val="auto"/>
              </w:rPr>
            </w:pP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180" w:type="dxa"/>
            <w:vAlign w:val="bottom"/>
            <w:vMerge w:val="restart"/>
          </w:tcPr>
          <w:p>
            <w:pPr>
              <w:spacing w:after="0"/>
              <w:rPr>
                <w:sz w:val="10"/>
                <w:szCs w:val="10"/>
                <w:color w:val="auto"/>
              </w:rPr>
            </w:pPr>
          </w:p>
        </w:tc>
        <w:tc>
          <w:tcPr>
            <w:tcW w:w="11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File</w:t>
            </w:r>
          </w:p>
        </w:tc>
        <w:tc>
          <w:tcPr>
            <w:tcW w:w="162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Filing</w:t>
            </w: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Exhibit</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5000" w:type="dxa"/>
            <w:vAlign w:val="bottom"/>
            <w:tcBorders>
              <w:bottom w:val="single" w:sz="8" w:color="auto"/>
            </w:tcBorders>
            <w:gridSpan w:val="8"/>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0"/>
        </w:trPr>
        <w:tc>
          <w:tcPr>
            <w:tcW w:w="800" w:type="dxa"/>
            <w:vAlign w:val="bottom"/>
          </w:tcPr>
          <w:p>
            <w:pPr>
              <w:ind w:left="10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4800" w:type="dxa"/>
            <w:vAlign w:val="bottom"/>
            <w:tcBorders>
              <w:bottom w:val="single" w:sz="8" w:color="0000EE"/>
            </w:tcBorders>
            <w:gridSpan w:val="5"/>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Amendment to Separation Agreement, dated May 4, 2021, by and</w:t>
              </w:r>
            </w:hyperlink>
          </w:p>
        </w:tc>
        <w:tc>
          <w:tcPr>
            <w:tcW w:w="260" w:type="dxa"/>
            <w:vAlign w:val="bottom"/>
            <w:gridSpan w:val="4"/>
          </w:tcPr>
          <w:p>
            <w:pPr>
              <w:spacing w:after="0"/>
              <w:rPr>
                <w:sz w:val="24"/>
                <w:szCs w:val="24"/>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001-38233</w:t>
            </w:r>
          </w:p>
        </w:tc>
        <w:tc>
          <w:tcPr>
            <w:tcW w:w="60" w:type="dxa"/>
            <w:vAlign w:val="bottom"/>
          </w:tcPr>
          <w:p>
            <w:pPr>
              <w:spacing w:after="0"/>
              <w:rPr>
                <w:sz w:val="24"/>
                <w:szCs w:val="2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May 7, 2021</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9"/>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between the Registrant and Kyle Lomeli</w:t>
              </w:r>
              <w:r>
                <w:rPr>
                  <w:rFonts w:ascii="Arial" w:cs="Arial" w:eastAsia="Arial" w:hAnsi="Arial"/>
                  <w:sz w:val="18"/>
                  <w:szCs w:val="18"/>
                  <w:color w:val="000000"/>
                </w:rPr>
                <w:t>.</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7"/>
                <w:szCs w:val="17"/>
                <w:color w:val="auto"/>
              </w:rPr>
            </w:pPr>
          </w:p>
        </w:tc>
        <w:tc>
          <w:tcPr>
            <w:tcW w:w="5060" w:type="dxa"/>
            <w:vAlign w:val="bottom"/>
            <w:gridSpan w:val="9"/>
          </w:tcPr>
          <w:p>
            <w:pPr>
              <w:spacing w:after="0" w:line="196"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Certification of Principal Executive Officer Pursuant to Rules 13a-</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14(a) and 15d-14(a) under the Securities Exchange Act of 1934, as</w:t>
              </w:r>
            </w:hyperlink>
          </w:p>
        </w:tc>
        <w:tc>
          <w:tcPr>
            <w:tcW w:w="24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9"/>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Adopted Pursuant to Section 302 of the Sarbanes-Oxley Act of 2002.</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of Principal Financial Officer Pursuant to Rules 13a-</w:t>
              </w:r>
            </w:hyperlink>
          </w:p>
        </w:tc>
        <w:tc>
          <w:tcPr>
            <w:tcW w:w="180" w:type="dxa"/>
            <w:vAlign w:val="bottom"/>
            <w:tcBorders>
              <w:top w:val="single" w:sz="8" w:color="0000EE"/>
            </w:tcBorders>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14(a) and 15d-14(a) under the Securities Exchange Act of 1934, as</w:t>
              </w:r>
            </w:hyperlink>
          </w:p>
        </w:tc>
        <w:tc>
          <w:tcPr>
            <w:tcW w:w="24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9"/>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Adopted Pursuant to Section 302 of the Sarbanes-Oxley Act of 2002.</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Certification of Principal Executive Officer Pursuant to 18 U.S.C.</w:t>
              </w:r>
            </w:hyperlink>
          </w:p>
        </w:tc>
        <w:tc>
          <w:tcPr>
            <w:tcW w:w="240" w:type="dxa"/>
            <w:vAlign w:val="bottom"/>
            <w:tcBorders>
              <w:top w:val="single" w:sz="8" w:color="0000EE"/>
            </w:tcBorders>
            <w:gridSpan w:val="3"/>
          </w:tcPr>
          <w:p>
            <w:pPr>
              <w:spacing w:after="0"/>
              <w:rPr>
                <w:sz w:val="17"/>
                <w:szCs w:val="17"/>
                <w:color w:val="auto"/>
              </w:rPr>
            </w:pPr>
          </w:p>
        </w:tc>
        <w:tc>
          <w:tcPr>
            <w:tcW w:w="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9"/>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Section 1350, as Adopted Pursuant to Section 906 of the Sarbanes-</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Oxley Act of 2002.</w:t>
              </w:r>
            </w:hyperlink>
          </w:p>
        </w:tc>
        <w:tc>
          <w:tcPr>
            <w:tcW w:w="24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7"/>
                <w:szCs w:val="17"/>
                <w:color w:val="auto"/>
              </w:rPr>
            </w:pPr>
          </w:p>
        </w:tc>
        <w:tc>
          <w:tcPr>
            <w:tcW w:w="5060" w:type="dxa"/>
            <w:vAlign w:val="bottom"/>
            <w:gridSpan w:val="9"/>
          </w:tcPr>
          <w:p>
            <w:pPr>
              <w:spacing w:after="0" w:line="196"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Certification of Principal Financial Officer Pursuant to 18 U.S.C.</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9"/>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Section 1350, as Adopted Pursuant to Section 906 of the Sarbanes-</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Oxley Act of 2002.</w:t>
              </w:r>
            </w:hyperlink>
          </w:p>
        </w:tc>
        <w:tc>
          <w:tcPr>
            <w:tcW w:w="24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9"/>
                <w:szCs w:val="19"/>
                <w:color w:val="auto"/>
              </w:rPr>
            </w:pPr>
          </w:p>
        </w:tc>
        <w:tc>
          <w:tcPr>
            <w:tcW w:w="5060" w:type="dxa"/>
            <w:vAlign w:val="bottom"/>
            <w:gridSpan w:val="9"/>
          </w:tcPr>
          <w:p>
            <w:pPr>
              <w:spacing w:after="0"/>
              <w:rPr>
                <w:sz w:val="20"/>
                <w:szCs w:val="20"/>
                <w:color w:val="auto"/>
              </w:rPr>
            </w:pPr>
            <w:r>
              <w:rPr>
                <w:rFonts w:ascii="Arial" w:cs="Arial" w:eastAsia="Arial" w:hAnsi="Arial"/>
                <w:sz w:val="18"/>
                <w:szCs w:val="18"/>
                <w:color w:val="auto"/>
                <w:w w:val="95"/>
              </w:rPr>
              <w:t>Inline XBRL Instance Document – the instance document does not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60" w:type="dxa"/>
            <w:vAlign w:val="bottom"/>
            <w:gridSpan w:val="9"/>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60" w:type="dxa"/>
            <w:vAlign w:val="bottom"/>
            <w:gridSpan w:val="9"/>
          </w:tcPr>
          <w:p>
            <w:pPr>
              <w:spacing w:after="0"/>
              <w:rPr>
                <w:sz w:val="20"/>
                <w:szCs w:val="20"/>
                <w:color w:val="auto"/>
              </w:rPr>
            </w:pPr>
            <w:r>
              <w:rPr>
                <w:rFonts w:ascii="Arial" w:cs="Arial" w:eastAsia="Arial" w:hAnsi="Arial"/>
                <w:sz w:val="18"/>
                <w:szCs w:val="18"/>
                <w:color w:val="auto"/>
              </w:rPr>
              <w:t>embedded with the Inline XBRL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8"/>
                <w:szCs w:val="18"/>
                <w:color w:val="auto"/>
              </w:rPr>
            </w:pPr>
          </w:p>
        </w:tc>
        <w:tc>
          <w:tcPr>
            <w:tcW w:w="50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5060" w:type="dxa"/>
            <w:vAlign w:val="bottom"/>
            <w:gridSpan w:val="9"/>
          </w:tcPr>
          <w:p>
            <w:pPr>
              <w:spacing w:after="0"/>
              <w:rPr>
                <w:sz w:val="20"/>
                <w:szCs w:val="20"/>
                <w:color w:val="auto"/>
              </w:rPr>
            </w:pPr>
            <w:r>
              <w:rPr>
                <w:rFonts w:ascii="Arial" w:cs="Arial" w:eastAsia="Arial" w:hAnsi="Arial"/>
                <w:sz w:val="18"/>
                <w:szCs w:val="18"/>
                <w:color w:val="auto"/>
                <w:w w:val="94"/>
              </w:rPr>
              <w:t>Inline XBRL Taxonomy Extension Calculation Linkbase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18"/>
                <w:szCs w:val="18"/>
                <w:color w:val="auto"/>
              </w:rPr>
            </w:pPr>
          </w:p>
        </w:tc>
        <w:tc>
          <w:tcPr>
            <w:tcW w:w="5060" w:type="dxa"/>
            <w:vAlign w:val="bottom"/>
            <w:gridSpan w:val="9"/>
          </w:tcPr>
          <w:p>
            <w:pPr>
              <w:spacing w:after="0"/>
              <w:rPr>
                <w:sz w:val="20"/>
                <w:szCs w:val="20"/>
                <w:color w:val="auto"/>
              </w:rPr>
            </w:pPr>
            <w:r>
              <w:rPr>
                <w:rFonts w:ascii="Arial" w:cs="Arial" w:eastAsia="Arial" w:hAnsi="Arial"/>
                <w:sz w:val="18"/>
                <w:szCs w:val="18"/>
                <w:color w:val="auto"/>
                <w:w w:val="97"/>
              </w:rPr>
              <w:t>Inline XBRL Taxonomy Extension Definition Linkbase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50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18"/>
                <w:szCs w:val="18"/>
                <w:color w:val="auto"/>
              </w:rPr>
            </w:pPr>
          </w:p>
        </w:tc>
        <w:tc>
          <w:tcPr>
            <w:tcW w:w="5060" w:type="dxa"/>
            <w:vAlign w:val="bottom"/>
            <w:gridSpan w:val="9"/>
          </w:tcPr>
          <w:p>
            <w:pPr>
              <w:spacing w:after="0"/>
              <w:rPr>
                <w:sz w:val="20"/>
                <w:szCs w:val="20"/>
                <w:color w:val="auto"/>
              </w:rPr>
            </w:pPr>
            <w:r>
              <w:rPr>
                <w:rFonts w:ascii="Arial" w:cs="Arial" w:eastAsia="Arial" w:hAnsi="Arial"/>
                <w:sz w:val="18"/>
                <w:szCs w:val="18"/>
                <w:color w:val="auto"/>
                <w:w w:val="92"/>
              </w:rPr>
              <w:t>Inline XBRL Taxonomy Extension Presentation Linkbase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5060" w:type="dxa"/>
            <w:vAlign w:val="bottom"/>
            <w:gridSpan w:val="9"/>
          </w:tcPr>
          <w:p>
            <w:pPr>
              <w:spacing w:after="0"/>
              <w:rPr>
                <w:sz w:val="20"/>
                <w:szCs w:val="20"/>
                <w:color w:val="auto"/>
              </w:rPr>
            </w:pPr>
            <w:r>
              <w:rPr>
                <w:rFonts w:ascii="Arial" w:cs="Arial" w:eastAsia="Arial" w:hAnsi="Arial"/>
                <w:sz w:val="18"/>
                <w:szCs w:val="18"/>
                <w:color w:val="auto"/>
                <w:w w:val="93"/>
              </w:rPr>
              <w:t>The cover page from the Registrant’s Quarterly Report on Form 10-</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7"/>
              </w:rPr>
              <w:t>Q for the quarter ended June 30, 2021, formatted in Inline XBRL.</w:t>
            </w: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74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30" w:lineRule="exact"/>
        <w:rPr>
          <w:sz w:val="20"/>
          <w:szCs w:val="20"/>
          <w:color w:val="auto"/>
        </w:rPr>
      </w:pPr>
    </w:p>
    <w:p>
      <w:pPr>
        <w:jc w:val="both"/>
        <w:ind w:left="280" w:hanging="272"/>
        <w:spacing w:after="0" w:line="263"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6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3540" w:type="dxa"/>
            <w:vAlign w:val="bottom"/>
          </w:tcPr>
          <w:p>
            <w:pPr>
              <w:spacing w:after="0"/>
              <w:rPr>
                <w:sz w:val="20"/>
                <w:szCs w:val="20"/>
                <w:color w:val="auto"/>
              </w:rPr>
            </w:pPr>
            <w:r>
              <w:rPr>
                <w:rFonts w:ascii="Arial" w:cs="Arial" w:eastAsia="Arial" w:hAnsi="Arial"/>
                <w:sz w:val="18"/>
                <w:szCs w:val="18"/>
                <w:color w:val="auto"/>
              </w:rPr>
              <w:t>Date: August 5, 2021</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By: /s/ Jason Trevisan</w:t>
            </w:r>
          </w:p>
        </w:tc>
      </w:tr>
      <w:tr>
        <w:trPr>
          <w:trHeight w:val="222"/>
        </w:trPr>
        <w:tc>
          <w:tcPr>
            <w:tcW w:w="3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540" w:type="dxa"/>
            <w:vAlign w:val="bottom"/>
          </w:tcPr>
          <w:p>
            <w:pPr>
              <w:spacing w:after="0"/>
              <w:rPr>
                <w:sz w:val="20"/>
                <w:szCs w:val="20"/>
                <w:color w:val="auto"/>
              </w:rPr>
            </w:pPr>
            <w:r>
              <w:rPr>
                <w:rFonts w:ascii="Arial" w:cs="Arial" w:eastAsia="Arial" w:hAnsi="Arial"/>
                <w:sz w:val="18"/>
                <w:szCs w:val="18"/>
                <w:color w:val="auto"/>
              </w:rPr>
              <w:t>Date: August 5, 2021</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By: /s/ Scot Fredo</w:t>
            </w:r>
          </w:p>
        </w:tc>
      </w:tr>
      <w:tr>
        <w:trPr>
          <w:trHeight w:val="222"/>
        </w:trPr>
        <w:tc>
          <w:tcPr>
            <w:tcW w:w="3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 Fredo</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675"/>
        </w:trPr>
        <w:tc>
          <w:tcPr>
            <w:tcW w:w="3540" w:type="dxa"/>
            <w:vAlign w:val="bottom"/>
          </w:tcPr>
          <w:p>
            <w:pPr>
              <w:spacing w:after="0"/>
              <w:rPr>
                <w:sz w:val="24"/>
                <w:szCs w:val="24"/>
                <w:color w:val="auto"/>
              </w:rPr>
            </w:pPr>
          </w:p>
        </w:tc>
        <w:tc>
          <w:tcPr>
            <w:tcW w:w="2480" w:type="dxa"/>
            <w:vAlign w:val="bottom"/>
          </w:tcPr>
          <w:p>
            <w:pPr>
              <w:jc w:val="right"/>
              <w:ind w:right="210"/>
              <w:spacing w:after="0"/>
              <w:rPr>
                <w:sz w:val="20"/>
                <w:szCs w:val="20"/>
                <w:color w:val="auto"/>
              </w:rPr>
            </w:pPr>
            <w:r>
              <w:rPr>
                <w:rFonts w:ascii="Arial" w:cs="Arial" w:eastAsia="Arial" w:hAnsi="Arial"/>
                <w:sz w:val="18"/>
                <w:szCs w:val="18"/>
                <w:color w:val="auto"/>
              </w:rPr>
              <w:t>58</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5, 2021</w:t>
            </w:r>
          </w:p>
        </w:tc>
        <w:tc>
          <w:tcPr>
            <w:tcW w:w="7620" w:type="dxa"/>
            <w:vAlign w:val="bottom"/>
            <w:gridSpan w:val="2"/>
          </w:tcPr>
          <w:p>
            <w:pPr>
              <w:ind w:left="2080"/>
              <w:spacing w:after="0"/>
              <w:rPr>
                <w:sz w:val="20"/>
                <w:szCs w:val="20"/>
                <w:color w:val="auto"/>
              </w:rPr>
            </w:pPr>
            <w:r>
              <w:rPr>
                <w:rFonts w:ascii="Arial" w:cs="Arial" w:eastAsia="Arial" w:hAnsi="Arial"/>
                <w:sz w:val="18"/>
                <w:szCs w:val="18"/>
                <w:color w:val="auto"/>
              </w:rPr>
              <w:t>By: /s/ Jason Trevisan</w:t>
            </w:r>
          </w:p>
        </w:tc>
      </w:tr>
      <w:tr>
        <w:trPr>
          <w:trHeight w:val="222"/>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 Fredo, certify that:</w:t>
      </w:r>
    </w:p>
    <w:p>
      <w:pPr>
        <w:spacing w:after="0" w:line="22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5, 2021</w:t>
            </w:r>
          </w:p>
        </w:tc>
        <w:tc>
          <w:tcPr>
            <w:tcW w:w="7620" w:type="dxa"/>
            <w:vAlign w:val="bottom"/>
            <w:gridSpan w:val="2"/>
          </w:tcPr>
          <w:p>
            <w:pPr>
              <w:ind w:left="2080"/>
              <w:spacing w:after="0"/>
              <w:rPr>
                <w:sz w:val="20"/>
                <w:szCs w:val="20"/>
                <w:color w:val="auto"/>
              </w:rPr>
            </w:pPr>
            <w:r>
              <w:rPr>
                <w:rFonts w:ascii="Arial" w:cs="Arial" w:eastAsia="Arial" w:hAnsi="Arial"/>
                <w:sz w:val="18"/>
                <w:szCs w:val="18"/>
                <w:color w:val="auto"/>
              </w:rPr>
              <w:t>By: /s/ Scot Fredo</w:t>
            </w:r>
          </w:p>
        </w:tc>
      </w:tr>
      <w:tr>
        <w:trPr>
          <w:trHeight w:val="222"/>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 Fredo</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on Form 10-Q of CarGurus, Inc. (the “Company”) for the period ending June 30, 2021 as filed with the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84"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5, 2021</w:t>
            </w:r>
          </w:p>
        </w:tc>
        <w:tc>
          <w:tcPr>
            <w:tcW w:w="7620" w:type="dxa"/>
            <w:vAlign w:val="bottom"/>
            <w:gridSpan w:val="2"/>
          </w:tcPr>
          <w:p>
            <w:pPr>
              <w:ind w:left="2080"/>
              <w:spacing w:after="0"/>
              <w:rPr>
                <w:sz w:val="20"/>
                <w:szCs w:val="20"/>
                <w:color w:val="auto"/>
              </w:rPr>
            </w:pPr>
            <w:r>
              <w:rPr>
                <w:rFonts w:ascii="Arial" w:cs="Arial" w:eastAsia="Arial" w:hAnsi="Arial"/>
                <w:sz w:val="18"/>
                <w:szCs w:val="18"/>
                <w:color w:val="auto"/>
              </w:rPr>
              <w:t>By: /s/ Jason Trevisan</w:t>
            </w:r>
          </w:p>
        </w:tc>
      </w:tr>
      <w:tr>
        <w:trPr>
          <w:trHeight w:val="222"/>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60" w:firstLine="510"/>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June 30, 2021 as filed with the Securities and Exchange Commission on the date hereof (the “Report”), I, Scot Fredo, Chief Financial Officer of the Company, certify, pursuant to 18 U.S.C. § 1350, as adopted pursuant to § 906 of the Sarbanes-Oxley Act of 2002, that, based on my knowledge:</w:t>
      </w:r>
    </w:p>
    <w:p>
      <w:pPr>
        <w:spacing w:after="0" w:line="165"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5, 2021</w:t>
            </w:r>
          </w:p>
        </w:tc>
        <w:tc>
          <w:tcPr>
            <w:tcW w:w="7620" w:type="dxa"/>
            <w:vAlign w:val="bottom"/>
            <w:gridSpan w:val="2"/>
          </w:tcPr>
          <w:p>
            <w:pPr>
              <w:ind w:left="2080"/>
              <w:spacing w:after="0"/>
              <w:rPr>
                <w:sz w:val="20"/>
                <w:szCs w:val="20"/>
                <w:color w:val="auto"/>
              </w:rPr>
            </w:pPr>
            <w:r>
              <w:rPr>
                <w:rFonts w:ascii="Arial" w:cs="Arial" w:eastAsia="Arial" w:hAnsi="Arial"/>
                <w:sz w:val="18"/>
                <w:szCs w:val="18"/>
                <w:color w:val="auto"/>
              </w:rPr>
              <w:t>By: /s/ Scot Fredo</w:t>
            </w:r>
          </w:p>
        </w:tc>
      </w:tr>
      <w:tr>
        <w:trPr>
          <w:trHeight w:val="222"/>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 Fredo</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endash "/>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87" Type="http://schemas.openxmlformats.org/officeDocument/2006/relationships/hyperlink" Target="http://www.sec.gov/Archives/edgar/data/1494259/000156459021025253/carg-ex104_3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2021-08-05T17:24:07Z</dcterms:created>
  <dcterms:modified xsi:type="dcterms:W3CDTF">2021-08-05T17:24:07Z</dcterms:modified>
</cp:coreProperties>
</file>