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2 Canal Park, 4th Floor</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Cambridge, Massachusetts</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right="80" w:firstLine="518"/>
        <w:spacing w:after="0" w:line="277" w:lineRule="auto"/>
        <w:rPr>
          <w:sz w:val="20"/>
          <w:szCs w:val="20"/>
          <w:color w:val="auto"/>
        </w:rPr>
      </w:pPr>
      <w:r>
        <w:rPr>
          <w:rFonts w:ascii="Arial" w:cs="Arial" w:eastAsia="Arial" w:hAnsi="Arial"/>
          <w:sz w:val="18"/>
          <w:szCs w:val="18"/>
          <w:color w:val="auto"/>
        </w:rPr>
        <w:t>As of October 31, 2017, the registrant had 77,877,494 shares of Class A common stock, $0.001 par value per share, and 28,213,276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180" w:type="dxa"/>
            <w:vAlign w:val="bottom"/>
            <w:gridSpan w:val="9"/>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w:t>
              </w:r>
            </w:hyperlink>
          </w:p>
        </w:tc>
        <w:tc>
          <w:tcPr>
            <w:tcW w:w="860" w:type="dxa"/>
            <w:vAlign w:val="bottom"/>
            <w:tcBorders>
              <w:top w:val="single" w:sz="8" w:color="0000EE"/>
            </w:tcBorders>
            <w:gridSpan w:val="2"/>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78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780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2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ind w:right="200" w:firstLine="518"/>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“may,” “might,” “likely,”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right="5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administrative workload associated with being a public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ind w:firstLine="518"/>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ind w:right="20" w:firstLine="518"/>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Current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56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25,636</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$141</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$164, respectively</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Prepaid income taxes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13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7"/>
                <w:szCs w:val="17"/>
                <w:color w:val="auto"/>
              </w:rPr>
              <w:t>Total current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 (Note 4)</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Restricted cash</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Other long-term assets (Note 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121,656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140"/>
              <w:spacing w:after="0"/>
              <w:rPr>
                <w:sz w:val="20"/>
                <w:szCs w:val="20"/>
                <w:color w:val="auto"/>
              </w:rPr>
            </w:pPr>
            <w:r>
              <w:rPr>
                <w:rFonts w:ascii="Arial" w:cs="Arial" w:eastAsia="Arial" w:hAnsi="Arial"/>
                <w:sz w:val="17"/>
                <w:szCs w:val="17"/>
                <w:b w:val="1"/>
                <w:bCs w:val="1"/>
                <w:color w:val="auto"/>
              </w:rPr>
              <w:t>deficit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56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22,737</w:t>
            </w:r>
          </w:p>
        </w:tc>
        <w:tc>
          <w:tcPr>
            <w:tcW w:w="18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 (Note 6)</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income taxes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Deferred rent</w:t>
            </w:r>
          </w:p>
        </w:tc>
        <w:tc>
          <w:tcPr>
            <w:tcW w:w="13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Deferred rent, net of current portion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3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Commitments and contingencies (Note 7)</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 (Note 8)</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132,698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Stockholders’ deficit: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$0.001 par value per share; 120,020,700 shares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14,107,816 and 14,022,132 shares issued and outstanding</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September 30, 2017 and December 31, 2016, respectively.</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60"/>
              <w:spacing w:after="0"/>
              <w:rPr>
                <w:sz w:val="20"/>
                <w:szCs w:val="20"/>
                <w:color w:val="auto"/>
              </w:rPr>
            </w:pPr>
            <w:r>
              <w:rPr>
                <w:rFonts w:ascii="Arial" w:cs="Arial" w:eastAsia="Arial" w:hAnsi="Arial"/>
                <w:sz w:val="17"/>
                <w:szCs w:val="17"/>
                <w:color w:val="auto"/>
              </w:rPr>
              <w:t>Class B common stock, $0.001 par value per share; 80,013,800 shares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80"/>
              <w:spacing w:after="0"/>
              <w:rPr>
                <w:sz w:val="20"/>
                <w:szCs w:val="20"/>
                <w:color w:val="auto"/>
              </w:rPr>
            </w:pPr>
            <w:r>
              <w:rPr>
                <w:rFonts w:ascii="Arial" w:cs="Arial" w:eastAsia="Arial" w:hAnsi="Arial"/>
                <w:sz w:val="17"/>
                <w:szCs w:val="17"/>
                <w:color w:val="auto"/>
              </w:rPr>
              <w:t>authorized, 28,213,276 and 28,044,264 shares issued and outstanding</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00" w:type="dxa"/>
            <w:vAlign w:val="bottom"/>
          </w:tcPr>
          <w:p>
            <w:pPr>
              <w:ind w:left="380"/>
              <w:spacing w:after="0"/>
              <w:rPr>
                <w:sz w:val="20"/>
                <w:szCs w:val="20"/>
                <w:color w:val="auto"/>
              </w:rPr>
            </w:pPr>
            <w:r>
              <w:rPr>
                <w:rFonts w:ascii="Arial" w:cs="Arial" w:eastAsia="Arial" w:hAnsi="Arial"/>
                <w:sz w:val="17"/>
                <w:szCs w:val="17"/>
                <w:color w:val="auto"/>
              </w:rPr>
              <w:t>at September 30, 2017 and December 31, 2016, respectively.</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(60,766)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(71,698)</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deficit</w:t>
            </w:r>
          </w:p>
        </w:tc>
        <w:tc>
          <w:tcPr>
            <w:tcW w:w="13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(56,300)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(67,972)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50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Total liabilities, convertible preferred stock, and stockholders’</w:t>
            </w: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deficit</w:t>
            </w:r>
          </w:p>
        </w:tc>
        <w:tc>
          <w:tcPr>
            <w:tcW w:w="156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121,656</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75,406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Reconciliation of net income to net income</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2,138</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(1,401)</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6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(Note 10)</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shares of common stock used in</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attributable to common</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42,262,035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44,692,419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42,168,904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44,665,063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46,567,173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48,069,373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46,310,630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48,040,754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6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September 30, 2017 and 2016 and for the nine months ended September 30, 2017 and 2016 of $370, $113, $761, and $316,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40" w:type="dxa"/>
            <w:vAlign w:val="bottom"/>
            <w:gridSpan w:val="4"/>
          </w:tcPr>
          <w:p>
            <w:pPr>
              <w:jc w:val="right"/>
              <w:ind w:right="12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2,379</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2,451</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2,139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jc w:val="center"/>
        <w:ind w:left="7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79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10,932</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Unrealized currency loss on foreign denominated transactions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taxes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prepaid income taxes, and other current assets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income taxes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liabilities</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Capitalization of website development costs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(41,774)</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(20,960)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unit options and stock options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Payment of deferred initial public offering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repurchase of preferred stock, common stock, and vested options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spacing w:after="0"/>
              <w:rPr>
                <w:sz w:val="23"/>
                <w:szCs w:val="23"/>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4,220</w:t>
            </w:r>
          </w:p>
        </w:tc>
        <w:tc>
          <w:tcPr>
            <w:tcW w:w="180" w:type="dxa"/>
            <w:vAlign w:val="bottom"/>
          </w:tcPr>
          <w:p>
            <w:pPr>
              <w:spacing w:after="0"/>
              <w:rPr>
                <w:sz w:val="23"/>
                <w:szCs w:val="23"/>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Unpaid deferred initial public offering costs</w:t>
            </w:r>
          </w:p>
        </w:tc>
        <w:tc>
          <w:tcPr>
            <w:tcW w:w="1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preferred stock issuance costs</w:t>
            </w:r>
          </w:p>
        </w:tc>
        <w:tc>
          <w:tcPr>
            <w:tcW w:w="10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right="180" w:firstLine="518"/>
        <w:spacing w:after="0" w:line="259" w:lineRule="auto"/>
        <w:rPr>
          <w:sz w:val="20"/>
          <w:szCs w:val="20"/>
          <w:color w:val="auto"/>
        </w:rPr>
      </w:pPr>
      <w:r>
        <w:rPr>
          <w:rFonts w:ascii="Arial" w:cs="Arial" w:eastAsia="Arial" w:hAnsi="Arial"/>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dealer reputation, and other useful information that aids them in finding “Great Deals from Top-Rated Dealers.”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marketplaces in Canada, the United Kingdom, and Germany. The Company has wholly owned subsidiaries in the United States, Ireland, and the United Kingdom.</w:t>
      </w:r>
    </w:p>
    <w:p>
      <w:pPr>
        <w:spacing w:after="0" w:line="181" w:lineRule="exact"/>
        <w:rPr>
          <w:sz w:val="20"/>
          <w:szCs w:val="20"/>
          <w:color w:val="auto"/>
        </w:rPr>
      </w:pPr>
    </w:p>
    <w:p>
      <w:pPr>
        <w:ind w:right="40" w:firstLine="518"/>
        <w:spacing w:after="0" w:line="279" w:lineRule="auto"/>
        <w:rPr>
          <w:sz w:val="20"/>
          <w:szCs w:val="20"/>
          <w:color w:val="auto"/>
        </w:rPr>
      </w:pPr>
      <w:r>
        <w:rPr>
          <w:rFonts w:ascii="Arial" w:cs="Arial" w:eastAsia="Arial" w:hAnsi="Arial"/>
          <w:sz w:val="18"/>
          <w:szCs w:val="18"/>
          <w:color w:val="auto"/>
        </w:rPr>
        <w:t>The Company is subject to a number of risks and uncertainties common to companies in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2016 included in the Company’s final prospectus related to the initial public offering (“IPO”), filed with the Securities and Exchange Commission (“SEC”) pursuant to Rule 424(b)(4) under the Securities Act of 1933, as amended, on October 12, 2017 (the “Prospectus”).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2017 and December 31, 2016, results of operations for the three months and nine months ended September 30, 2017 and 2016, and cash flows for the nine months ended September 30, 2017 and 2016. These interim periods are not necessarily indicative of the results to be expected for any other interim period or the full year.</w:t>
      </w:r>
    </w:p>
    <w:p>
      <w:pPr>
        <w:spacing w:after="0" w:line="189"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September 30, 2017, there have been no material changes in the Company's significant accounting policies from those that were disclosed in the Prospectus except as discussed below.</w:t>
      </w:r>
    </w:p>
    <w:p>
      <w:pPr>
        <w:spacing w:after="0" w:line="14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(Topic 718): Improvements to Employee Share-Based Payment Accounting </w:t>
      </w:r>
      <w:r>
        <w:rPr>
          <w:rFonts w:ascii="Arial" w:cs="Arial" w:eastAsia="Arial" w:hAnsi="Arial"/>
          <w:sz w:val="17"/>
          <w:szCs w:val="17"/>
          <w:color w:val="auto"/>
        </w:rPr>
        <w:t>(“ASU 2016-09”). The guidance identifies areas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simplification involving several aspects of accounting for share-based payments, including income tax consequences, classification of awards as either equity or liabilities, an option to make a policy election to recognize gross stock-based compensation expense with actual forfeitures recognized as they occur, as well as certain classification changes on the statement of cash flows. The Company adopted ASU 2016-09 on January 1, 2017 and elected to account for forfeitures when they occur, on a modified retrospective basis. The cumulative effect adjustment related to the Company's accounting policy change for forfeitures was not material. In accordance with the adoption of this guidance, the tax effect of differences between tax deductions related to stock compensation and the corresponding financial statement expense compensation will no longer be recorded to additional paid-in capital in the balance sheet. Instead, such amounts will be recorded to tax expense. During the three and nine months ended September 30, 2017, the Company recorded tax benefits of $267 and $640, respectively, related to differences between tax deductions related to stock compensation and the corresponding financial statement expense compensation. The Company also elected to prospectively apply the change in presentation of excess tax benefits, wherein excess tax benefits recognized on stock-based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 w:name="page9"/>
    <w:bookmarkEnd w:id="8"/>
    <w:p>
      <w:pPr>
        <w:jc w:val="both"/>
        <w:ind w:right="120"/>
        <w:spacing w:after="0" w:line="264" w:lineRule="auto"/>
        <w:rPr>
          <w:sz w:val="20"/>
          <w:szCs w:val="20"/>
          <w:color w:val="auto"/>
        </w:rPr>
      </w:pPr>
      <w:r>
        <w:rPr>
          <w:rFonts w:ascii="Arial" w:cs="Arial" w:eastAsia="Arial" w:hAnsi="Arial"/>
          <w:sz w:val="18"/>
          <w:szCs w:val="18"/>
          <w:color w:val="auto"/>
        </w:rPr>
        <w:t>compensation expense is now classified as an operating activity in the consolidated statements of cash flows. The Company did not adjust the classifications of excess tax benefits in its condensed consolidated statements of cash flows for the nine months ended September 30, 2016. The adoption did not have any other material impact on the Company's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900"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accounts of CarGurus, Inc. and its wholly-owned subsidiaries. All intercompany balances and transactions have been eliminated in consolidation. The Company prepares its Unaudited Condensed Consolidated Financial Statements and related disclosures in conformity with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those disclosed in this Quarterly Report on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preparing its Unaudited Condensed Consolidated Financial Statements in accordance with GAAP, the Company is required to make estimates and assumptions that affect the amounts of assets, liabilities, revenue, costs, and expenses, and disclosure of contingent assets and liabilities which are reported in the Unaudited Condensed Consolidated Financial Statements and accompanying disclosures. The accounting estimates that require the most difficult and subjective judgments include revenue recognition and revenue reserves, contingent liabilities, allowances for doubtful accounts, expected future cash flows used to evaluate the recoverability of long-lived assets, the expensing and capitalization of product, technology, and development costs for website development and internal-use software, the determination of the fair value of stock awards issued, stock-based compensation expense,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the Company’s estimates and assumptions.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December 31, 2022 or such earlier time that it is no longer an emerging growth company. The Company would cease to be an emerging growth company if it has more than $1.07 billion in annual revenue, it has more than $700.0 million in market value of its stock held by non-affiliates (and it has been a public company for at least 12 months, and has filed one annual report on Form 10-K), or it issues more than $1.0 billion of non-convertible debt securities over a three-year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right="140" w:firstLine="518"/>
        <w:spacing w:after="0" w:line="277" w:lineRule="auto"/>
        <w:rPr>
          <w:sz w:val="20"/>
          <w:szCs w:val="20"/>
          <w:color w:val="auto"/>
        </w:rPr>
      </w:pPr>
      <w:r>
        <w:rPr>
          <w:rFonts w:ascii="Arial" w:cs="Arial" w:eastAsia="Arial" w:hAnsi="Arial"/>
          <w:sz w:val="18"/>
          <w:szCs w:val="18"/>
          <w:color w:val="auto"/>
        </w:rPr>
        <w:t>For the nine months ended September 30, 2017 and the year ended December 31, 2016, no individual customer accounted for more than 10% of total revenue.</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of September 30, 2017, three customers accounted for 17%, 15%, and 10% of net accounts receivable, respectively. As of December 31, 2016, two customers accounted for 24% and 15% of net accounts receivable, respectively. No other individual customer accounted for more than 10% of net accounts receivable at September 30, 2017 or December 31,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modifies how all entities recognize revenue, and consolidates into one Accounting Standards Codification (“ASC”) Topic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the current guidance found in ASC Topic 605, and various other revenue accounting standards for specialized transactions and industries. ASU</w:t>
      </w:r>
      <w:r>
        <w:rPr>
          <w:rFonts w:ascii="Arial" w:cs="Arial" w:eastAsia="Arial" w:hAnsi="Arial"/>
          <w:sz w:val="16"/>
          <w:szCs w:val="16"/>
          <w:i w:val="1"/>
          <w:iCs w:val="1"/>
          <w:color w:val="auto"/>
        </w:rPr>
        <w:t xml:space="preserve"> </w:t>
      </w:r>
      <w:r>
        <w:rPr>
          <w:rFonts w:ascii="Arial" w:cs="Arial" w:eastAsia="Arial" w:hAnsi="Arial"/>
          <w:sz w:val="16"/>
          <w:szCs w:val="16"/>
          <w:color w:val="auto"/>
        </w:rPr>
        <w:t>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w:t>
      </w:r>
    </w:p>
    <w:p>
      <w:pPr>
        <w:spacing w:after="0" w:line="16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 xml:space="preserve">In August 2015, the FASB issued ASU No. 2015-14, </w:t>
      </w:r>
      <w:r>
        <w:rPr>
          <w:rFonts w:ascii="Arial" w:cs="Arial" w:eastAsia="Arial" w:hAnsi="Arial"/>
          <w:sz w:val="16"/>
          <w:szCs w:val="16"/>
          <w:i w:val="1"/>
          <w:iCs w:val="1"/>
          <w:color w:val="auto"/>
        </w:rPr>
        <w:t>Revenue from Contracts with Customers (Topic 606): Deferral of Effective Date</w:t>
      </w:r>
      <w:r>
        <w:rPr>
          <w:rFonts w:ascii="Arial" w:cs="Arial" w:eastAsia="Arial" w:hAnsi="Arial"/>
          <w:sz w:val="16"/>
          <w:szCs w:val="16"/>
          <w:color w:val="auto"/>
        </w:rPr>
        <w:t xml:space="preserve"> (“ASU 2015-14”), which defers the effective date of ASU 2014-09 by one year. ASU 2014-09 is now effective for public entities for annual reporting periods beginning after December 15, 2017, including interim periods within those annual reporting periods. The Company has developed an implementation plan to adopt this new guidance. As part of this plan, the Company is currently assessing the impact of the new guidance on its results of operations. Based on the Company’s procedures performed to date, nothing has come to its attention that would indicate that the adoption of ASU 2014-09 will have a material impact on its revenue recognition; however, further analysis is required and the Company will continue to evaluate this assessment throughout 2017 and 2018. While the Company is still evaluating the impact that this guidance will have on its financial statements and related disclosures, the Company’s preliminary assessment is that there will be an impact relating to the accounting for costs to acquire a contract. Under ASU 2015-14, the Company will be required to capitalize certain costs, primarily commission expense to sales representatives, on its consolidated balance sheet and amortize such costs over the period of performance for the underlying customer contracts. The Company is still evaluating the impact of capitalizing costs to execute a contract.</w:t>
      </w:r>
    </w:p>
    <w:p>
      <w:pPr>
        <w:spacing w:after="0" w:line="169"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public entities, the new standard is effective for interim and annual periods beginning on or after January 1, 2019, with early adoption permitted. For non-public entities, the new standard is effective for annual periods beginning after December 15, 2019, with early adoption permitted. The Company is evaluating the impact this guidance may have on its consolidated financial statements.</w:t>
      </w:r>
    </w:p>
    <w:p>
      <w:pPr>
        <w:spacing w:after="0" w:line="17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ASU 2016-15 is intended to add or clarify guidance on the classification of certain cash receipts and payments in the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and to eliminate the diversity in practice related to such classifications. For public entities, the guidance in ASU 2016-15 is required for annual reporting periods beginning after December 15, 2017, with early adoption permitted. For non-public entities, the guidance is effective for annual reporting periods beginning after December 15, 2018, with early adoption permitted. The Company is currently in the process of evaluating the impact and timing of adoption of ASU 2016-15 on its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of Financial Instruments Including Cash, Cash Equivalents and Investments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three-level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117"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62"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Level 3 — Model-derived valuations in which one or more significant inputs or significant value drivers are unobservable, including assumptions developed by the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 comparable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 market expectations about those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amounts, including present value techniques, option pricing models, and excess earnings method.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 (replacement cost).</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tables present, for each of the fair value levels, the Company’s assets that are measured at fair value on a recurring basis at September 30, 2017 and at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At September 30, 2017</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(Level 2 Inputs)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Cash equivalents: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Investments: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At December 31, 2016</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in Active Markets</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(Level 2 Inputs)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Investments: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44,774</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77"/>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2" w:right="219" w:bottom="1440" w:gutter="0" w:footer="0" w:header="0"/>
        </w:sectPr>
      </w:pPr>
    </w:p>
    <w:bookmarkStart w:id="11" w:name="page12"/>
    <w:bookmarkEnd w:id="11"/>
    <w:p>
      <w:pPr>
        <w:ind w:right="120" w:firstLine="518"/>
        <w:spacing w:after="0" w:line="259"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nine months ended September 30, 2017 or the year ended December 31, 2016.</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7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investments as of September 30, 2017 and December 30, 2016.</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Cash and cash equivalents due in 90 days or less</w:t>
            </w:r>
          </w:p>
        </w:tc>
        <w:tc>
          <w:tcPr>
            <w:tcW w:w="17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25,636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Certificates of deposit due in one year or less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investments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Cash and cash equivalents due in 90 days or less</w:t>
            </w:r>
          </w:p>
        </w:tc>
        <w:tc>
          <w:tcPr>
            <w:tcW w:w="17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Certificates of deposit due in one year or less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investments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Certificates of deposit at September 30, 2017 had maturity dates ranging from nine to twelve months. Certificates of deposit at December 31, 2016 had maturity dates ranging from six to twelve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At</w:t>
            </w: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Website development costs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(6,392)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(3,722)</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Depreciation and amortization expense on property and equipment for the three months ended September 30, 2017 and 2016 and for the nine months ended September 30, 2017 and 2016 was $1,083, $545, $2,670, and $1,381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Other Long-Term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assets consists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At</w:t>
            </w:r>
          </w:p>
        </w:tc>
      </w:tr>
      <w:tr>
        <w:trPr>
          <w:trHeight w:val="149"/>
        </w:trPr>
        <w:tc>
          <w:tcPr>
            <w:tcW w:w="3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76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FF0FC"/>
            </w:tcBorders>
          </w:tcPr>
          <w:p>
            <w:pPr>
              <w:spacing w:after="0"/>
              <w:rPr>
                <w:sz w:val="14"/>
                <w:szCs w:val="14"/>
                <w:color w:val="auto"/>
              </w:rPr>
            </w:pPr>
          </w:p>
        </w:tc>
      </w:tr>
      <w:tr>
        <w:trPr>
          <w:trHeight w:val="25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Deferred IPO issuance costs</w:t>
            </w: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7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tcPr>
          <w:p>
            <w:pPr>
              <w:spacing w:after="0"/>
              <w:rPr>
                <w:sz w:val="23"/>
                <w:szCs w:val="23"/>
                <w:color w:val="auto"/>
              </w:rPr>
            </w:pPr>
          </w:p>
        </w:tc>
      </w:tr>
      <w:tr>
        <w:trPr>
          <w:trHeight w:val="237"/>
        </w:trPr>
        <w:tc>
          <w:tcPr>
            <w:tcW w:w="376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Deferred IPO issuance costs, which primarily consist of direct incremental legal and accounting fees relating to the IPO, are capitalized. The deferred issuance costs will be offset against IPO proceeds upon the completion of the Company's IPO, which occurred in October 2017. As of September 30, 2017, $4,142 of deferred IPO issuance costs were recorded in other long-term assets in the accompanying unaudited condensed consolidated balance sheet. As of December 31, 2016, there were no deferred IPO issuance costs recorded.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consists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At</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bonuses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commissions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lease obligations consist of various leases for office space in Massachusetts and Dublin with various lease terms through January 2024. The terms of the Company’s Massachusetts lease agreements provide for rental payments that increase on an annual basis. The Company recognizes rent expense on a straight-line basis over the lease period. The Company does not have any debt or material capital lease obligations as of December 31, 2016 and all of the Company’s property, equipment, and software have been purchased with cash. The Company has no material long-term purchase obligations outstanding with any vendors or third parties.</w:t>
      </w:r>
    </w:p>
    <w:p>
      <w:pPr>
        <w:spacing w:after="0" w:line="18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 of September 30, 2017, there were no material changes in the Company’s contractual obligations and commitments from those disclosed in the Prospectus filed with the SEC, other than as discussed below.</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On September 26, 2017, the Company entered into a lease for approximately 13,326 square feet of rentable office space located at Upper Hatch Street, Dublin, Ireland. The lease ends on August 11, 2023. Excluding operating costs, rent payments for the first year is $0.5 million. In August 2018, the rent amount is subject to a national rent review, which will establish the rent payments for the remainder of the lease.</w:t>
      </w:r>
    </w:p>
    <w:p>
      <w:pPr>
        <w:spacing w:after="0" w:line="166"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At September 30, 2017 and December 31, 2016, restricted cash was $1,783 and $2,044, respectively. Restricted cash for both periods was held at a financial institution in an interest-bearing cash account as collateral for two letters of credit related to the contractual provisions of the Company's building leases that require security deposits.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from time to time, is party to litigation arising in the ordinary course of business. Management does not believe that the outcome of these claims will have a material adverse effect on the consolidated financial position, results of operations or cash flows of the Company based on the status of proceedings at this time.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02" w:right="27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the ordinary course of business, the Company enters into agreements with its customers that are consistent with industry practice with respect to licensing, infringement, indemnification, and other standard provisions. The Company does not, in the ordinary course, agree to indemnification obligations for the Company under its contracts with customers. Based on historical experience and information known at September 30, 2017 and December 31, 2016, the Company has not incurred any costs for guarantees or indemnities.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and Stockholders’ Equity</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June 21, 2017, the Company amended and restated its Certificate of Incorporation pursuant to the Third Amended and Restated Certificate of Incorporation. Under the Third Amended and Restated Certificate of Incorporation, the total number of shares of all classes of stock which the Company shall have authority to issue is (i) 120,020,700 shares of Class A common stock, par value $0.001 per share, (ii) 80,013,800 shares of Class B common stock, par value $0.001 per share, and (iii) 11,091,782 shares of Preferred Stock, par value $0.001 per share, of which 3,333,000 shares are designated Series A Preferred Stock, 3,329,497 shares are designated Series B Preferred Stock, 1,648,978 shares are designated Series C Preferred Stock, 1,673,105 shares are designated Series D convertible preferred stock, or Series D Preferred Stock, and 1,107,202 shares are designated Series E convertible preferred stock, or Series E Preferred Stock. The Series A Preferred Stock, Series B Preferred Stock, Series C Preferred Stock, Series D Preferred Stock, and Series E Preferred Stock are referred to collectively as the Preferred Stock.</w:t>
      </w:r>
    </w:p>
    <w:p>
      <w:pPr>
        <w:spacing w:after="0" w:line="179"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Upon the effectiveness of the Third Amended and Restated Certificate of Incorporation, (i) each share of Class A common stock issued and outstanding was recapitalized, reclassified, and reconstituted into two (2) fully paid and non-assessable shares of outstanding Class A common stock and four</w:t>
      </w:r>
    </w:p>
    <w:p>
      <w:pPr>
        <w:ind w:right="6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fully paid and non-assessable shares of outstanding Class B common stock, and (ii) each share of Class B common stock of the Corporation issued and outstanding was recapitalized, reclassified, and reconstituted into two (2) fully paid and non-assessable shares of outstanding Class A common stock and four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fully paid and non-assessable shares of outstanding Class B common stock.</w:t>
      </w:r>
    </w:p>
    <w:p>
      <w:pPr>
        <w:spacing w:after="0" w:line="21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Further, upon the effectiveness of the Third Amended and Restated Certificate of Incorporation, the number of shares of common stock as to which each outstanding option to purchase common stock is exercisable for and each outstanding restricted stock unit (“RSU”) is convertible into was adjusted such that upon exercise of outstanding stock options or vesting of outstanding RSUs, each holder will receive two (2) fully paid and non-assessable shares of Class A common stock and four (4) fully paid and non-assessable shares of Class B common stock in respect of each share of common stock previously underlying such option or RSU. The exercise price per share of common stock underlying each outstanding option was adjusted upon the effectiveness of the Third Amended and Restated Certificate of Incorporation to be one-sixth of the exercise price per share in effect immediately prior to such adjustment and the fair market value per share of common stock issuable upon settlement of such RSU was adjusted to be one-sixth of the fair market value per share in effect immediately prior to the recapitalization.</w:t>
      </w:r>
    </w:p>
    <w:p>
      <w:pPr>
        <w:spacing w:after="0" w:line="19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All share and per share data shown in the accompanying Unaudited Condensed Consolidated Financial Statements and related notes have been retroactively revised to reflect the share recapitalization.</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On October 16, 2017, in connection with the closing of the Company’s IPO, each share of Preferred Stock was converted into approximately six shares of Class A common stock pursuant to the terms of the Third Amended and Restated Certificate of Incorporation. Immediately following the closing of the Company’s IPO and the conversion of the Preferred Stock, the Company’s Fourth Amended and Restated Certificate of Incorporation became effective. Under the Fourth Amended and Restated Certificate of Incorporation, the capital structure of the Company was adjusted. See Note 12 to these Unaudited Condensed Consolidated Financial Statements for additional information regarding the conversion of the Preferred Stock and the impact of the effectiveness of the Company’s Fourth Amended and Restated Certificate of Incorporation.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Each share of Class A common stock entitles the holder to one (1) vote for each share on all matters submitted to a vote of the Company’s stockholders at all meetings of stockholders and written actions in lieu of meetings. Each share of Class B common stock entitles the holder to ten votes for each share on all matters submitted to a vote of the Company’s stockholders at all meetings of stockholders and written actions in lieu of meetings.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Holders of common stock are entitled to receive dividends, when and if declared by the Board.</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At September 30, 2017, each share of Class B common stock was convertible into one share of Class A common stock at the option of the holder at any time. Automatic conversion was to occur upon the occurrence of a Transfer, as was defined in the Third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line="308" w:lineRule="auto"/>
        <w:rPr>
          <w:sz w:val="20"/>
          <w:szCs w:val="20"/>
          <w:color w:val="auto"/>
        </w:rPr>
      </w:pPr>
      <w:r>
        <w:rPr>
          <w:rFonts w:ascii="Arial" w:cs="Arial" w:eastAsia="Arial" w:hAnsi="Arial"/>
          <w:sz w:val="17"/>
          <w:szCs w:val="17"/>
          <w:color w:val="auto"/>
        </w:rPr>
        <w:t>Amended and Restated Certificate of Incorporation, of such share of Class B common stock. Upon either the death or voluntary termination of the Company’s Chief Executive Officer, all shares of Class B common stock will automatically be converted into one share of Class A common stock.</w:t>
      </w:r>
    </w:p>
    <w:p>
      <w:pPr>
        <w:spacing w:after="0" w:line="147"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8"/>
          <w:szCs w:val="18"/>
          <w:color w:val="auto"/>
        </w:rPr>
        <w:t>Upon the effectiveness of the Company’s Fourth Amended and Restated Certificate of Incorporation, additional terms of conversion and transfer were implemented. See Note 12 to these Unaudited Condensed Consolidated Financial Statements for additional information regarding the current conversion and transfer terms of the Company’s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On August 23, 2016, the Company completed a Series E Preferred Stock financing in the amount of $59,732, net of issuance costs of approximately $268. In connection with this issuance, the Company used the proceeds received to repurchase and retire certain outstanding shares of Series A, Series B, and Series C Preferred Stock and common stock, as well as certain vested stock options and RSUs, from existing stockholders in the fourth quarter of 2016. The difference between the amount implicitly paid to repurchase the various classes of Preferred Stock and the corresponding carrying value of the underlying shares ($32,087) was treated as a deemed dividend and was recorded against retained earnings. As the shares of common stock were repurchased for constructive retirement in the fourth quarter of 2016, the excess purchase price over the corresponding par value was charged directly to retained earnings.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Preferred Stock at both September 30, 2017 and December 31, 2016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Original</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Issue Price</w:t>
            </w:r>
          </w:p>
        </w:tc>
        <w:tc>
          <w:tcPr>
            <w:tcW w:w="12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020" w:type="dxa"/>
            <w:vAlign w:val="bottom"/>
          </w:tcPr>
          <w:p>
            <w:pPr>
              <w:jc w:val="right"/>
              <w:ind w:right="34"/>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0.525053</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3,333,000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2,824,703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0.780899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3,329,497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2,938,486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0.849012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1,648,978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40.642989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1,673,105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1,673,105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Series E Preferred Stock</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54.190650</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1,107,202</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11,091,782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10,094,108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At both September 30, 2017 and December 31, 2016, 20,188,226 shares of Class A common stock and 40,376,452 shares of Class B common stock were reserved for conversion of the outstanding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the three months ended September 30, 2017 and 2016 total stock-based compensation expense was $74 and $88, respectively. For the nine months ended September 30, 2017 and 2016 total stock-based compensation expense was $224 and $236, respectively. All stock-based compensation expense for these periods related to stock options.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2017, the Company adopted ASU 2016-09 and elected to account for forfeitures when they occur, on a modified retrospective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adjustment related to the Company's accounting policy change for forfeitures was not material</w:t>
      </w:r>
      <w:r>
        <w:rPr>
          <w:rFonts w:ascii="Arial" w:cs="Arial" w:eastAsia="Arial" w:hAnsi="Arial"/>
          <w:sz w:val="21"/>
          <w:szCs w:val="21"/>
          <w:color w:val="auto"/>
        </w:rPr>
        <w: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expense was allocated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98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September 30, 2017, there was approximately $0.5 million of unrecognized stock-based compensation expense related to stock options which is expected to be recognized over 2.1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firstLine="518"/>
        <w:spacing w:after="0" w:line="255" w:lineRule="auto"/>
        <w:rPr>
          <w:sz w:val="20"/>
          <w:szCs w:val="20"/>
          <w:color w:val="auto"/>
        </w:rPr>
      </w:pPr>
      <w:r>
        <w:rPr>
          <w:rFonts w:ascii="Arial" w:cs="Arial" w:eastAsia="Arial" w:hAnsi="Arial"/>
          <w:sz w:val="18"/>
          <w:szCs w:val="18"/>
          <w:color w:val="auto"/>
        </w:rPr>
        <w:t>In addition to stock options, the Company has historically granted RSUs which are subject to both a service-based vesting and a performance-based vesting condition achieved upon a liquidity event, defined as either a change of control or an IPO. As of September 30, 2017, total unrecognized stock-based compensation expense related to these RSUs was approximately $10.1 million and is expected to be recognized over 3.1 years. As of September 30, 2017, the Company had not recognized compensation cost related to stock-based awards with these performance conditions as the liquidity event had not occurred. The Securities and Exchange Commission’s declaration of effectiveness of the Company’s registration statement on Form S-1 on October 11, 2017 satisfied the liquidity event performance condition. The cumulative unrecognized stock-based compensation expense related to these awards was $2.5 million through October 11, 2017.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Net income per share information is determined using the two-class method, which includes the weighted-average number of shares of common stock outstanding during the period and other securities that participate in dividends (a participating security). The Company considers the convertible Preferred Stock to be participating securities because they include rights to participate in dividends with the common stock.</w:t>
      </w:r>
    </w:p>
    <w:p>
      <w:pPr>
        <w:spacing w:after="0" w:line="166"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preferred stockholders based on dividend rights under the Company’s certificate of incorporation and then to preferred and common stockholders based on ownership interests. Net losses are not allocated to preferred stockholders as they do not have an obligation to share in the Company’s net losses.</w:t>
      </w:r>
    </w:p>
    <w:p>
      <w:pPr>
        <w:spacing w:after="0" w:line="19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For all periods presented and as of the date of this Current Report on Form 10-Q, the Company had and has two classes of common stock outstanding: Class A common stock and Class B common stock. As more fully described in Note 8, the rights of the holders of Class A and Class B common stock were and are identical, except with respect to voting and conversion. Each share of Class A common stock was and is entitled to one (1) vote per share and each share of Class B common stock was and is entitled to ten (10) votes per share. Each share of Class B common stock was and is convertible into one share of Class A common stock at the option of the holder at any time. In addition, each share of Class B common stock was and is automatically convertible into one share of Class A common stock upon any transfer of such share, which is defined to include entering into a voting agreement, whether or not for value, except for certain transfers described in both the Company’s Third Amended and Restated Certificate of Incorporation and Fourth Amended and Restated Certificate of Incorporation, including, without limitation, transfers to certain family members of the transferor stockholder. Upon either the death or voluntary termination of the Company’s Chief Executive Officer, all shares of Class B common stock were and are automatically convertible into one share of Class A common stock. Upon the effectiveness of the Company’s Fourth Amended and Restated Certificate of Incorporation, additional terms of conversion and transfer were implemented. See Note 12 to these Unaudited Condensed Consolidated Financial Statements for additional information regarding the current conversion and transfer terms of the Company’s common stock.</w:t>
      </w:r>
    </w:p>
    <w:p>
      <w:pPr>
        <w:spacing w:after="0" w:line="180"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Diluted net income (loss) per share gives effect to all potentially dilutive securities. Potential dilutive securities consist of shares of common stock issuable upon the exercise of stock options, shares of common stock issuable upon the vesting of RSUs, and shares of common stock issuable upon the conversion of the outstanding convertible preferred stock. The dilutive effect of these common stock equivalents is reflected in diluted earnings per share by application of the treasury stock method; however, outstanding RSUs, which are contingently issuable upon the achievement of a liquidity event have been excluded from the dilutive share calculation as it was not probable the vesting criteria for these awards would be met in any of the periods presented.</w:t>
      </w:r>
    </w:p>
    <w:p>
      <w:pPr>
        <w:spacing w:after="0" w:line="15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three and nine months ended September 30, 2017 and 2016, the two-class method was used in the computation of diluted net income per share, as the result was more 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(loss) per share:</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participating securities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(6,446)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Net income attributable to common</w:t>
            </w: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140"/>
              <w:spacing w:after="0"/>
              <w:rPr>
                <w:sz w:val="20"/>
                <w:szCs w:val="20"/>
                <w:color w:val="auto"/>
              </w:rPr>
            </w:pPr>
            <w:r>
              <w:rPr>
                <w:rFonts w:ascii="Arial" w:cs="Arial" w:eastAsia="Arial" w:hAnsi="Arial"/>
                <w:sz w:val="18"/>
                <w:szCs w:val="18"/>
                <w:color w:val="auto"/>
              </w:rPr>
              <w:t>stockholders — basic</w:t>
            </w:r>
          </w:p>
        </w:tc>
        <w:tc>
          <w:tcPr>
            <w:tcW w:w="5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23"/>
                <w:szCs w:val="23"/>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4,486</w:t>
            </w:r>
          </w:p>
        </w:tc>
        <w:tc>
          <w:tcPr>
            <w:tcW w:w="220" w:type="dxa"/>
            <w:vAlign w:val="bottom"/>
          </w:tcPr>
          <w:p>
            <w:pPr>
              <w:spacing w:after="0"/>
              <w:rPr>
                <w:sz w:val="23"/>
                <w:szCs w:val="23"/>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Net income attributable to participating securities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w:t>
            </w:r>
          </w:p>
        </w:tc>
        <w:tc>
          <w:tcPr>
            <w:tcW w:w="5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diluted</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2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5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 stock used</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computing net income per share attributable to</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 basic</w:t>
            </w: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42,262,035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44,692,419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42,168,904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44,665,063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8"/>
                <w:szCs w:val="18"/>
                <w:color w:val="auto"/>
              </w:rPr>
              <w:t>Dilutive effect of share equivalents resulting from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options</w:t>
            </w:r>
          </w:p>
        </w:tc>
        <w:tc>
          <w:tcPr>
            <w:tcW w:w="5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4,305,138</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3,376,954</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4,141,726</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3,375,691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number of shares of common stock</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used in computing net income per</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 — diluted</w:t>
            </w: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46,567,173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48,069,373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46,310,630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48,040,754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Net income per share attributable to common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5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18"/>
        <w:spacing w:after="0" w:line="342" w:lineRule="auto"/>
        <w:rPr>
          <w:sz w:val="20"/>
          <w:szCs w:val="20"/>
          <w:color w:val="auto"/>
        </w:rPr>
      </w:pPr>
      <w:r>
        <w:rPr>
          <w:rFonts w:ascii="Arial" w:cs="Arial" w:eastAsia="Arial" w:hAnsi="Arial"/>
          <w:sz w:val="16"/>
          <w:szCs w:val="16"/>
          <w:color w:val="auto"/>
        </w:rPr>
        <w:t>The following potentially dilutive common stock equivalents have been excluded from the calculation of diluted weighted-average shares outstanding for the three and nine months ended September 30, 2017 and 2016, as their effect would have been anti-dilutive for the periods presented:</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40" w:type="dxa"/>
            <w:vAlign w:val="bottom"/>
          </w:tcPr>
          <w:p>
            <w:pPr>
              <w:spacing w:after="0"/>
              <w:rPr>
                <w:sz w:val="14"/>
                <w:szCs w:val="1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34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1,332,666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816,318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1,226,182</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040" w:type="dxa"/>
            <w:vAlign w:val="bottom"/>
          </w:tcPr>
          <w:p>
            <w:pPr>
              <w:jc w:val="right"/>
              <w:spacing w:after="0"/>
              <w:rPr>
                <w:sz w:val="20"/>
                <w:szCs w:val="20"/>
                <w:color w:val="auto"/>
              </w:rPr>
            </w:pPr>
            <w:r>
              <w:rPr>
                <w:rFonts w:ascii="Arial" w:cs="Arial" w:eastAsia="Arial" w:hAnsi="Arial"/>
                <w:sz w:val="18"/>
                <w:szCs w:val="18"/>
                <w:color w:val="auto"/>
              </w:rPr>
              <w:t>2,353,152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1,124,694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2,353,152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1,124,694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(loss) income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80,394</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52,435</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219,954</w:t>
            </w:r>
          </w:p>
        </w:tc>
        <w:tc>
          <w:tcPr>
            <w:tcW w:w="22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136,195</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137,377</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(loss) income from operations: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9,337</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8,351</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33,617</w:t>
            </w:r>
          </w:p>
        </w:tc>
        <w:tc>
          <w:tcPr>
            <w:tcW w:w="22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(6,474)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(18,375)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(12,853)</w:t>
            </w: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1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and December 31, 2016, property and equipment held outside the United States was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On October 16, 2017, the Company completed the IPO, in which the Company issued and sold 3,205,000 shares of its Class A common stock, including the full exercise by the underwriters of their option to purchase 705,000 shares of Class A common stock, at a public offering price of $16.00 per share for aggregate gross proceeds of $51.3 million. The Company received approximately $43.0 million in net proceeds after deducting $3.6 million of underwriting discounts and commissions and approximately $4.7 million in offering costs. In addition to shares of Class A common stock issued and sold by the Company, certain selling shareholders sold an aggregate of 7,605,000 shares of Class A common stock, including the full exercise by the underwriters of their option to purchase 705,000 shares of Class A common stock, as part of the IPO. Upon the closing of the IPO, all of the outstanding shares of convertible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Subsequent to the closing of the IPO, there were no shares of Preferred Stock outstanding.</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Allen &amp; Company LLC acted as an underwriter in the IPO. Immediately prior to the IPO, Allen &amp; Company LLC and its associated persons, including Ian Smith, a member of the Company’s board of directors, beneficially owned shares of the Company’s outstanding preferred stock representing 13.5% of the Company’s outstanding preferred stock. In connection with Allen &amp; Company LLC’s role as an underwriter in the IPO, pursuant to the underwriting agreement, Allen &amp; Company LLC purchased 2,190,200 shares of our Class A common stock in the IPO at $14.88 per share for a total purchase price of $32,590,176, after deducting underwriting discounts and commissions paid to Allen &amp; Company LLC of $2,453,024. Receipt of such proceeds may be deemed to be a related person transaction pursuant to the Company’s related person transaction policy.</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connection with the IPO, in October 2017, the Company’s board of directors adopted, and the Company’s stockholders approved, the Omnibus Equity Compensation Plan (the “2017 Plan”) for the purpose of granting incentive stock options, non-qualified stock options, restricted stock, restricted stock units, and other share-based awards to employees, non-employee directors, and consultants. The 2017 Plan is the successor to the Amended and Restated 2015 Equity Incentive Plan (the “2015 Plan”). In conjunction with the adoption of the 2017 Plan, options and RSUs from the 2015 Plan will remain outstanding but no additional grants will be made from the 2015 Plan.</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Also, in connection with the closing of the IPO, each share of Series A Preferred Stock automatically converted into 6.0000023 shares of common stock, each share of Series B Preferred Stock converted into 6.0000015 shares of common stock, each share of Series C Preferred Stock converted into 6 shares of common stock, each share of Series D Preferred Stock converted into 6.0000159 shares of common stock and each share of Series E Preferred Stock converted into 6 shares of common stock, one-third of which number of shares of common stock was Class A common stock and two thirds of which number of shares of common stock was Class B common stock. Each such share of Class B common stock issued upon conversion of the Preferred Stock was then immediately converted into one share of Class A common stock.</w:t>
      </w:r>
    </w:p>
    <w:p>
      <w:pPr>
        <w:spacing w:after="0" w:line="19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Immediately following such conversion, the Company’s Fourth Amended and Restated Certificate of Incorporation became effective. Pursuant to the Fourth Amended and Restated Certificate of Incorporation, the Company is authorized to issue 500,000,000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color w:val="auto"/>
        </w:rPr>
        <w:t>shares of Class A common stock, 100,000,000 shares of Class B common stock, and 10,000,000 shares of preferred stock, all with a par value of $0.001 per share. The preferred stock is currently undesignated and no preferred stock is outstanding.</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addition, pursuant to the Fourth Amended and Restated Certificate of Incorporation, all shares of Class B common stock will automatically convert into shares of Class A common stock, on a share for share basis, upon the date falling after the first to occur of the death of Langley Steinert, the Company’s Chief Executive Officer, President and Chairman, his voluntary termination of all employment with the Company and service on the Company’s board of directors or the sum of the number of shares of capital stock held by Langley Steinert, by any Family Member of Langley Steinert, and by any Permitted Entity of Langley Steinert (as such terms are defined in the Fourth Amended and Restated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18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 October 25, 2017, the Company granted a total of 762,704 RSUs with a grant date fair value of $29.01 per share. The total aggregate value of these RSUs is approximately $22.1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report, and our consolidated financial statements and the related notes and other financial information included in our final prospectus filed with the Securities and Exchange Commission pursuant to Rule 424(b) under the Securities Act of 1933, as amended, on October 12, 2017. Some of the information contained in this discussion and analysis or elsewhere in this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Securities and Exchange Commission rules. These rules require supplemental explanation and reconciliation, which is included elsewhere in this report. Investors should not consider non-GAAP financial measures in isolation from or in substitution for, financial information presented in compliance with U.S. generally accepted accounting principles, or GAAP.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third-party validation on pricing and dealer reputation as well as other information that aids them in finding “Great Deals from Top-Rated Dealers.” In addition to the United States, we operate online marketplaces in Canada, the United Kingdom, and Germany.</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October 16, 2017, we completed our initial public offering, or the IPO, in which we issued and sold 3,205,000 shares of our Class A common stock at a public offering price of $16.00 per share for aggregate gross proceeds of $51.3 million. We received approximately $43.0 million in net proceeds after deducting $3.6 million of underwriting discounts and commissions and approximately $4.7 million in offering costs. Upon the closing of the IPO, all of the outstanding shares of our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at the conversion rates then in effect. Subsequent to the closing of the IPO, there were no shares of Preferred Stock outstanding.</w:t>
      </w:r>
    </w:p>
    <w:p>
      <w:pPr>
        <w:spacing w:after="0" w:line="17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generate marketplace subscription revenue from dealers through Listing and Dealer Display subscriptions, and advertising revenue from automobile manufacturers and other auto-related brand advertisers. Our revenue for the nine months ended September 30, 2017 was $226.3 million, a 65% increase from $137.4 million of revenue in the nine months ended September 30, 2016.</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For the three months ended September 30, 2017, we generated net income of $2.4 million and our Adjusted EBITDA was $4.0 million, compared to net income of $2.1 million and Adjusted EBITDA of $3.9 million for the three months ended September 30, 2016. For the nine months ended September 30, 2017, we generated net income of $10.9 million and our Adjusted EBITDA was $18.1 million, compared to net income of $2.7 million and Adjusted EBITDA of $5.6 million for the nine months ended September 30, 2016. See “Adjusted EBITDA” below for more information regarding our use of Adjusted EBITDA, a non-GAAP financial measure, and a reconciliation of Adjusted EBITDA to our net income.</w:t>
      </w:r>
    </w:p>
    <w:p>
      <w:pPr>
        <w:spacing w:after="0" w:line="17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We have two reportable segments, United States and International. See Note 11 of our Unaudited Condensed Consolidated Financial Statements included elsewhere in this report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International is defined as all non-U.S. markets in which we operate. International markets will likely perform differently from the U.S. market due to a variety of factors, including our operating history in the market, our rate of investment, market size, market maturity, and other dynamics unique to each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define a monthly unique user as an individual who has visited our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our website during a calendar month. If an individual accesses our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and map directions to the dealership.</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25,951</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define monthly sessions as the number of distinct visits to our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device and ending at the earliest of when a user closes their browser window, after 30 minutes of inactivity, or at midnight Eastern Time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67,359</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48,903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jc w:val="right"/>
              <w:spacing w:after="0"/>
              <w:rPr>
                <w:sz w:val="20"/>
                <w:szCs w:val="20"/>
                <w:color w:val="auto"/>
              </w:rPr>
            </w:pPr>
            <w:r>
              <w:rPr>
                <w:rFonts w:ascii="Arial" w:cs="Arial" w:eastAsia="Arial" w:hAnsi="Arial"/>
                <w:sz w:val="18"/>
                <w:szCs w:val="18"/>
                <w:color w:val="auto"/>
              </w:rPr>
              <w:t>5,548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Paying dealers are the number of dealers subscribing to one of our Enhanced or Featured Listing products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Number of Paying Dealers</w:t>
            </w: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At 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2760" w:type="dxa"/>
            <w:vAlign w:val="bottom"/>
            <w:gridSpan w:val="2"/>
          </w:tcPr>
          <w:p>
            <w:pPr>
              <w:spacing w:after="0"/>
              <w:rPr>
                <w:sz w:val="13"/>
                <w:szCs w:val="13"/>
                <w:color w:val="auto"/>
              </w:rPr>
            </w:pPr>
          </w:p>
        </w:tc>
        <w:tc>
          <w:tcPr>
            <w:tcW w:w="1080" w:type="dxa"/>
            <w:vAlign w:val="bottom"/>
            <w:tcBorders>
              <w:top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24,313</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International</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2,240</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20" w:type="dxa"/>
            <w:vAlign w:val="bottom"/>
          </w:tcPr>
          <w:p>
            <w:pPr>
              <w:jc w:val="right"/>
              <w:ind w:right="12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measure the average annual revenue we receive from each paying dealer. We define AARSD, as measured at the end of a defined period, as the total marketplace subscription revenue during the trailing 12 months divided by the average number of paying dealers during the same trailing 12-month period. Our ability to grow the AARSD is an indicator of the value proposition of our products and the return on investment, or ROI, our paying dealers realize from our products. Increases in AARSD are driven by our ability to grow the volume of connections to our users and the quality of those connections, effectively illustrate the value of brand exposure to our engaged audience in relation to subscription cost, upsell package levels, and cross-sell additional products to our paying dealers.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Annual Revenue per</w:t>
            </w:r>
          </w:p>
        </w:tc>
        <w:tc>
          <w:tcPr>
            <w:tcW w:w="260" w:type="dxa"/>
            <w:vAlign w:val="bottom"/>
          </w:tcPr>
          <w:p>
            <w:pPr>
              <w:spacing w:after="0"/>
              <w:rPr>
                <w:sz w:val="14"/>
                <w:szCs w:val="14"/>
                <w:color w:val="auto"/>
              </w:rPr>
            </w:pPr>
          </w:p>
        </w:tc>
        <w:tc>
          <w:tcPr>
            <w:tcW w:w="2260" w:type="dxa"/>
            <w:vAlign w:val="bottom"/>
            <w:gridSpan w:val="5"/>
          </w:tcPr>
          <w:p>
            <w:pPr>
              <w:ind w:left="420"/>
              <w:spacing w:after="0"/>
              <w:rPr>
                <w:sz w:val="20"/>
                <w:szCs w:val="20"/>
                <w:color w:val="auto"/>
              </w:rPr>
            </w:pPr>
            <w:r>
              <w:rPr>
                <w:rFonts w:ascii="Arial" w:cs="Arial" w:eastAsia="Arial" w:hAnsi="Arial"/>
                <w:sz w:val="14"/>
                <w:szCs w:val="14"/>
                <w:b w:val="1"/>
                <w:bCs w:val="1"/>
                <w:color w:val="auto"/>
              </w:rPr>
              <w:t>At September 30,</w:t>
            </w:r>
          </w:p>
        </w:tc>
        <w:tc>
          <w:tcPr>
            <w:tcW w:w="0" w:type="dxa"/>
            <w:vAlign w:val="bottom"/>
          </w:tcPr>
          <w:p>
            <w:pPr>
              <w:spacing w:after="0"/>
              <w:rPr>
                <w:sz w:val="1"/>
                <w:szCs w:val="1"/>
                <w:color w:val="auto"/>
              </w:rPr>
            </w:pPr>
          </w:p>
        </w:tc>
      </w:tr>
      <w:tr>
        <w:trPr>
          <w:trHeight w:val="133"/>
        </w:trPr>
        <w:tc>
          <w:tcPr>
            <w:tcW w:w="5460" w:type="dxa"/>
            <w:vAlign w:val="bottom"/>
            <w:gridSpan w:val="2"/>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Subscribing Dealer (AARSD)</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11,526</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International revenues were not generated before October 2015 and, therefore, annual data for the trailing 12-month calculation is not available.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To provide additional information regarding our financial results, we monitor and have presented within this Quarterly Report on Form 10-Q Adjusted EBITDA, which is a non-GAAP financial measure. This non-GAAP financial measure is not based on any standardized methodology prescribed by U.S. GAAP and is not necessarily comparable to similarly-titled measures presented by other companies.</w:t>
      </w:r>
    </w:p>
    <w:p>
      <w:pPr>
        <w:spacing w:after="0" w:line="181"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define Adjusted EBITDA as net income, adjusted to exclude: depreciation and amortization, stock-based compensation expense, other expense (income), net, the provision for income taxes, and other one-time, non-recurring items, when applicable. We monitor Adjusted EBITDA as a non-GAAP financial measure to supplement the financial information we present on a GAAP basis to provide investors with additional information regarding our financial results.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Adjusted EBITDA is not prepared in accordance with GAAP, and should not be considered in isolation of, or as an alternative to, measures prepared in accordance with GAAP. There are a number of limitations related to the use of Adjusted EBITDA rather than net income (loss), which is the most directly comparable GAAP equivalent. Some of these limitations are:</w:t>
      </w:r>
    </w:p>
    <w:p>
      <w:pPr>
        <w:spacing w:after="0" w:line="73" w:lineRule="exact"/>
        <w:rPr>
          <w:sz w:val="20"/>
          <w:szCs w:val="20"/>
          <w:color w:val="auto"/>
        </w:rPr>
      </w:pPr>
    </w:p>
    <w:p>
      <w:pPr>
        <w:ind w:left="900" w:right="8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will be, for the foreseeable future, a significant recurring expense for our business and an important part of our compensation strategy;</w:t>
      </w:r>
    </w:p>
    <w:p>
      <w:pPr>
        <w:spacing w:after="0" w:line="62"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cash requirements necessary to service interest, which reduces cash available to us;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 and</w:t>
      </w:r>
    </w:p>
    <w:p>
      <w:pPr>
        <w:spacing w:after="0" w:line="117" w:lineRule="exact"/>
        <w:rPr>
          <w:rFonts w:ascii="Arial" w:cs="Arial" w:eastAsia="Arial" w:hAnsi="Arial"/>
          <w:sz w:val="18"/>
          <w:szCs w:val="18"/>
          <w:color w:val="auto"/>
        </w:rPr>
      </w:pPr>
    </w:p>
    <w:p>
      <w:pPr>
        <w:ind w:left="900" w:right="86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2" w:name="page23"/>
    <w:bookmarkEnd w:id="22"/>
    <w:p>
      <w:pPr>
        <w:ind w:right="560" w:firstLine="518"/>
        <w:spacing w:after="0" w:line="264"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 The following table presents a reconciliation of Adjusted EBITDA to net income, the most directly comparable measure calculated in accordance with GAAP, for each of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gridSpan w:val="7"/>
          </w:tcPr>
          <w:p>
            <w:pPr>
              <w:jc w:val="right"/>
              <w:ind w:right="8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2,379</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2,138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7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Other (income), net</w:t>
            </w: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3,890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Our revenue is derived from two primary sources: marketplace subscription revenue, which consists of listing and display advertising subscriptions from dealers, and advertising and other revenue, which consists primarily of display advertising revenue from auto manufacturers and other auto-related brand advertisers.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offer three types of marketplace Listing products to our dealers: Basic Listing, which is free; and Enhanced or Featured Listing, which require a paid subscription under a monthly, quarterly, semiannual, or annual subscription basis. As of September 30, 2017, Subscription pricing is determined based on a dealer’s inventory size, region, and our assessment of the connections and return on investment (“ROI”) our platform will provide them. We also offer dealers access to our Dealer Dashboard, which includes a performance summary, Dealer Insights tool, user review management platform, Pricing Tool, and Market Analysis tool. The Pricing Tool and Market Analysis tool are available only to paying dealers.</w:t>
      </w:r>
    </w:p>
    <w:p>
      <w:pPr>
        <w:spacing w:after="0" w:line="173"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In addition to listing their inventory in our marketplace and gaining access to our Dealer Dashboard, we offer Enhanced and Featured Listing dealers other subscription advertising and customer acquisition products, including display advertising that appears in our marketplace and on other sites on the Internet, which can be targeted by geography, search history, and a number of other factors, and dealer search engine marketing, which helps dealers more effectively acquire customers through paid search, social media, and retargeted advertising.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Marketplace subscription revenue is recognized on a monthly basis as the service is delivered to the dealer.</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costs that qualify for capitalization, research and development costs are expensed as incurred. We expect product, technology, and development expenses to increase as we develop new solutions and make improvements to our existing platform.</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incur the costs of compliance associated with being a publicly traded company, including legal, audit, and consulting fees.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leasehold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Other (expense) income consists primarily of interest income earned on our cash, cash equivalents, and investments, interest expense on lease obligations,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recorded a provision for income taxes for the three and nine months ended September 30, 2017 and 2016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September 30, 2017 or December 31, 2016.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gridSpan w:val="6"/>
          </w:tcPr>
          <w:p>
            <w:pPr>
              <w:jc w:val="right"/>
              <w:ind w:right="640"/>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73,937</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46,477</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201,889</w:t>
            </w:r>
          </w:p>
        </w:tc>
        <w:tc>
          <w:tcPr>
            <w:tcW w:w="1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118,115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137,377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213,897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130,706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108,823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gridSpan w:val="6"/>
          </w:tcPr>
          <w:p>
            <w:pPr>
              <w:jc w:val="right"/>
              <w:ind w:right="640"/>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80,394</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219,954</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136,195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226,264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Income from Operations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5" w:name="page26"/>
    <w:bookmarkEnd w:id="25"/>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2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22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4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International</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September 30, 2017 and 2016</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bottom w:val="single" w:sz="8" w:color="auto"/>
            </w:tcBorders>
          </w:tcPr>
          <w:p>
            <w:pPr>
              <w:jc w:val="center"/>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7"/>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73,937</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46,477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27,460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9,052</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2,393</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82,989</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53,136</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29,853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6" w:name="page27"/>
    <w:bookmarkEnd w:id="26"/>
    <w:p>
      <w:pPr>
        <w:ind w:right="120" w:firstLine="518"/>
        <w:spacing w:after="0" w:line="277" w:lineRule="auto"/>
        <w:rPr>
          <w:sz w:val="20"/>
          <w:szCs w:val="20"/>
          <w:color w:val="auto"/>
        </w:rPr>
      </w:pPr>
      <w:r>
        <w:rPr>
          <w:rFonts w:ascii="Arial" w:cs="Arial" w:eastAsia="Arial" w:hAnsi="Arial"/>
          <w:sz w:val="18"/>
          <w:szCs w:val="18"/>
          <w:color w:val="auto"/>
        </w:rPr>
        <w:t>Overall revenue increased by $29.9 million, or 56%, in the three months ended September 30, 2017 compared to the three months ended September 30, 2016. Marketplace subscription revenue increased by 59%, while advertising and other revenue increased by 36%.</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Marketplace subscription revenue increased by $27.5 million in the three months ended September 30, 2017 compared to the three months ended September 30, 2016, and represented 89% of total revenue in the three months ended September 30, 2017, as compared to 87% of total revenue in the three months ended September 30, 2016. This increase in marketplace subscription revenue was attributable primarily to a 37% growth in the number of paying dealers, from 19,403 at September 30, 2016 to 26,553 at September 30, 2017, and to a 16% growth in our U.S. AARSD from $9,939 as of September 30, 2016 to $11,526 as of September 30, 2017. We believe that this increase in paying dealers was driven by the overall growth in the number of unique users to our website and the continued efforts from our sales and marketing teams to convert Basic Listing dealers to Enhanced and Featured Listing paying dealers.</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Advertising and other revenue increased $2.4 million in the three months ended September 30, 2017 compared to the three months ended September 30, 2016, and represented 11% of total revenue in the three months ended September 30, 2017, compared to 13% of total revenue in the three months ended September 30, 2016. The increase in advertising and other revenue is due primarily to a 10% increase in the number of impressions delivered and a 41% increase in the average price per thousand impressions in the three months ended September 30, 2017 compared to the three months ended September 30,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80,394</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52,435</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82,989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53,136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29,853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U.S. revenue increased $28.0 million, or 53%, in the three months ended September 30, 2017 compared to the three months ended September 30, 2016, due primarily to a 29% increase in the number of U.S. paying dealers.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International revenue increased $1.9 million in the three months ended September 30, 2017 compared to the three months ended September 30, 2016, due primarily to a 258% increase in the number of international paying dealers.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4,720</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1,868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Cost of revenue increased $1.9 million, or 65%, in the three months ended September 30, 2017 compared to the three months ended September 30, 2016, due primarily to costs associated with servicing our revenue growth. Key drivers of the increase included employee-related costs of our customer support team to support the growth in customers and an increase in fees related to servicing our growing advertising revenue.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63,891</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23,381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Sales and marketing expenses increased $23.4 million, or 58%, in the three months ended September 30, 2017 compared to the three months ended September 30, 2016, due primarily to an increase in advertising costs of $19.4 million, a $2.9 million increase in salaries, commissions, and related expenses due to our increased revenue and a 33% increase in headcount, a $0.5 million increase in expenses related to marketing events, and a $0.2 million increase in consulting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5,796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2,812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Product, technology, and development expenses increased $2.8 million, or 94%, in the three months ended September 30, 2017 compared to the three months ended September 30, 2016, due primarily to an increase in salaries and related employment expenses related to a 59% increase in headcount to support our growth and product innovations.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5,006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1,905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General and administrative expenses increased $1.9 million, or 61%, in the three months ended September 30, 2017 compared to the three months ended September 30, 2016, due primarily to an increase of $1.4 million in salaries and other employee-related costs driven by an increase in headcount needed to grow our business and provide personnel to support our expanded operations. Payment processing and billing costs also increased $0.4 million due to increased customer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713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281</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Depreciation and amortization expenses increased $0.3 million, or 65%, in the three months ended September 30, 2017 compared to the three months ended September 30, 2016, due primarily to increased amortization of additional leasehold improvements.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net was relatively consistent in the three months ended September 30, 2017 compared to the three months ended September 30,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(636)</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provision for income taxes decreased $0.6 million in the three months ended September 30, 2017 compared to the three months ended September 30, 2016, due primarily to higher excess tax deductions relating to stock-based compensation awards and R&amp;D tax credits during the three months ended September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(6,474)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(5,094)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(1,380)</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209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U.S. income from operations increased $1.0 million, or 12%, in the three months ended September 30, 2017 compared to the three months ended September 30, 2016. This increase was due to an increase in revenue of $28.0 million, offset in part by an increase in cost of revenue of $1.5 million and operating expenses of $25.5 million.</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International loss from operations increased $1.4 million, or 27%, in the three months ended September 30, 2017 compared to the three months ended September 30, 2016. The increase in international loss from operations reflects our continued investment in international markets and expansion into new countries.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688"/>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201,889</w:t>
            </w:r>
          </w:p>
        </w:tc>
        <w:tc>
          <w:tcPr>
            <w:tcW w:w="2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118,115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83,774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226,264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137,377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88,887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Overall revenue increased by $88.9 million, or 65%, in the nine months ended September 30, 2017 compared to the nine months ended September 30, 2016. Marketplace subscription revenue increased by 71%, while advertising and other revenue increased by 27%.</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Marketplace subscription revenue increased by $83.8 million in the nine months ended September 30, 2017 compared to the nine months ended September 30, 2016, and represented 89% of total revenue in the nine months ended September 30, 2017, as compared to 86% of total revenue in the nine months ended September 30, 2016. This increase in marketplace subscription revenue was attributable primarily to a 37% growth in the number of paying dealers, from 19,403 as of September 30, 2016 to 26,553 as of September 30, 2017, and to a 16% growth in our U.S. AARSD from $9,939 as of September 30, 2016 to $11,526 as of September 30, 2017. We believe that this increase in paying dealers was driven by the overall growth in the number of unique users to our website and the continued efforts from our sales and marketing teams to convert Basic Listing dealers to Enhanced and Featured Listing paying dealers.</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Advertising and other revenue increased $5.1 million in the nine months ended September 30, 2017 compared to the nine months ended September 30, 2016, and represented 11% of total revenue in the nine months ended September 30, 2017, compared to 14% of total revenue in the nine months ended September 30, 2016. The increase in advertising and other revenue is due primarily to a 24% increase in the number of impressions delivered and a 22% increase in the average price per thousand impressions in the nine months ended September 30, 2017 compared to the nine months ended September 30, 2016. These increases were partially offset by a reduction in other advertising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88"/>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219,954</w:t>
            </w:r>
          </w:p>
        </w:tc>
        <w:tc>
          <w:tcPr>
            <w:tcW w:w="2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136,195</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4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226,264</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137,377</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88,887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U.S. revenue increased $83.8 million, or 61%, in the nine months ended September 30, 2017 compared to the nine months ended September 30, 2016, due primarily to a 29% increase in the number of U.S. paying dealers.</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International revenue increased $5.1 million in the nine months ended September 30, 2017 compared to the nine months ended September 30, 2016, due primarily to a 258% increase in the number of international paying dealers.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12,367</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5,696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Cost of revenue increased $5.7 million, or 85%, in the nine months ended September 30, 2017 compared to the nine months ended September 30, 2016, due primarily to costs associated with servicing our revenue growth. Key drivers of the increase included employee-related costs of our customer support team to support the growth in customers and an increase in fees related to servicing our growing advertising revenue.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168,495</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59,672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Sales and marketing expenses increased $59.7 million, or 55%, in the nine months ended September 30, 2017 compared to the nine months ended September 30, 2016, due primarily to an increase in advertising costs of $45.6 million, a $9.0 million increase in salaries, commissions, and related expenses due to our increased revenue and a 33% increase in headcount, a $1.6 million increase in expenses related to marketing events, and a $1.3 million increase in consulting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14,153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6,019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Product, technology, and development expenses increased $6.0 million, or 74%, in the nine months ended September 30, 2017 compared to the nine months ended September 30, 2016, due primarily to an increase in salaries and related employment expenses related to a 59% increase in headcount to support our growth and product innovations.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14,098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5,379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General and administrative expenses increased $5.4 million, or 62%, in the nine months ended September 30, 2017 compared to the nine months ended September 30, 2016, due primarily to an increase of $3.2 million in salaries and other employee-related costs driven by an increase in headcount needed to grow our business and provide personnel to support our expanded operations. Payment processing and billing costs also increased $1.2 million due to increased customer transactions.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1,909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844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Depreciation and amortization expenses increased $0.8 million, or 79%, in the nine months ended September 30, 2017 compared to the nine months ended September 30, 2016, due primarily to increased amortization of additional leasehold improvements.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4"/>
          </w:tcPr>
          <w:p>
            <w:pPr>
              <w:jc w:val="right"/>
              <w:ind w:right="9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323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rPr>
              <w:t>63</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Other income, net increased $0.1 million, or 24%, in the nine months ended September 30, 2017 compared to the nine months ended September 30, 2016, due primarily to an increase in interest income from the investment of excess cash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156"/>
              <w:spacing w:after="0"/>
              <w:rPr>
                <w:sz w:val="20"/>
                <w:szCs w:val="20"/>
                <w:color w:val="auto"/>
              </w:rPr>
            </w:pPr>
            <w:r>
              <w:rPr>
                <w:rFonts w:ascii="Arial" w:cs="Arial" w:eastAsia="Arial" w:hAnsi="Arial"/>
                <w:sz w:val="14"/>
                <w:szCs w:val="14"/>
                <w:b w:val="1"/>
                <w:bCs w:val="1"/>
                <w:color w:val="auto"/>
                <w:w w:val="94"/>
              </w:rPr>
              <w:t>Nine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20" w:type="dxa"/>
            <w:vAlign w:val="bottom"/>
            <w:gridSpan w:val="3"/>
          </w:tcPr>
          <w:p>
            <w:pPr>
              <w:jc w:val="right"/>
              <w:ind w:right="322"/>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3,067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provision for income taxes increased $3.1 million in the nine months ended September 30, 2017 compared to the nine months ended September 30, 2016, due primarily to the increase in U.S.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(18,375)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(5,522)</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15,242</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U.S. income from operations increased $16.8 million, or 100%, in the nine months ended September 30, 2017 compared to the nine months ended September 30, 2016. This increase was due to an increase in revenue of $83.8 million, offset in part by an increase in cost of revenue of $4.4 million and operating expenses of $62.6 million.</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International loss from operations increased $5.5 million, or 43%, in the nine months ended September 30, 2017 compared to the nine months ended September 30, 2016. The increase in International loss from operations reflects our continued investment in international markets and expansion into new countries.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65"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Nine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6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20,451</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(20,960)</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(41,696)</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(1,840)</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58,830</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9"/>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w:t>
            </w: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37,559</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At September 30, 2017, our principal sources of liquidity were cash and cash equivalents of $25.6 million and investments of $60.0 million. Our operations were initially financed by a capitalization of approximately $5 million from external capital and subsequently have been financed primarily from operating activities and sales of preferred stock. We generated cash from operating activities of $18.5 million and $20.5 million during the nine months ended September 30, 2017 and 2016, respectively, and we expect to generate cash from operations for the foreseeable future.</w:t>
      </w:r>
    </w:p>
    <w:p>
      <w:pPr>
        <w:spacing w:after="0" w:line="17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addition, on October 16, 2017, we closed our initial public offering, in which we issued and sold 3,205,000 shares of our Class A common stock at a public offering price of $16.00 per share for aggregate gross proceeds of $51.3 million. We received approximately $43.0 million in net proceeds after deducting $3.6 million of underwriting discounts and commissions and approximately $4.7 million in offering costs. We believe that the proceeds from our IPO and our existing sources of liquidity will be sufficient to fund our operations for at least the next 12 months.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provided by operating activities during the first nine months of 2017 was $18.5 million, due primarily to net income of $10.9 million, a</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$6.4 million increase in accounts payable and $2.7 million of depreciation and amortization. These drivers were partially offset by a $4.0 million increase in accounts receivable.</w:t>
      </w:r>
    </w:p>
    <w:p>
      <w:pPr>
        <w:spacing w:after="0" w:line="184"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Cash provided by operating activities during the first nine months of 2016 was $20.5 million, due primarily to an increase in accounts payable of $11.5 million, net income of $2.7 million, an increase in accrued expense of $2.2 million, an increase in deferred rent of $2.0 million, and an increase in deferred revenue of $1.7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investing activities consist primarily of purchases of property and equipment, capitalized website development costs, and short-term investments.</w:t>
      </w:r>
    </w:p>
    <w:p>
      <w:pPr>
        <w:spacing w:after="0" w:line="24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Cash used in investing activities of $21.0 million during the first nine months of 2017 was due to $50.0 million of investments in certificates of deposit, net of maturities of $34.8 million, approximately $4.3 million of investments in furniture, computer equipment, and leasehold improvements, and $1.5 million related to the capitalization of website development costs.</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Cash used in investing activities of $41.7 million during the first nine months of 2016 resulted from $41.8 million of investments in certificates of deposit, net of maturities of $5.0 million, $4.0 million of investments in furniture, computer equipment, and leasehold improvements, and $0.9 million related to the capitalization of website development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Cash used in financing activities of $1.8 million during the first nine months of 2017 reflects $2.1 million of initial public offering costs, partially offset by $0.3 million related to the proceeds from the issuance of common stock related to the exercise of vested stock options.</w:t>
      </w:r>
    </w:p>
    <w:p>
      <w:pPr>
        <w:spacing w:after="0" w:line="14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Cash provided by financing activities of $58.8 million during the first nine months of 2016 primarily reflects $60.0 million of proceeds from the issuance of Series E preferred stock, which was partially offset by the $1.3 million used for the repurchase of previously issued preferred stock, common stock, vested options, and restricted stock units.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September 30, 2017, there were no material changes in our contractual obligations and commitments from those disclosed in the Form S-1 filed with the Securities and Exchange Commission, or SEC, on September 15, 2017, other than those appearing in the notes to the Unaudited Condensed Consolidated Financial Statements appearing elsewhere in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September 30, 2017 and December 31, 2016, we did not have any off-balance sheet arrangements, except for operating leases entered into in the normal course of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reserves, contingent liabilities, allowances for doubtful accounts, expected future cash flows used to evaluate the recoverability of long-lived assets, the expensing and capitalization of product, technology, and development costs for website development and internal-use software, the determination of the fair value of stock awards issued, stock-based compensation expense, and the recoverability of our net deferred tax assets and related valuation allowance. Therefore, we consider these to be our critical accounting policies. Accordingly,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final prospectus related to our IPO filed with the SEC pursuant to Rule 424(b)(4) under the Securities Act of 1933, as amended, on October 12, 2017.</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December 31, 2022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included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related to changes in interest rates.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September 30, 2017 or at December 31, 2016.</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had cash, cash equivalents, and investments of $85.6 million and $74.3 million at September 30, 2017 and December 31, 2016, respectively, which consist of bank deposits, money market funds, and certificates of deposit with maturity dates ranging from six to twelve months. Such interest-earning instruments carry a degree of interest rate risk. To date, fluctuations in interest income have not been significant.</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September 30, 2017 and December 31, 2016, we have foreign currency exposures in the British pound and the Euro, although such exposure is not significant.</w:t>
      </w:r>
    </w:p>
    <w:p>
      <w:pPr>
        <w:spacing w:after="0" w:line="18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Unaudited Condensed Consolidated Financial Statements of operations under other income, net.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60" w:firstLine="518"/>
        <w:spacing w:after="0" w:line="279"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report, and in our other public filings in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after the initial term. While the majority of our contracts with dealers currently includes one-month initial terms, we are in the process of transitioning many of these dealers to contracts with one-year initial terms. The contracts do not contain contractual obligations requiring a dealer to maintain its relationship with us beyond the initial term. Accordingly, these dealers may cancel their subscriptions with us in accordance with the terms of their subscription agreements. If a significant number of our paying dealers terminate their subscriptions with us, our revenue would be materially and adversely affected.</w:t>
      </w:r>
    </w:p>
    <w:p>
      <w:pPr>
        <w:spacing w:after="0" w:line="273"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If paying dealers do not experience the volume of consumer connections that they expect during their monthly or annual subscription period, or do not experience the level of car sales they expect from those connections, they may terminate their subscriptions or may insist on renewing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We allow dealers to list their inventory in our marketplace for free; however, dealer identity and contact information is not permitted in such free listings and these dealers do not receive access to the paid features of our marketplace. Many dealers start with us on a non-paying basis and then become paid customers in order to take advantage of the features of our Enhanced or Featured Listing products. If dealers using our platform do not convert to our paid offerings at the rates we expect, or if a greater than expected number of our paying dealers elect to terminate their subscriptions, our business and financial results would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4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automobile marketplaces;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 in our marketplace;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offer an attractive return on investment, or ROI, to our advertisers for their advertising spend with us.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agreements with dealers for display advertising generally include initial terms ranging from one month to one year and may be terminated by us with 30 days’ notice and by dealers with 30 days’ notice after the initial term. The contracts do not contain contractual obligations requiring an advertiser to maintain its relationship with us beyond the initial term. Our other advertising contracts, including those with auto manufacturers, are typically for a defined period of time and do not have ongoing commitments to advertise on our site beyond the initial time period. We may not succeed in capturing a greater share of our advertisers’ spending if we are unable to convince advertisers of the effectiveness or superiority of our marketplace as compared to alternative channels. If current advertisers reduce or end their advertising spending with us and we are unable to attract new advertisers, our advertising revenue and business and financial results would be harmed.</w:t>
      </w:r>
    </w:p>
    <w:p>
      <w:pPr>
        <w:spacing w:after="0" w:line="29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If we fail to continue to provide a compelling vehicle search experience to consumers, the number of connections between consumers and dealers facilitated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4"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 with operating systems, such as iOS and Android, and with popular mobile devices running such operating systems; and</w:t>
      </w:r>
    </w:p>
    <w:p>
      <w:pPr>
        <w:spacing w:after="0" w:line="62"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a sufficient amount of data to enable us to provide relevant information to consumers, including pricing information and accurate vehicle details.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use of our marketplace, particularly on mobile devices, does not continue to grow, our business and operating results would be harmed.</w:t>
      </w:r>
    </w:p>
    <w:p>
      <w:pPr>
        <w:spacing w:after="0" w:line="3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 and if we fail to appear prominently in the search results, our traffic would decline and our business would be adversely affected.</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 has experienced fluctuations in search result rankings in the past, and we anticipate similar fluctuations in the future. Any reduction in the number of consumers directed to our website through Internet search engines could harm our business and operating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520"/>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adoption of those products, could negatively impact our business and financial results.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 and mobile application useful for consumers. These new products must be widely adopted by consumers in order for us to continue to attract dealers to our subscription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and of engaging third-party service providers and other research and development costs.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38"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We obtain data regarding available cars from many third-party data providers, including inventory management systems, automotive websites, customer relationship management systems, dealer management systems,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and other vehicle information, such as vehicle history,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While we believe we have identified other providers in the event any of our current providers terminate their relationships with us, or our service is interrupted, there may be a delay while we transition to new providers, which could disrupt our marketplace.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6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7"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color w:val="auto"/>
        </w:rPr>
        <w:t>Complaints or negative publicity about our business practices,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“Questions” section of our website enables consumers and dealers using our site to communicate with one another and other persons seeking information or advice on the Internet. Although all such information or feedback is generated by users and not by us, claims of defamation or other injury could be made against us for content posted on our website.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b w:val="1"/>
          <w:bCs w:val="1"/>
          <w:i w:val="1"/>
          <w:iCs w:val="1"/>
          <w:color w:val="auto"/>
        </w:rPr>
        <w:t>While we have historically focused our marketing efforts on Internet and mobile channels, we have begun brand-focused campaigns using television and radio and these efforts may not be successful.</w:t>
      </w:r>
    </w:p>
    <w:p>
      <w:pPr>
        <w:spacing w:after="0" w:line="62"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As a consumer brand, it is important for us to increase the visibility of our brand with potential users of our marketplace. While we have historically focused our marketing efforts on Internet and mobile channels, we have begun to advertise through television, radio, and other channels we have not used previously,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decline in the future.</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Our revenue increased from $137.4 million in the nine months ended September 30, 2016 to $226.3 million in the nine months ended September 30, 2017, representing a 65% increase between such periods. In the future, our revenue growth rates will inevitably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0"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expand the number of dealers that subscribe to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in the United States, and our ability to expand our number of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have started to expand our operations internationally. We recently launched marketplaces in Canada, the United Kingdom, and Germany and plan to enter additional markets in the next twelve months. We expect to expand our international operations significantly by continuing to enter new markets abroad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made portions of our platform available in English, French, German, and Spanish, and we will need to make our platform available in additional languages as we expand into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customs, legal systems, alternative dispute resolution systems, regulatory systems, and commercial infrastructures. Expanding internationally may subject us to new risks or increase our exposure in connection with current risks, including risks associated with:</w:t>
      </w:r>
    </w:p>
    <w:p>
      <w:pPr>
        <w:spacing w:after="0" w:line="62"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and retaining qualified, multilingual employees, including sales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adapting the website to conform to local automobile shopping expectations;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local websites and periodicals and potential preferences by local populations for local providers;</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900" w:right="68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solutions in different languages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U.K. Bribery Act;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73"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U.S. online automotive marketplaces: AutoTrader.com, Cars.com, and TrueCar.com;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online automotive content publishers, such as Edmunds.com and KBB.com;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peer to peer marketplaces;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25"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firstLine="518"/>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Additionally, they may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In addition, to the extent that any of our competitors have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state and national dealership associations, state regulators, car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adhering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the past, the number of U.S.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service providers for many aspects of our business, and any failure to maintain these relationships could harm our business.</w:t>
      </w:r>
    </w:p>
    <w:p>
      <w:pPr>
        <w:spacing w:after="0" w:line="14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success will depend upon our relationships with third parties, including those with our payment processor and data center host, our security providers, our data providers for dealer inventory and vehicle information, our human resources information system provider, our billing subscription software provider, our customer relationship management software provider, and our general ledger provider. If these third parties experience difficulty meeting our requirements or standards, or if the license agreements we have entered into with such third parties are terminated or not renewed, it could make it difficult for us to operate some aspects of our business, which could damage our business and reputation. In addition, if such third-party service providers were to cease operations, temporarily or permanently, face financial distress or other business disruptions, increase their fees, or if our relationships with these providers deteriorate, we could suffer increased costs and delays in our ability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We have experienced rapid growth in our headcount and operations, which places substantial demand on management and our operational infrastructure. As we continue to grow, we must effectively integrate, develop, and motivate a large number of new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200"/>
        <w:spacing w:after="0" w:line="342" w:lineRule="auto"/>
        <w:rPr>
          <w:sz w:val="20"/>
          <w:szCs w:val="20"/>
          <w:color w:val="auto"/>
        </w:rPr>
      </w:pPr>
      <w:r>
        <w:rPr>
          <w:rFonts w:ascii="Arial" w:cs="Arial" w:eastAsia="Arial" w:hAnsi="Arial"/>
          <w:sz w:val="16"/>
          <w:szCs w:val="16"/>
          <w:color w:val="auto"/>
        </w:rPr>
        <w:t>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disputes regarding the accuracy of Instant Market Value, Deal Rating, Dealer Rating, and other features of our marketplace.</w:t>
      </w:r>
    </w:p>
    <w:p>
      <w:pPr>
        <w:spacing w:after="0" w:line="14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provide consumers using our marketplace with our proprietary Instant Market Value, or IMV, Deal Rating, Dealer Rating, and other features to help them evaluate vehicle listings. Revisions to our automated valuation models, or the algorithms that underlie them, may cause the IMV, Deal Rating, or other features to vary from our expectations regarding the accuracy of these tools. In addition, from time to time, consumers and regulators question or disagree with our IMV, Deal Rating, or Dealer Rating. Any such questions or disagreements could result in distraction from our business or potentially harm our reputation, could result in a decline in consumers’ use of our marketplace or could result in legal disputes.</w:t>
      </w:r>
    </w:p>
    <w:p>
      <w:pPr>
        <w:spacing w:after="0" w:line="281" w:lineRule="exact"/>
        <w:rPr>
          <w:sz w:val="20"/>
          <w:szCs w:val="20"/>
          <w:color w:val="auto"/>
        </w:rPr>
      </w:pPr>
    </w:p>
    <w:p>
      <w:pPr>
        <w:ind w:right="580"/>
        <w:spacing w:after="0" w:line="375" w:lineRule="auto"/>
        <w:rPr>
          <w:sz w:val="20"/>
          <w:szCs w:val="20"/>
          <w:color w:val="auto"/>
        </w:rPr>
      </w:pPr>
      <w:r>
        <w:rPr>
          <w:rFonts w:ascii="Arial" w:cs="Arial" w:eastAsia="Arial" w:hAnsi="Arial"/>
          <w:sz w:val="15"/>
          <w:szCs w:val="15"/>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and state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Motor Vehicle Sales, Advertising and Brokering, and Consumer Protection Laws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extent dealers are uncertain about the applicability of such laws and regulations to our business, we may lose, or have difficulty increasing the number of paying dealers, which would affect our future growth. For example, in April 2015 the Texas Department of Motor Vehicles, or the TX DMV, notified us that it believed the Price History and IMV information on our website violated the prohibition on advertising savings clauses on used vehicles. The TX DMV informed us that if we failed to address the issue within 30 days, it would potentially subject dealers it considered to be advertising on our website to fines. After discussions with the TX DMV, we modified our website to remove the Price History and certain references and comparisons to IMV for used vehicles listed on our website that are for sale in Texas.</w:t>
      </w:r>
    </w:p>
    <w:p>
      <w:pPr>
        <w:spacing w:after="0" w:line="193"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platform enables us, dealers, and users to send and receive text messages and other mobile phone communications in certain circumstances.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users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Antitrust Laws</w:t>
      </w:r>
    </w:p>
    <w:p>
      <w:pPr>
        <w:spacing w:after="0" w:line="117"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or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Claims could be made against us under both United States and foreign laws, including claims for defamation, libel, invasion of privacy, copyright or trademark infringement, or claims based on other theories related to the nature and content of the materials disseminated by users of our marketplace and the “Questions” section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right="80" w:firstLine="518"/>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will continue to be exposed to legal and regulatory risks including with respect to privacy, tax, law enforcement, content, intellectual property,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reductions in business and consumer confidence, stock market volatility, and increased unemployment. 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 In addition, our business may be negatively affected by challenges to the larger automotive industry ecosystem, including global supply chain challenges and other macroeconomic issues. These factors could have a material adverse effect on our business, results of operations, and financial condition.</w:t>
      </w: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dedication to making decisions based primarily on the best interests of our marketplace may cause us to forgo short-term gains in pursuit of potential but uncertain long-term growth.</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guiding principle is to build our business by making decisions based primarily upon the best interests of our entire marketplace, including consumers, dealers, and other participants, which we believe has been essential to our success in increasing our user growth rate and engagement and has served the long-term interests of our company and our stockholders. In the past, we have forgone, and we will in the future continue to forgo, certain expansion or short-term revenue opportunities that we do not believe are in the best interests of our marketplace and its users, even if such decisions negatively impact our results of operations in the short term. For example, we have begun to manage the text-chat feature of our website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w:t>
      </w:r>
    </w:p>
    <w:p>
      <w:pPr>
        <w:spacing w:after="0" w:line="4"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However, this strategy may not result in the long-term benefits that we expect, in which case our user traffic and engagement, business, and financial results could be harmed.</w:t>
      </w: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 or our mobile application could damage our reputation and result in a loss of consumers, which could harm our business, brand, operating results, and financial condition.</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 and mobile application, and prevent or inhibit the ability of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our ability to protect our confidential and proprietary information, result in a loss of consumers and dealers, and result in additional costs.</w:t>
      </w:r>
    </w:p>
    <w:p>
      <w:pPr>
        <w:spacing w:after="0" w:line="1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in Boston, Massachusetts and Dallas, Texas, and in Europe in London, United Kingdom. Although we have two locations in the United States and we believe our systems are fully redundant, there may be exceptions for certain hardware. In addition, we do not own or control the operation of these facilities. We also use Amazon Web Services and Google Cloud Storage to back up our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180"/>
        <w:spacing w:after="0" w:line="312" w:lineRule="auto"/>
        <w:rPr>
          <w:sz w:val="20"/>
          <w:szCs w:val="20"/>
          <w:color w:val="auto"/>
        </w:rPr>
      </w:pPr>
      <w:r>
        <w:rPr>
          <w:rFonts w:ascii="Arial" w:cs="Arial" w:eastAsia="Arial" w:hAnsi="Arial"/>
          <w:sz w:val="16"/>
          <w:szCs w:val="16"/>
          <w:color w:val="auto"/>
        </w:rPr>
        <w:t>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4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Problems faced by our third-party web hosting providers could adversely affect the experience of consumers using our marketplace. Our third-party web hosting providers could close their facilities without adequate notice. Any financial difficulties, up to and including bankruptcy, faced by our third-party web hosting providers or any of the service providers with whom they contract may have negative effects on our business, the nature and extent of which are difficult to predict. If our third-party web hosting providers are unable to keep up with our growing capacity needs, our business could be harmed.</w:t>
      </w:r>
    </w:p>
    <w:p>
      <w:pPr>
        <w:spacing w:after="0" w:line="15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5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collect, process, store, share, disclose, and use consumer information and other data, and our actual or perceived failure to protect such information and data or respect users’ privacy could damage our reputation and brand and harm our business and operating results.</w:t>
      </w:r>
    </w:p>
    <w:p>
      <w:pPr>
        <w:spacing w:after="0" w:line="38"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Use of some functions of our marketplace involves the storage and transmission of consumers’ information, some of which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also rely on encryption and authentication technology licensed from third parties to effect secure transmission of such information. Like all information systems and technology, our website, mobile application, and information systems may be subject to computer viruses, break-ins, phishing attacks, attempts to overload our servers with denial-of-service or other attacks, ransomware, and similar incidents or disruptions from unauthorized use of our computer systems, any of which could lead to interruptions, delays, or website shutdowns, or could cause loss of critical data or the unauthorized disclosure, access, acquisition, alteration, or use of personal or other confidential information. If we experience compromises to our security that result in website or mobile application performance or availability problems, the complete shutdown of our website or mobile application, or the loss or unauthorized disclosure, access, acquisition, alteration, or use of confidential information, consumers and advertisers may lose trust and confidence in us, and consumers may decrease the use of our website or stop using our website entirely, and advertisers may decrease or stop advertising on our website. Further, outside parties may attempt to fraudulently induce employees, consumers, or advertisers to disclose sensitive information in order to gain access to our information or our consumers’ or advertisers’ information.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6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Any or all of the issues above could negatively impact our ability to attract new consumers and increase engagement by existing consumers, cause existing consumers to curtail or stop use of our marketplace or close their accounts, cause existing advertisers to cancel their contracts, or subject us to governmental or third-party lawsuits, investigations, regulatory fines or other actions or liability, thereby harming our business, results of operations, and financial condition.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There are numerous federal, state, and local laws in the United States and around the world regarding privacy and the collection, processing, storing, sharing, disclosing, using, cross-border transfer, and protecting of personal information and other data, the scope of which are changing, subject to differing interpretations, and which may be costly to comply with, may result in regulatory fines or penalties, and may be inconsistent between countries and jurisdictions or conflict with other rules.</w:t>
      </w:r>
    </w:p>
    <w:p>
      <w:pPr>
        <w:spacing w:after="0" w:line="18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or that new regulations could be enacted.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t>consumer advocacy groups or others, and could cause consumers and dealers to lose trust in us, which could have an adverse effect on our business. Additionally, if third parties that we work with violate applicable laws or our policies, such violations may also put consumer or dealer information at risk and could in turn harm our reputation, business,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4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the “Questions” section of our website disseminate materials that infringe the intellectual property rights of third parties. We have encountered lawsuits in the past containing allegations of intellectual property infringement. For example, in December 2015, Trader Corporation, or Trader, alleged that we infringed its copyright in 196,740 photos of cars that were uploaded onto our Canadian website. Trader sought statutory and punitive damages of approximately CAD$ 99 million along with a permanent injunction prohibiting us from reproducing any other photos in which Trader owns copyright without Trader’s consent. On April 6, 2017, the Commercial List of the Ontario Superior Court, or the Commercial List, granted an order declaring that we infringed Trader’s copyright in 152,532 photos and awarded Trader statutory damages of CAD$ 305,064 in the aggregate, but dismissed Trader’s claim for punitive damages and a permanent injunction. Following release of the decision, the parties agreed that there would be no legal fees or interest payable. In addition, the parties agreed that neither would appeal the decision of the Commercial List.</w:t>
      </w:r>
    </w:p>
    <w:p>
      <w:pPr>
        <w:spacing w:after="0" w:line="18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 features, software, and functionality or obtain and use information that we consider proprietary.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Competitors may adopt service names similar to ours, thereby harming our ability to build brand identity and possibly leading to user confusion. In</w:t>
      </w:r>
    </w:p>
    <w:p>
      <w:pPr>
        <w:spacing w:after="0" w:line="8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addition, there could be potential trade name or trademark infringement claims brought by owners of other registered trademarks, or trademarks that incorporate variations of the term “CarGurus.” If we are restricted in any way in registering our CARGURUS mark in the European Union or in other international markets, it would impact our ability to establish and grow our business in Europe and other countries. For example, O2 Holdings Limited (now O2 Worldwide Limited, which we refer to as O2 Worldwide), based in the United Kingdom, previously opposed our UK application to register the mark CARGURUS based on its prior registered rights for the mark GURU in the United Kingdom. We have reached an agreement with O2 Worldwide that provides that we are permitted to continue to use our CARGURUS mark in the United Kingdom and the European Union for our services in the automotive field in the manner we have to date, and to register such mark in the United Kingdom and the European Union for such services.</w:t>
      </w:r>
    </w:p>
    <w:p>
      <w:pPr>
        <w:spacing w:after="0" w:line="174"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46"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900" w:right="9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or other third parties.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 or impairment charges associated with acquired intangible assets or goodwill, any of which could harm our financial condition. Also, the anticipated benefits of any acquisitions may not materialize.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In addition, others may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200"/>
        <w:spacing w:after="0" w:line="302" w:lineRule="auto"/>
        <w:rPr>
          <w:sz w:val="20"/>
          <w:szCs w:val="20"/>
          <w:color w:val="auto"/>
        </w:rPr>
      </w:pPr>
      <w:r>
        <w:rPr>
          <w:rFonts w:ascii="Arial" w:cs="Arial" w:eastAsia="Arial" w:hAnsi="Arial"/>
          <w:sz w:val="16"/>
          <w:szCs w:val="16"/>
          <w:color w:val="auto"/>
        </w:rPr>
        <w:t>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we may generate losses in the future.</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incurred net operating losses in the past. Although we did not experience such losses in 2016 and have not experienced such losses in 2017 and we have experienced significant growth in revenue, our revenue growth rate may decline in the future as a result of a variety of factors. Our international expansion may cause our costs to increase in future periods as we continue to expend substantial financial resources to enter into those markets. Our costs may also increase due to our continued new product development and general administrative expenses, such as legal and accounting expenses related to being a public company. If we fail to increase our revenue or manage these additional costs, we may incur losses in the future.</w:t>
      </w:r>
    </w:p>
    <w:p>
      <w:pPr>
        <w:spacing w:after="0" w:line="2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Now that we are a public company, we expect to incur significant legal, accounting, and other expenses that we did not incur as a private company and these expenses will increase after we cease to be an “emerging growth company.” In addition, the Sarbanes-Oxley Act and rules subsequently implemented by the Securities and Exchange Commission, or the SEC, and NASDAQ impose various requirements on public companies, including requiring changes 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For example, these rules and regulations have made it more difficult and more expensive for us to obtain director and officer liability insurance. These rules and regulations could also make it more difficult for us to attract and retain qualified persons to serve on our board of directors or our board committees or as executive officers.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the Sarbanes-Oxley Act requires, among other things, that we assess the effectiveness of our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annually and the effectiveness of our disclosure controls and procedures quarterly. In particular, beginning with the year ending December 31, 2018, we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need to perform system and process evaluation and testing of our internal control over financial reporting to allow management to report on, and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independent registered public accounting firm potentially to attest to, the effectiveness of our internal control over financial reporting, as required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404 of the Sarbanes-Oxley Act, or Section 404. As an “emerging growth company” we may elect to avail ourselves of the exemption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 that our independent registered public accounting firm attest to the effectiveness of our internal control over financial reporting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However, we may no longer avail ourselves of this exemption when we cease to be an “emerging growth company” and, when our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public accounting firm is required to undertake an assessment of our internal control over financial reporting, the cost of our compliance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404 will correspondingly increase. Our compliance with applicable provisions of Section 404 will require that we incur substantial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and expend significant management time on compliance-related issues as we implement additional corporate governance practices and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reporting requirements.</w:t>
      </w:r>
    </w:p>
    <w:p>
      <w:pPr>
        <w:spacing w:after="0" w:line="319" w:lineRule="exact"/>
        <w:rPr>
          <w:sz w:val="20"/>
          <w:szCs w:val="20"/>
          <w:color w:val="auto"/>
        </w:rPr>
      </w:pPr>
    </w:p>
    <w:p>
      <w:pPr>
        <w:ind w:right="380"/>
        <w:spacing w:after="0" w:line="223" w:lineRule="exact"/>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Oxley Act could have a material adverse effect on our stated operating results and harm our reputation.</w:t>
      </w:r>
    </w:p>
    <w:p>
      <w:pPr>
        <w:spacing w:after="0" w:line="95" w:lineRule="exact"/>
        <w:rPr>
          <w:sz w:val="20"/>
          <w:szCs w:val="20"/>
          <w:color w:val="auto"/>
        </w:rPr>
      </w:pPr>
    </w:p>
    <w:p>
      <w:pPr>
        <w:ind w:firstLine="518"/>
        <w:spacing w:after="0" w:line="217" w:lineRule="exact"/>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As a newly public company, we are required to comply with the SEC’s rules implementing Sections 302 and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20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To comply with the requirements of being a public company, we have undertaken various actions, and may need to take additional actions, such as implementing new internal controls and procedures and hiring additional accounting or internal audit staff.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Testing and maintaining internal control can divert our management’s attention from other matters that are important to the operation of our</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Across the retail automotive industry, consumer purchases typically increase through the first three quarters of each year, due in part to the introduction of new vehicle models from manufacturers, and our consumer-marketing spend grows accordingly. As consumer purchases slow in the fourth quarter, our marketing spend growth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6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3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Although we have not needed to raise substantial equity in the past to support the growth of our business, 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Langley Steinert, our founder, Chief Executive Officer, President,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color w:val="auto"/>
        </w:rPr>
        <w:t>major strategic investments of our company as a result of his positions as our Chief Executive Officer, President,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Langley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Langley Steinert, by any Family Member of Langley Steinert, and by any Permitted Entity of Langley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82"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your ability to influence corporate matters.</w:t>
      </w:r>
    </w:p>
    <w:p>
      <w:pPr>
        <w:spacing w:after="0" w:line="62"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may be volatile and the value of your investment could decline.</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trading price of our Class A common stock may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57"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might occur, could depress the market price of our Class A common stock.</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market price for our Class A common stock could decline as a result of the sale of substantial amounts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 Based on shares outstanding at October 31, 2017, we had outstanding approximately 77,877,494 shares of Class A common stock. Of these shares, the 10,810,000 shares of our Class A common stock sold in our initial public offering, or IPO, are freely tradable, and the balance of the outstanding shares will be available for sale in the public market beginning following the expiration of lock-up agreements entered into in connection with our IPO, which is expected to occur on April 10, 2018. The representatives of the underwriters in our IPO may release these stockholders from their lock-up agreements at any time and without notice, which would allow for earlier sales of shares in the public market. Sales of a substantial number of such shares upon expiration of the lock-up, the perception that such sales may occur, or early release of these agreements, could cause our market price to fall or make it more difficult for you to sell your Class A common stock at a time and price that you deem appropriate.</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April 10, 2018, the holders of 54,998,789 shares of our Class A common stock will have rights, subject to some conditions, to require us to file registration statements covering their shares of Class A common stock or to include their shares in registration statements that we may file for ourselves or our stockholders.</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addition, the shares of Class A common stock subject to outstanding options and restricted stock units for Class A common stock under our equity incentive plans and the shares reserved for future issuance under our equity incentive plans, which we registered on a registration statement on Form S-8 which we filed with the SEC on October 24, 2017, will become eligible for sale in the public market in the future, subject to certain legal and contractual limitations.</w:t>
      </w:r>
    </w:p>
    <w:p>
      <w:pPr>
        <w:spacing w:after="0" w:line="18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If a substantial number of shares are sold, or if it is perceived that they will be sold, in the public market, before or after the expiration of the contractual lock-up period, the trading price of our Class A common stock could decline substantially.</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5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900" w:right="120" w:hanging="379"/>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our founder, Chief Executive Officer, President, and Chairman, Langley Steinert, represent less than a majority of the aggregate votes applicable to all shares of the outstanding Class A common stock and Class B common stock, could be issued by our board of directors without stockholder approval;</w:t>
      </w:r>
    </w:p>
    <w:p>
      <w:pPr>
        <w:spacing w:after="0" w:line="80"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amend our amended and restated certificate of incorporation;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certificate of incorporation, a court could rule that such a provision is inapplicable or unenforceable.</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520"/>
        <w:spacing w:after="0" w:line="293" w:lineRule="auto"/>
        <w:rPr>
          <w:sz w:val="20"/>
          <w:szCs w:val="20"/>
          <w:color w:val="auto"/>
        </w:rPr>
      </w:pPr>
      <w:r>
        <w:rPr>
          <w:rFonts w:ascii="Arial" w:cs="Arial" w:eastAsia="Arial" w:hAnsi="Arial"/>
          <w:sz w:val="18"/>
          <w:szCs w:val="18"/>
          <w:color w:val="auto"/>
        </w:rPr>
        <w:t>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60" w:firstLine="518"/>
        <w:spacing w:after="0" w:line="219" w:lineRule="exact"/>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management of our business, which could materially adversely affect our business, financial condition and operating results.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you may only receive a return on your investment in our Class A common stock if the trading price of your shares increases.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4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More than 50% of our voting power is held by Langley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57"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900" w:right="540" w:hanging="379"/>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15" w:lineRule="exact"/>
        <w:rPr>
          <w:rFonts w:ascii="Arial" w:cs="Arial" w:eastAsia="Arial" w:hAnsi="Arial"/>
          <w:sz w:val="16"/>
          <w:szCs w:val="16"/>
          <w:color w:val="auto"/>
        </w:rPr>
      </w:pPr>
    </w:p>
    <w:p>
      <w:pPr>
        <w:ind w:left="900" w:right="4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ind w:left="900" w:right="100" w:hanging="379"/>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have relied on certain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until the last day of our fiscal year following the fifth anniversary of our IPO, subject to specified conditions. For so long as we remain an emerging growth company, we are permitted and intend to rely on exemptions from some disclosure requirements that are applicable to other public companies that are not emerging growth companies. These exemptions include:</w:t>
      </w:r>
    </w:p>
    <w:p>
      <w:pPr>
        <w:spacing w:after="0" w:line="79" w:lineRule="exact"/>
        <w:rPr>
          <w:sz w:val="20"/>
          <w:szCs w:val="20"/>
          <w:color w:val="auto"/>
        </w:rPr>
      </w:pPr>
    </w:p>
    <w:p>
      <w:pPr>
        <w:ind w:left="900" w:right="20" w:hanging="379"/>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53" w:name="page54"/>
    <w:bookmarkEnd w:id="53"/>
    <w:p>
      <w:pPr>
        <w:ind w:left="900" w:right="720" w:hanging="379"/>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have taken advantage of reduced reporting burdens in this Quarterly Report on Form 10-Q. We cannot predict whether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 of Unregistered Securities</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From July 1, 2017 through September 30, 2017, we issued and sold to employees, consultants and other service providers an aggregate of 79,244 shares of common stock upon the exercise of options granted under our Amended and Restated 2006 Equity Incentive Plan and Amended and Restated 2015 Equity Incentive Plan exercise prices ranging from $0.09 to $6.78 per share, for an aggregate exercise price of approximately $120,000.</w:t>
      </w:r>
    </w:p>
    <w:p>
      <w:pPr>
        <w:spacing w:after="0" w:line="14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we believe that each such transaction was exempt from the registration requirements of the Securities Act of 1933, as amended, or the Securities Act, in reliance on either Section 3(a)(9) of the Securities Act, Rule 701 promulgated under the Securities Act, as transactions pursuant to a compensatory benefit plan approved by our board of directors, Section 4(a)(2) of the Securities Act, as transactions by an issuer not involving a public offering, or transactions which did not constitute sales of securities under the Securities Act. Each recipient of securities issued in the transactions that were deemed to be exempt in reliance upon Section 4(a)(2) of the Securities Act acquired the securities for investment only and not with a view to, or for resale in connection with, any distribution thereof, and appropriate legends were affixed to the share certificates issued in each such transaction. In each case, the recipient received adequate information regarding us or had adequate access, through his or her relationship with us, to information about us.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On October 11, 2017, our registration statement on Form S-1, as amended (File No. 333-220495), filed in connection with our IPO, was declared effective by the SEC and, on October 16 2017, we closed our IPO consisting of 10,810,000 shares of Class A common stock, which included the full exercise by the underwriters of their option to purchase 1,410,000 additional shares of Class A common stock, at a public offering price of $16.00 per share, before underwriting discounts. We issued and sold 3,205,000 shares of Class A common stock and the selling stockholders sold an additional 7,605,000 shares of Class A common stock. The aggregate offering price for shares sold in our IPO was approximately $173.0 million. Following the sale of the shares in connection with the closing of our IPO, the offering was concluded. We received approximately $43.0 million in net proceeds, after deducting underwriting discounts and commissions of $3.6 million and approximately $4.7 million of other offering expenses. The selling stockholders received, in the aggregate, approximately $113.2 million in net proceeds, after deducting underwriting discounts and commissions of $8.5 million. Certain of the underwriting discounts and commissions paid in our IPO were paid to Allen &amp; Company LLC, an entity that beneficially owned more than 10% of our preferred stock prior to our IPO and that is affiliated with Ian Smith, a member of our board of directors.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pursuant to Rule 424(b) under the Securities Act on October 12, 2017. Goldman Sachs &amp; Co. LLC and Allen &amp; Company LLC acted as joint lead book-running managers. RBC Capital Markets, LLC also acted as a joint-book running manager. JMP Securities LLC, Raymond James, and William Blair &amp; Company, L.L.C. acted as co-managers.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60" w:type="dxa"/>
            <w:vAlign w:val="bottom"/>
            <w:gridSpan w:val="13"/>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File</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Filing Date</w:t>
            </w: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gridSpan w:val="1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w:t>
            </w:r>
          </w:p>
        </w:tc>
        <w:tc>
          <w:tcPr>
            <w:tcW w:w="1480" w:type="dxa"/>
            <w:vAlign w:val="bottom"/>
            <w:gridSpan w:val="2"/>
            <w:vMerge w:val="continue"/>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3820" w:type="dxa"/>
            <w:vAlign w:val="bottom"/>
            <w:tcBorders>
              <w:top w:val="single" w:sz="8" w:color="auto"/>
            </w:tcBorders>
            <w:gridSpan w:val="16"/>
          </w:tcPr>
          <w:p>
            <w:pPr>
              <w:spacing w:after="0" w:line="170"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Amended and Restated Certificate of Incorporation</w:t>
              </w:r>
            </w:hyperlink>
          </w:p>
        </w:tc>
        <w:tc>
          <w:tcPr>
            <w:tcW w:w="300" w:type="dxa"/>
            <w:vAlign w:val="bottom"/>
          </w:tcPr>
          <w:p>
            <w:pPr>
              <w:spacing w:after="0"/>
              <w:rPr>
                <w:sz w:val="14"/>
                <w:szCs w:val="14"/>
                <w:color w:val="auto"/>
              </w:rPr>
            </w:pPr>
          </w:p>
        </w:tc>
        <w:tc>
          <w:tcPr>
            <w:tcW w:w="6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001-38233</w:t>
            </w:r>
          </w:p>
        </w:tc>
        <w:tc>
          <w:tcPr>
            <w:tcW w:w="38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October 16,</w:t>
            </w:r>
          </w:p>
        </w:tc>
        <w:tc>
          <w:tcPr>
            <w:tcW w:w="240" w:type="dxa"/>
            <w:vAlign w:val="bottom"/>
          </w:tcPr>
          <w:p>
            <w:pPr>
              <w:spacing w:after="0"/>
              <w:rPr>
                <w:sz w:val="14"/>
                <w:szCs w:val="14"/>
                <w:color w:val="auto"/>
              </w:rPr>
            </w:pPr>
          </w:p>
        </w:tc>
        <w:tc>
          <w:tcPr>
            <w:tcW w:w="10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of the Registrant.</w:t>
              </w:r>
            </w:hyperlink>
          </w:p>
        </w:tc>
        <w:tc>
          <w:tcPr>
            <w:tcW w:w="2440" w:type="dxa"/>
            <w:vAlign w:val="bottom"/>
            <w:tcBorders>
              <w:top w:val="single" w:sz="8" w:color="0000EE"/>
            </w:tcBorders>
            <w:gridSpan w:val="9"/>
          </w:tcPr>
          <w:p>
            <w:pPr>
              <w:spacing w:after="0"/>
              <w:rPr>
                <w:sz w:val="17"/>
                <w:szCs w:val="17"/>
                <w:color w:val="auto"/>
              </w:rPr>
            </w:pPr>
          </w:p>
        </w:tc>
        <w:tc>
          <w:tcPr>
            <w:tcW w:w="4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Amended and Restated Bylaws of the Registrant.</w:t>
              </w:r>
            </w:hyperlink>
          </w:p>
        </w:tc>
        <w:tc>
          <w:tcPr>
            <w:tcW w:w="86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380" w:type="dxa"/>
            <w:vAlign w:val="bottom"/>
          </w:tcPr>
          <w:p>
            <w:pPr>
              <w:spacing w:after="0"/>
              <w:rPr>
                <w:sz w:val="17"/>
                <w:szCs w:val="17"/>
                <w:color w:val="auto"/>
              </w:rPr>
            </w:pPr>
          </w:p>
        </w:tc>
        <w:tc>
          <w:tcPr>
            <w:tcW w:w="14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1"/>
              </w:rPr>
              <w:t>October 16,</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8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6"/>
                <w:szCs w:val="16"/>
                <w:color w:val="auto"/>
              </w:rPr>
            </w:pPr>
          </w:p>
        </w:tc>
        <w:tc>
          <w:tcPr>
            <w:tcW w:w="3660" w:type="dxa"/>
            <w:vAlign w:val="bottom"/>
            <w:tcBorders>
              <w:bottom w:val="single" w:sz="8" w:color="0000EE"/>
            </w:tcBorders>
            <w:gridSpan w:val="11"/>
          </w:tcPr>
          <w:p>
            <w:pPr>
              <w:spacing w:after="0" w:line="190"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Specimen Class A common stock certificate of the</w:t>
              </w:r>
            </w:hyperlink>
          </w:p>
        </w:tc>
        <w:tc>
          <w:tcPr>
            <w:tcW w:w="460" w:type="dxa"/>
            <w:vAlign w:val="bottom"/>
            <w:gridSpan w:val="6"/>
          </w:tcPr>
          <w:p>
            <w:pPr>
              <w:spacing w:after="0"/>
              <w:rPr>
                <w:sz w:val="16"/>
                <w:szCs w:val="16"/>
                <w:color w:val="auto"/>
              </w:rPr>
            </w:pPr>
          </w:p>
        </w:tc>
        <w:tc>
          <w:tcPr>
            <w:tcW w:w="86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333-220495</w:t>
            </w:r>
          </w:p>
        </w:tc>
        <w:tc>
          <w:tcPr>
            <w:tcW w:w="380" w:type="dxa"/>
            <w:vAlign w:val="bottom"/>
          </w:tcPr>
          <w:p>
            <w:pPr>
              <w:spacing w:after="0"/>
              <w:rPr>
                <w:sz w:val="16"/>
                <w:szCs w:val="16"/>
                <w:color w:val="auto"/>
              </w:rPr>
            </w:pPr>
          </w:p>
        </w:tc>
        <w:tc>
          <w:tcPr>
            <w:tcW w:w="148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88"/>
              </w:rPr>
              <w:t>September 29,</w:t>
            </w: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Registrant.</w:t>
              </w:r>
            </w:hyperlink>
          </w:p>
        </w:tc>
        <w:tc>
          <w:tcPr>
            <w:tcW w:w="332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of Indemnification Agreement between the</w:t>
              </w:r>
            </w:hyperlink>
          </w:p>
        </w:tc>
        <w:tc>
          <w:tcPr>
            <w:tcW w:w="86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380" w:type="dxa"/>
            <w:vAlign w:val="bottom"/>
          </w:tcPr>
          <w:p>
            <w:pPr>
              <w:spacing w:after="0"/>
              <w:rPr>
                <w:sz w:val="17"/>
                <w:szCs w:val="17"/>
                <w:color w:val="auto"/>
              </w:rPr>
            </w:pPr>
          </w:p>
        </w:tc>
        <w:tc>
          <w:tcPr>
            <w:tcW w:w="148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88"/>
              </w:rPr>
              <w:t>September 15,</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Registrant and each of its directors and executive</w:t>
              </w:r>
            </w:hyperlink>
          </w:p>
        </w:tc>
        <w:tc>
          <w:tcPr>
            <w:tcW w:w="5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officers</w:t>
              </w:r>
              <w:r>
                <w:rPr>
                  <w:rFonts w:ascii="Arial" w:cs="Arial" w:eastAsia="Arial" w:hAnsi="Arial"/>
                  <w:sz w:val="18"/>
                  <w:szCs w:val="18"/>
                  <w:color w:val="000000"/>
                </w:rPr>
                <w: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Certification of Principal Executive Officer Pursuant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to Rules 13a-14(a) and 15d-14(a) under the</w:t>
              </w:r>
            </w:hyperlink>
          </w:p>
        </w:tc>
        <w:tc>
          <w:tcPr>
            <w:tcW w:w="3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Securities Exchange Act of 1934, as Adopted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Pursuant to Section 302 of the Sarbanes-Oxley Act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of 2002.</w:t>
              </w:r>
            </w:hyperlink>
          </w:p>
        </w:tc>
        <w:tc>
          <w:tcPr>
            <w:tcW w:w="4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Certification of Principal Financial Officer Pursuant</w:t>
              </w:r>
            </w:hyperlink>
          </w:p>
        </w:tc>
        <w:tc>
          <w:tcPr>
            <w:tcW w:w="3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to Rules 13a-14(a) and 15d-14(a) under the</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Securities Exchange Act of 1934, as Adopted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Pursuant to Section 302 of the Sarbanes-Oxley Act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of 2002.</w:t>
              </w:r>
            </w:hyperlink>
          </w:p>
        </w:tc>
        <w:tc>
          <w:tcPr>
            <w:tcW w:w="4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Certification of Principal Executive Officer Pursuant</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Section 906 of the Sarbanes-Oxley Act of 2002.</w:t>
              </w:r>
            </w:hyperlink>
          </w:p>
        </w:tc>
        <w:tc>
          <w:tcPr>
            <w:tcW w:w="58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Principal Financial Officer Pursuant</w:t>
              </w:r>
            </w:hyperlink>
          </w:p>
        </w:tc>
        <w:tc>
          <w:tcPr>
            <w:tcW w:w="3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to 18 U.S.C. Section 1350, as Adopted Pursuant to</w:t>
              </w:r>
            </w:hyperlink>
          </w:p>
        </w:tc>
        <w:tc>
          <w:tcPr>
            <w:tcW w:w="4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Section 906 of the Sarbanes-Oxley Act of 2002.</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34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gridSpan w:val="10"/>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412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41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412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41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41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spacing w:after="0" w:line="9" w:lineRule="exact"/>
        <w:rPr>
          <w:sz w:val="20"/>
          <w:szCs w:val="20"/>
          <w:color w:val="auto"/>
        </w:rPr>
      </w:pPr>
    </w:p>
    <w:p>
      <w:pPr>
        <w:jc w:val="both"/>
        <w:ind w:right="140" w:firstLine="8"/>
        <w:spacing w:after="0" w:line="255" w:lineRule="auto"/>
        <w:tabs>
          <w:tab w:leader="none" w:pos="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202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14, 2017</w:t>
            </w:r>
          </w:p>
        </w:tc>
        <w:tc>
          <w:tcPr>
            <w:tcW w:w="7660" w:type="dxa"/>
            <w:vAlign w:val="bottom"/>
            <w:gridSpan w:val="2"/>
          </w:tcPr>
          <w:p>
            <w:pPr>
              <w:ind w:left="2020"/>
              <w:spacing w:after="0"/>
              <w:rPr>
                <w:sz w:val="20"/>
                <w:szCs w:val="20"/>
                <w:color w:val="auto"/>
              </w:rPr>
            </w:pPr>
            <w:r>
              <w:rPr>
                <w:rFonts w:ascii="Arial" w:cs="Arial" w:eastAsia="Arial" w:hAnsi="Arial"/>
                <w:sz w:val="18"/>
                <w:szCs w:val="18"/>
                <w:color w:val="auto"/>
              </w:rPr>
              <w:t>By: /s/ Langley Steinert</w:t>
            </w:r>
          </w:p>
        </w:tc>
      </w:tr>
      <w:tr>
        <w:trPr>
          <w:trHeight w:val="222"/>
        </w:trPr>
        <w:tc>
          <w:tcPr>
            <w:tcW w:w="37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14, 2017</w:t>
            </w:r>
          </w:p>
        </w:tc>
        <w:tc>
          <w:tcPr>
            <w:tcW w:w="7660" w:type="dxa"/>
            <w:vAlign w:val="bottom"/>
            <w:gridSpan w:val="2"/>
          </w:tcPr>
          <w:p>
            <w:pPr>
              <w:ind w:left="2020"/>
              <w:spacing w:after="0"/>
              <w:rPr>
                <w:sz w:val="20"/>
                <w:szCs w:val="20"/>
                <w:color w:val="auto"/>
              </w:rPr>
            </w:pPr>
            <w:r>
              <w:rPr>
                <w:rFonts w:ascii="Arial" w:cs="Arial" w:eastAsia="Arial" w:hAnsi="Arial"/>
                <w:sz w:val="18"/>
                <w:szCs w:val="18"/>
                <w:color w:val="auto"/>
              </w:rPr>
              <w:t>By: /s/ Jason Trevisan</w:t>
            </w:r>
          </w:p>
        </w:tc>
      </w:tr>
      <w:tr>
        <w:trPr>
          <w:trHeight w:val="222"/>
        </w:trPr>
        <w:tc>
          <w:tcPr>
            <w:tcW w:w="37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760" w:type="dxa"/>
            <w:vAlign w:val="bottom"/>
          </w:tcPr>
          <w:p>
            <w:pPr>
              <w:spacing w:after="0"/>
              <w:rPr>
                <w:sz w:val="24"/>
                <w:szCs w:val="24"/>
                <w:color w:val="auto"/>
              </w:rPr>
            </w:pP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CarGurus, Inc. for the fiscal quarter ended September 30, 2017;</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November 14, 2017</w:t>
            </w: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By: /s/ Langley Steinert</w:t>
            </w:r>
          </w:p>
        </w:tc>
      </w:tr>
      <w:tr>
        <w:trPr>
          <w:trHeight w:val="222"/>
        </w:trPr>
        <w:tc>
          <w:tcPr>
            <w:tcW w:w="3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CarGurus, Inc. for the fiscal quarter ended September 30, 2017;</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November 14, 2017</w:t>
            </w: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By: /s/ Jason Trevisan</w:t>
            </w:r>
          </w:p>
        </w:tc>
      </w:tr>
      <w:tr>
        <w:trPr>
          <w:trHeight w:val="222"/>
        </w:trPr>
        <w:tc>
          <w:tcPr>
            <w:tcW w:w="3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In connection with the Quarterly Report of CarGurus, Inc. (the “Company”) on Form 10-Q for the period ending September 30, 2017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November 14, 2017</w:t>
            </w: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By: /s/ Langley Steinert</w:t>
            </w:r>
          </w:p>
        </w:tc>
      </w:tr>
      <w:tr>
        <w:trPr>
          <w:trHeight w:val="222"/>
        </w:trPr>
        <w:tc>
          <w:tcPr>
            <w:tcW w:w="3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In connection with the Quarterly Report of CarGurus, Inc. (the “Company”) on Form 10-Q for the period ending September 30, 2017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November 14, 2017</w:t>
            </w: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By: /s/ Jason Trevisan</w:t>
            </w:r>
          </w:p>
        </w:tc>
      </w:tr>
      <w:tr>
        <w:trPr>
          <w:trHeight w:val="222"/>
        </w:trPr>
        <w:tc>
          <w:tcPr>
            <w:tcW w:w="3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76" Type="http://schemas.openxmlformats.org/officeDocument/2006/relationships/hyperlink" Target="http://www.sec.gov/Archives/edgar/data/1494259/000110465917062378/a17-24010_1ex3d1.htm" TargetMode="External"/><Relationship Id="rId77" Type="http://schemas.openxmlformats.org/officeDocument/2006/relationships/hyperlink" Target="http://www.sec.gov/Archives/edgar/data/1494259/000110465917062378/a17-24010_1ex3d2.htm" TargetMode="External"/><Relationship Id="rId78" Type="http://schemas.openxmlformats.org/officeDocument/2006/relationships/hyperlink" Target="http://www.sec.gov/Archives/edgar/data/1494259/000104746917006138/a2233329zex-4_1.htm" TargetMode="External"/><Relationship Id="rId79" Type="http://schemas.openxmlformats.org/officeDocument/2006/relationships/hyperlink" Target="http://www.sec.gov/Archives/edgar/data/1494259/000104746917005904/a2233230z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2019-12-29T02:47:30Z</dcterms:created>
  <dcterms:modified xsi:type="dcterms:W3CDTF">2019-12-29T02:47:30Z</dcterms:modified>
</cp:coreProperties>
</file>