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Quinn Matthew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5,911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226,104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issuable upon settlement of restricted stock units ("RSUs") granted to the Reporting Person. Each RSU represents a contingent right to receive one share of the Issuer's Class A Common Stock. Subject to the Reporting Person's continuous service as an employee of the Issuer, 25% of the RSUs will vest on October 1, 2027 and 6.25% of the RSUs will vest on the first day of each three-month period thereafter until October 1, 2030. Such vesting may be accelerated in connection with a Change of Control (as defined in the Issuer's Omnibus Incentive Compensation Plan).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9207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3574</Characters>
  <CharactersWithSpaces>4169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