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2 Canal Park, 4th Floor</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Cambridge, Massachusetts</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right="280" w:firstLine="518"/>
        <w:spacing w:after="0" w:line="277" w:lineRule="auto"/>
        <w:rPr>
          <w:sz w:val="20"/>
          <w:szCs w:val="20"/>
          <w:color w:val="auto"/>
        </w:rPr>
      </w:pPr>
      <w:r>
        <w:rPr>
          <w:rFonts w:ascii="Arial" w:cs="Arial" w:eastAsia="Arial" w:hAnsi="Arial"/>
          <w:sz w:val="18"/>
          <w:szCs w:val="18"/>
          <w:color w:val="auto"/>
        </w:rPr>
        <w:t>As of April 30, 2018, the registrant had 87,234,652 shares of Class A common stock, $0.001 par value per share, and 20,702,084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180" w:type="dxa"/>
            <w:vAlign w:val="bottom"/>
            <w:gridSpan w:val="9"/>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Stockholders’ Equity</w:t>
              </w:r>
            </w:hyperlink>
          </w:p>
        </w:tc>
        <w:tc>
          <w:tcPr>
            <w:tcW w:w="180" w:type="dxa"/>
            <w:vAlign w:val="bottom"/>
            <w:tcBorders>
              <w:top w:val="single" w:sz="8" w:color="0000EE"/>
            </w:tcBorders>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w:t>
              </w:r>
            </w:hyperlink>
          </w:p>
        </w:tc>
        <w:tc>
          <w:tcPr>
            <w:tcW w:w="50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7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8"/>
                <w:szCs w:val="18"/>
                <w:color w:val="auto"/>
              </w:rPr>
            </w:pPr>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68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ind w:right="200" w:firstLine="518"/>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“may,” “might,” “likely,”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right="5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administrative workload associated with being a public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ind w:firstLine="518"/>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ind w:right="20" w:firstLine="518"/>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center"/>
              <w:ind w:left="481"/>
              <w:spacing w:after="0"/>
              <w:rPr>
                <w:sz w:val="20"/>
                <w:szCs w:val="20"/>
                <w:color w:val="auto"/>
              </w:rPr>
            </w:pPr>
            <w:r>
              <w:rPr>
                <w:rFonts w:ascii="Arial" w:cs="Arial" w:eastAsia="Arial" w:hAnsi="Arial"/>
                <w:sz w:val="14"/>
                <w:szCs w:val="14"/>
                <w:b w:val="1"/>
                <w:bCs w:val="1"/>
                <w:color w:val="auto"/>
              </w:rPr>
              <w:t>At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r>
      <w:tr>
        <w:trPr>
          <w:trHeight w:val="149"/>
        </w:trPr>
        <w:tc>
          <w:tcPr>
            <w:tcW w:w="6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6420" w:type="dxa"/>
            <w:vAlign w:val="bottom"/>
          </w:tcPr>
          <w:p>
            <w:pPr>
              <w:spacing w:after="0"/>
              <w:rPr>
                <w:sz w:val="14"/>
                <w:szCs w:val="14"/>
                <w:color w:val="auto"/>
              </w:rPr>
            </w:pPr>
          </w:p>
        </w:tc>
        <w:tc>
          <w:tcPr>
            <w:tcW w:w="2480" w:type="dxa"/>
            <w:vAlign w:val="bottom"/>
            <w:gridSpan w:val="2"/>
          </w:tcPr>
          <w:p>
            <w:pPr>
              <w:jc w:val="center"/>
              <w:ind w:left="1759"/>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210"/>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8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Current assets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2480" w:type="dxa"/>
            <w:vAlign w:val="bottom"/>
            <w:gridSpan w:val="2"/>
            <w:shd w:val="clear" w:color="auto" w:fill="CFF0FC"/>
          </w:tcPr>
          <w:p>
            <w:pPr>
              <w:jc w:val="right"/>
              <w:ind w:right="1021"/>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62,003</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87,709</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80,000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r>
      <w:tr>
        <w:trPr>
          <w:trHeight w:val="198"/>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$690</w:t>
            </w:r>
          </w:p>
        </w:tc>
        <w:tc>
          <w:tcPr>
            <w:tcW w:w="1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$494, respectively</w:t>
            </w:r>
          </w:p>
        </w:tc>
        <w:tc>
          <w:tcPr>
            <w:tcW w:w="1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12,197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12,577</w:t>
            </w:r>
          </w:p>
        </w:tc>
        <w:tc>
          <w:tcPr>
            <w:tcW w:w="100" w:type="dxa"/>
            <w:vAlign w:val="bottom"/>
            <w:shd w:val="clear" w:color="auto" w:fill="CFF0FC"/>
          </w:tcPr>
          <w:p>
            <w:pPr>
              <w:spacing w:after="0"/>
              <w:rPr>
                <w:sz w:val="19"/>
                <w:szCs w:val="19"/>
                <w:color w:val="auto"/>
              </w:rPr>
            </w:pPr>
          </w:p>
        </w:tc>
      </w:tr>
      <w:tr>
        <w:trPr>
          <w:trHeight w:val="216"/>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Prepaid expenses, prepaid income taxes and other current assets</w:t>
            </w:r>
          </w:p>
        </w:tc>
        <w:tc>
          <w:tcPr>
            <w:tcW w:w="128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6,918</w:t>
            </w:r>
          </w:p>
        </w:tc>
        <w:tc>
          <w:tcPr>
            <w:tcW w:w="10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161,503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157,204</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16,175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16,563</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1,843</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Deferred tax assets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128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FF0FC"/>
          </w:tcPr>
          <w:p>
            <w:pPr>
              <w:spacing w:after="0"/>
              <w:rPr>
                <w:sz w:val="18"/>
                <w:szCs w:val="18"/>
                <w:color w:val="auto"/>
              </w:rPr>
            </w:pPr>
          </w:p>
        </w:tc>
      </w:tr>
      <w:tr>
        <w:trPr>
          <w:trHeight w:val="250"/>
        </w:trPr>
        <w:tc>
          <w:tcPr>
            <w:tcW w:w="6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1280" w:type="dxa"/>
            <w:vAlign w:val="bottom"/>
            <w:tcBorders>
              <w:bottom w:val="single" w:sz="8" w:color="CFF0FC"/>
            </w:tcBorders>
          </w:tcPr>
          <w:p>
            <w:pPr>
              <w:spacing w:after="0"/>
              <w:rPr>
                <w:sz w:val="21"/>
                <w:szCs w:val="21"/>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182,538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176,594</w:t>
            </w:r>
          </w:p>
        </w:tc>
        <w:tc>
          <w:tcPr>
            <w:tcW w:w="100" w:type="dxa"/>
            <w:vAlign w:val="bottom"/>
            <w:tcBorders>
              <w:bottom w:val="single" w:sz="8" w:color="CFF0FC"/>
            </w:tcBorders>
          </w:tcPr>
          <w:p>
            <w:pPr>
              <w:spacing w:after="0"/>
              <w:rPr>
                <w:sz w:val="21"/>
                <w:szCs w:val="21"/>
                <w:color w:val="auto"/>
              </w:rPr>
            </w:pPr>
          </w:p>
        </w:tc>
      </w:tr>
      <w:tr>
        <w:trPr>
          <w:trHeight w:val="197"/>
        </w:trPr>
        <w:tc>
          <w:tcPr>
            <w:tcW w:w="642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1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Current liabilities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2480" w:type="dxa"/>
            <w:vAlign w:val="bottom"/>
            <w:gridSpan w:val="2"/>
            <w:shd w:val="clear" w:color="auto" w:fill="CFF0FC"/>
          </w:tcPr>
          <w:p>
            <w:pPr>
              <w:jc w:val="right"/>
              <w:ind w:right="1021"/>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23,266</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13,588</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revenue</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4,305</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Deferred rent</w:t>
            </w:r>
          </w:p>
        </w:tc>
        <w:tc>
          <w:tcPr>
            <w:tcW w:w="128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w:t>
            </w:r>
          </w:p>
        </w:tc>
        <w:tc>
          <w:tcPr>
            <w:tcW w:w="10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41,219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42,966</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Deferred rent, net of current portion</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5,648</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28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FF0FC"/>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7"/>
                <w:szCs w:val="17"/>
                <w:color w:val="auto"/>
              </w:rPr>
              <w:t>Total liabilities</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47,743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49,569</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6)</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Stockholders’ equity:</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85,426,038 and 77,884,754 shares issued and outstanding</w:t>
            </w:r>
          </w:p>
        </w:tc>
        <w:tc>
          <w:tcPr>
            <w:tcW w:w="1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March 31, 2018 and December 31, 2017, respectively.</w:t>
            </w:r>
          </w:p>
        </w:tc>
        <w:tc>
          <w:tcPr>
            <w:tcW w:w="1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FF0FC"/>
          </w:tcPr>
          <w:p>
            <w:pPr>
              <w:spacing w:after="0"/>
              <w:rPr>
                <w:sz w:val="19"/>
                <w:szCs w:val="19"/>
                <w:color w:val="auto"/>
              </w:rPr>
            </w:pPr>
          </w:p>
        </w:tc>
      </w:tr>
      <w:tr>
        <w:trPr>
          <w:trHeight w:val="198"/>
        </w:trPr>
        <w:tc>
          <w:tcPr>
            <w:tcW w:w="6420" w:type="dxa"/>
            <w:vAlign w:val="bottom"/>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20" w:type="dxa"/>
            <w:vAlign w:val="bottom"/>
          </w:tcPr>
          <w:p>
            <w:pPr>
              <w:ind w:left="380"/>
              <w:spacing w:after="0"/>
              <w:rPr>
                <w:sz w:val="20"/>
                <w:szCs w:val="20"/>
                <w:color w:val="auto"/>
              </w:rPr>
            </w:pPr>
            <w:r>
              <w:rPr>
                <w:rFonts w:ascii="Arial" w:cs="Arial" w:eastAsia="Arial" w:hAnsi="Arial"/>
                <w:sz w:val="17"/>
                <w:szCs w:val="17"/>
                <w:color w:val="auto"/>
              </w:rPr>
              <w:t>authorized; 20,702,084 and 28,226,104 shares issued and outstanding</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420" w:type="dxa"/>
            <w:vAlign w:val="bottom"/>
          </w:tcPr>
          <w:p>
            <w:pPr>
              <w:ind w:left="380"/>
              <w:spacing w:after="0"/>
              <w:rPr>
                <w:sz w:val="20"/>
                <w:szCs w:val="20"/>
                <w:color w:val="auto"/>
              </w:rPr>
            </w:pPr>
            <w:r>
              <w:rPr>
                <w:rFonts w:ascii="Arial" w:cs="Arial" w:eastAsia="Arial" w:hAnsi="Arial"/>
                <w:sz w:val="17"/>
                <w:szCs w:val="17"/>
                <w:color w:val="auto"/>
              </w:rPr>
              <w:t>at March 31, 2018 and December 31, 2017, respectively.</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r>
      <w:tr>
        <w:trPr>
          <w:trHeight w:val="218"/>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189,237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185,190</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(54,848)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(58,499)</w:t>
            </w: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128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FF0FC"/>
          </w:tcPr>
          <w:p>
            <w:pPr>
              <w:spacing w:after="0"/>
              <w:rPr>
                <w:sz w:val="18"/>
                <w:szCs w:val="18"/>
                <w:color w:val="auto"/>
              </w:rPr>
            </w:pPr>
          </w:p>
        </w:tc>
      </w:tr>
      <w:tr>
        <w:trPr>
          <w:trHeight w:val="210"/>
        </w:trPr>
        <w:tc>
          <w:tcPr>
            <w:tcW w:w="6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28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134,795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127,025</w:t>
            </w:r>
          </w:p>
        </w:tc>
        <w:tc>
          <w:tcPr>
            <w:tcW w:w="100" w:type="dxa"/>
            <w:vAlign w:val="bottom"/>
            <w:tcBorders>
              <w:bottom w:val="single" w:sz="8" w:color="CFF0FC"/>
            </w:tcBorders>
          </w:tcPr>
          <w:p>
            <w:pPr>
              <w:spacing w:after="0"/>
              <w:rPr>
                <w:sz w:val="18"/>
                <w:szCs w:val="18"/>
                <w:color w:val="auto"/>
              </w:rPr>
            </w:pPr>
          </w:p>
        </w:tc>
      </w:tr>
      <w:tr>
        <w:trPr>
          <w:trHeight w:val="210"/>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12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2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182,538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176,594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98,701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Reconciliation of net income to net income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3,651</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3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(Note 8)</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6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shares of common stock used in</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attributable to common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106,942,799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42,081,960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113,341,308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46,267,552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00" w:right="1300" w:hanging="1692"/>
        <w:spacing w:after="0" w:line="563" w:lineRule="auto"/>
        <w:tabs>
          <w:tab w:leader="none" w:pos="526" w:val="left"/>
        </w:tabs>
        <w:numPr>
          <w:ilvl w:val="0"/>
          <w:numId w:val="4"/>
        </w:numPr>
        <w:rPr>
          <w:rFonts w:ascii="Arial" w:cs="Arial" w:eastAsia="Arial" w:hAnsi="Arial"/>
          <w:sz w:val="14"/>
          <w:szCs w:val="14"/>
          <w:color w:val="auto"/>
        </w:rPr>
      </w:pPr>
      <w:r>
        <w:rPr>
          <w:rFonts w:ascii="Arial" w:cs="Arial" w:eastAsia="Arial" w:hAnsi="Arial"/>
          <w:sz w:val="16"/>
          <w:szCs w:val="16"/>
          <w:color w:val="auto"/>
        </w:rPr>
        <w:t>Includes depreciation and amortization expense for the three months ended March 31, 2018 and 2017 of $504 and $122,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w w:val="97"/>
              </w:rPr>
              <w:t>Class A</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Paid–in</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3"/>
            <w:vMerge w:val="continue"/>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Balance at</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77,884,754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28,226,104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$ 185,190</w:t>
            </w:r>
          </w:p>
        </w:tc>
        <w:tc>
          <w:tcPr>
            <w:tcW w:w="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(58,499)</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Stock option exercises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expense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common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7,534,710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(7,534,710)</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adjustment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85,426,038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20,702,084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$ 189,237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79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3,651</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Unrealized currency loss on foreign denominated transactions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taxes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certificates of deposit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(60,000)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Maturities of certificates of deposit</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(31,015)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Payment of initial public offering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(25,679)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63,873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0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000" w:type="dxa"/>
            <w:vAlign w:val="bottom"/>
          </w:tcPr>
          <w:p>
            <w:pPr>
              <w:spacing w:after="0"/>
              <w:rPr>
                <w:sz w:val="23"/>
                <w:szCs w:val="23"/>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3"/>
                <w:szCs w:val="23"/>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stockholders' compensation in website development costs</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right="180" w:firstLine="518"/>
        <w:spacing w:after="0" w:line="279"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7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marketplaces in Canada, the United Kingdom, Germany, and Italy. The Company has wholly owned subsidiaries in the United States, Canada, Ireland, and the United Kingdom.</w:t>
      </w:r>
    </w:p>
    <w:p>
      <w:pPr>
        <w:spacing w:after="0" w:line="181" w:lineRule="exact"/>
        <w:rPr>
          <w:sz w:val="20"/>
          <w:szCs w:val="20"/>
          <w:color w:val="auto"/>
        </w:rPr>
      </w:pPr>
    </w:p>
    <w:p>
      <w:pPr>
        <w:jc w:val="both"/>
        <w:ind w:right="740" w:firstLine="518"/>
        <w:spacing w:after="0" w:line="286" w:lineRule="auto"/>
        <w:rPr>
          <w:sz w:val="20"/>
          <w:szCs w:val="20"/>
          <w:color w:val="auto"/>
        </w:rPr>
      </w:pPr>
      <w:r>
        <w:rPr>
          <w:rFonts w:ascii="Arial" w:cs="Arial" w:eastAsia="Arial" w:hAnsi="Arial"/>
          <w:sz w:val="17"/>
          <w:szCs w:val="17"/>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2017 included in the Company’s Annual Report on Form 10-K for the year ended December 31, 2017, filed with the Securities and Exchange Commission (“SEC”) on March 1, 2018 (the “2017 Annual Report”).</w:t>
      </w:r>
    </w:p>
    <w:p>
      <w:pPr>
        <w:spacing w:after="0" w:line="17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2018 and December 31, 2017, results of operations for the three months ended March 31, 2018 and 2017, and cash flows for the three months ended March 31, 2018 and 2017. These interim periods are not necessarily indicative of the results to be expected for any other interim period or the full year.</w:t>
      </w:r>
    </w:p>
    <w:p>
      <w:pPr>
        <w:spacing w:after="0" w:line="165" w:lineRule="exact"/>
        <w:rPr>
          <w:sz w:val="20"/>
          <w:szCs w:val="20"/>
          <w:color w:val="auto"/>
        </w:rPr>
      </w:pPr>
    </w:p>
    <w:p>
      <w:pPr>
        <w:ind w:right="400" w:firstLine="518"/>
        <w:spacing w:after="0" w:line="286" w:lineRule="auto"/>
        <w:rPr>
          <w:sz w:val="20"/>
          <w:szCs w:val="20"/>
          <w:color w:val="auto"/>
        </w:rPr>
      </w:pPr>
      <w:r>
        <w:rPr>
          <w:rFonts w:ascii="Arial" w:cs="Arial" w:eastAsia="Arial" w:hAnsi="Arial"/>
          <w:sz w:val="17"/>
          <w:szCs w:val="17"/>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2018, there have been no material changes in the Company's significant accounting policies from those that were disclosed in the 2017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920"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accounts of CarGurus, Inc. and its wholly-owned subsidiaries. All intercompany balances and transactions have been eliminated in consolidation. The Company prepares its Unaudited Condensed Consolidated Financial Statements and related disclosures in conformity with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those disclosed in this Quarterly Report on Form 10-Q.</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1" w:lineRule="exact"/>
        <w:rPr>
          <w:sz w:val="20"/>
          <w:szCs w:val="20"/>
          <w:color w:val="auto"/>
        </w:rPr>
      </w:pPr>
    </w:p>
    <w:p>
      <w:pPr>
        <w:ind w:right="20" w:firstLine="518"/>
        <w:spacing w:after="0" w:line="219" w:lineRule="exact"/>
        <w:rPr>
          <w:sz w:val="20"/>
          <w:szCs w:val="20"/>
          <w:color w:val="auto"/>
        </w:rPr>
      </w:pPr>
      <w:r>
        <w:rPr>
          <w:rFonts w:ascii="Arial" w:cs="Arial" w:eastAsia="Arial" w:hAnsi="Arial"/>
          <w:sz w:val="18"/>
          <w:szCs w:val="18"/>
          <w:color w:val="auto"/>
        </w:rPr>
        <w:t>Significant estimates relied upon in preparing these Unaudited Condensed Consolidated Financial Statements include revenue recognition and revenue reserves, contingent liabilities, allowances for doubtful accounts, expected future cash flows used to evaluate the recoverability of long</w:t>
      </w:r>
      <w:r>
        <w:rPr>
          <w:rFonts w:ascii="MS PGothic" w:cs="MS PGothic" w:eastAsia="MS PGothic" w:hAnsi="MS PGothic"/>
          <w:sz w:val="18"/>
          <w:szCs w:val="18"/>
          <w:color w:val="auto"/>
        </w:rPr>
        <w:t>‑</w:t>
      </w:r>
      <w:r>
        <w:rPr>
          <w:rFonts w:ascii="Arial" w:cs="Arial" w:eastAsia="Arial" w:hAnsi="Arial"/>
          <w:sz w:val="18"/>
          <w:szCs w:val="18"/>
          <w:color w:val="auto"/>
        </w:rPr>
        <w:t>lived assets,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determination of the fair value of stock awards issued prior to the initial public offering (“IPO”),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 the recoverability of the Company’s net deferred tax assets and related valuation allowance.</w:t>
      </w:r>
    </w:p>
    <w:p>
      <w:pPr>
        <w:spacing w:after="0" w:line="206"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firstLine="518"/>
        <w:spacing w:after="0" w:line="217" w:lineRule="exact"/>
        <w:rPr>
          <w:sz w:val="20"/>
          <w:szCs w:val="20"/>
          <w:color w:val="auto"/>
        </w:rPr>
      </w:pPr>
      <w:r>
        <w:rPr>
          <w:rFonts w:ascii="Arial" w:cs="Arial" w:eastAsia="Arial" w:hAnsi="Arial"/>
          <w:sz w:val="16"/>
          <w:szCs w:val="16"/>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the IPO or such earlier time that it is no longer an emerging growth company. The Company would cease to be an emerging growth company if it has more than $1.07 billion in annual revenue, has more than $700.0 million in market value of its stock held by non</w:t>
      </w:r>
      <w:r>
        <w:rPr>
          <w:rFonts w:ascii="MS PGothic" w:cs="MS PGothic" w:eastAsia="MS PGothic" w:hAnsi="MS PGothic"/>
          <w:sz w:val="16"/>
          <w:szCs w:val="16"/>
          <w:color w:val="auto"/>
        </w:rPr>
        <w:t>‑</w:t>
      </w:r>
      <w:r>
        <w:rPr>
          <w:rFonts w:ascii="Arial" w:cs="Arial" w:eastAsia="Arial" w:hAnsi="Arial"/>
          <w:sz w:val="16"/>
          <w:szCs w:val="16"/>
          <w:color w:val="auto"/>
        </w:rPr>
        <w:t>affiliates (and it has been a public company for at least 12 months, and has filed one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it issues more than $1.0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securities over a three</w:t>
      </w:r>
      <w:r>
        <w:rPr>
          <w:rFonts w:ascii="MS PGothic" w:cs="MS PGothic" w:eastAsia="MS PGothic" w:hAnsi="MS PGothic"/>
          <w:sz w:val="16"/>
          <w:szCs w:val="16"/>
          <w:color w:val="auto"/>
        </w:rPr>
        <w:t>‑</w:t>
      </w:r>
      <w:r>
        <w:rPr>
          <w:rFonts w:ascii="Arial" w:cs="Arial" w:eastAsia="Arial" w:hAnsi="Arial"/>
          <w:sz w:val="16"/>
          <w:szCs w:val="16"/>
          <w:color w:val="auto"/>
        </w:rPr>
        <w:t>year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00" w:firstLine="518"/>
        <w:spacing w:after="0" w:line="219"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20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the three months ended March 31, 2018 and the year ended December 31, 2017, no individual customer accounted for more than 10% of total revenue.</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March 31, 2018, two customers accounted for 23% and 10% of net accounts receivable, respectively. As of December 31, 2017, two customers accounted for 29% and 17% of net accounts receivable, respectively. No other individual customer accounted for more than 10% of net accounts receivable at March 31, 2018 or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2014-09”), which modifies how all entities recognize revenue, and consolidates into one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(“ASC”) Topic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current guidance found in ASC Topic 605, and various other revenue accounting standards for specialized transactions and industries. ASU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The Company currently expects to adopt the standard using the modified retrospective method.</w:t>
      </w:r>
    </w:p>
    <w:p>
      <w:pPr>
        <w:spacing w:after="0" w:line="16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August 2015, the FASB issued ASU No. 2015-14, </w:t>
      </w:r>
      <w:r>
        <w:rPr>
          <w:rFonts w:ascii="Arial" w:cs="Arial" w:eastAsia="Arial" w:hAnsi="Arial"/>
          <w:sz w:val="18"/>
          <w:szCs w:val="18"/>
          <w:i w:val="1"/>
          <w:iCs w:val="1"/>
          <w:color w:val="auto"/>
        </w:rPr>
        <w:t>Revenue from Contracts with Customers (Topic 606): Deferral of Effective Date</w:t>
      </w:r>
      <w:r>
        <w:rPr>
          <w:rFonts w:ascii="Arial" w:cs="Arial" w:eastAsia="Arial" w:hAnsi="Arial"/>
          <w:sz w:val="18"/>
          <w:szCs w:val="18"/>
          <w:color w:val="auto"/>
        </w:rPr>
        <w:t xml:space="preserve"> (“ASU 2015-14”), which defers the effective date of ASU 2014-09 by one year. ASU 2014-09 is now effective for certain public entities for annual reporting periods beginning after December 15, 2017, including interim periods within those annual reporting periods. For all other entities, including emerging growth companies, the guidance in ASU 2014-09 is effective for annual reporting periods beginning after December 15, 2018, and interim reporting periods within annual reporting periods beginning after December 15, 2019. As an emerging growth company, the Company expects to adopt the standard effective January 1, 2019; however, if the Company ceases to be an emerging growth company as of December 31, 2018, the Company will be required to adopt the standard in the fourth quarter of 2018.</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developed an implementation plan to adopt this new guidance. As part of this plan, the Company is currently assessing the impact of the new guidance on its results of operations. Based on the Company’s procedures performed to date, nothing has come to its attention that would indicate that the adoption of ASU 2014-09 will have a material impact on its revenue recognition; however, further analysis is required and the Company will continue to evaluate the impact that this guidance will have on its financial statements and related disclosures throughout 2018. While the Company is still evaluating the impact that this guidance will have on its financial statements and related disclosures, the Company’s preliminary assessment is that there will be an impact relating to the accounting for costs to acquire a contract; however, the Company has yet to determine if the impact will be material. Under the standard, the Company will be required to capitalize certain costs, primarily commission expense to sales representatives, on its consolidated balance sheet and amortize such costs over the period of performance for the underlying customer contracts. The Company is still evaluating the impact of capitalizing costs to execute a contract.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certain public entities, the new standard is effective for interim and annual periods beginning on or after January 1, 2019, with early adoption permitted. For all other entities, including emerging growth companies, the new standard is effective for annual periods beginning after December 15, 2019, with early adoption permitted. The Company is evaluating the impact this guidance may have on its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Fair Value of Financial Instruments Including Cash, Cash Equivalents and Investments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three-level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11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62"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Level 3 — Model-derived valuations in which one or more significant inputs or significant value drivers are unobservable, including assumptions developed by the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 comparable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62"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 market expectations about those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amounts, including present value techniques, option pricing models, and excess earnings method.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 (replacement cost).</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tables present, for each of the fair value levels, the Company’s assets that are measured at fair value on a recurring basis at March 31, 2018 and at December 31,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At March 31, 2018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30,929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At December 31, 2017</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60,709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60,709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March 31, 2018 and December 31, 2017 had maturity dates of less than twelve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ind w:right="120" w:firstLine="518"/>
        <w:spacing w:after="0" w:line="259"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three months ended March 31, 2018 or the year ended December 31, 2017.</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7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investments as of March 31, 2018 and December 31, 2017.</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At March 31, 2018</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left="162"/>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left="201"/>
              <w:spacing w:after="0" w:line="133"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1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62,003</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center"/>
              <w:ind w:right="442"/>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8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1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cash, cash equivalents, and investments</w:t>
            </w:r>
          </w:p>
        </w:tc>
        <w:tc>
          <w:tcPr>
            <w:tcW w:w="1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142,003</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center"/>
              <w:ind w:right="442"/>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At December 31, 2017</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center"/>
              <w:ind w:left="162"/>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left="201"/>
              <w:spacing w:after="0" w:line="133"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1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center"/>
              <w:ind w:right="442"/>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8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1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cash, cash equivalents, and investments</w:t>
            </w:r>
          </w:p>
        </w:tc>
        <w:tc>
          <w:tcPr>
            <w:tcW w:w="1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137,709</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center"/>
              <w:ind w:right="442"/>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consists of the following:</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2"/>
                <w:szCs w:val="12"/>
                <w:color w:val="auto"/>
              </w:rPr>
            </w:pPr>
          </w:p>
        </w:tc>
        <w:tc>
          <w:tcPr>
            <w:tcW w:w="12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1"/>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Capitalized software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Website development costs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10,797</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FF0FC"/>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24,047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23,865</w:t>
            </w:r>
          </w:p>
        </w:tc>
        <w:tc>
          <w:tcPr>
            <w:tcW w:w="8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(7,872)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(7,302)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16,175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Depreciation and amortization expense on property and equipment for the three months ended March 31, 2018 and 2017 was $1,237 and $670,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Accrued expenses, accrued income taxes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accrued income taxes and other current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At</w:t>
            </w: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At</w:t>
            </w:r>
          </w:p>
        </w:tc>
      </w:tr>
      <w:tr>
        <w:trPr>
          <w:trHeight w:val="149"/>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Accrued bonuses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Accrued commissions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w w:val="93"/>
              </w:rPr>
              <w:t>Other accrued expenses, accrued income taxes and 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13,588</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Company’s lease obligations consist of various leases for office space in: Cambridge, Massachusetts; Detroit, Michigan; and Dublin, Ireland, with various lease terms through January 2024. The terms of the Company’s Massachusetts lease agreements provide for rental payments that increase on an annual basis. The Company recognizes rent expense on a straight-line basis over the lease period. The Company does not have any debt or material capital lease obligations as of March 31, 2018 and all of the Company’s property, equipment, and software have been purchased with cash with the exception of $188 of unpaid property and equipment costs as of March 31, 2018. The Company has no material long-term purchase obligations outstanding with any vendors or third parties.</w:t>
      </w:r>
    </w:p>
    <w:p>
      <w:pPr>
        <w:spacing w:after="0" w:line="193" w:lineRule="exact"/>
        <w:rPr>
          <w:sz w:val="20"/>
          <w:szCs w:val="20"/>
          <w:color w:val="auto"/>
        </w:rPr>
      </w:pPr>
    </w:p>
    <w:p>
      <w:pPr>
        <w:jc w:val="both"/>
        <w:ind w:right="480" w:firstLine="518"/>
        <w:spacing w:after="0" w:line="221" w:lineRule="exact"/>
        <w:rPr>
          <w:sz w:val="20"/>
          <w:szCs w:val="20"/>
          <w:color w:val="auto"/>
        </w:rPr>
      </w:pPr>
      <w:r>
        <w:rPr>
          <w:rFonts w:ascii="Arial" w:cs="Arial" w:eastAsia="Arial" w:hAnsi="Arial"/>
          <w:sz w:val="17"/>
          <w:szCs w:val="17"/>
          <w:color w:val="auto"/>
        </w:rPr>
        <w:t>At March 31, 2018 and December 31, 2017, restricted cash was $1,870 and $1,843,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two letters of credit related to the contractual provisions for the Company’s building lease security deposits. As of March 31, 2018 and December 31, 2017, the restricted cash is classified as a long</w:t>
      </w:r>
      <w:r>
        <w:rPr>
          <w:rFonts w:ascii="MS PGothic" w:cs="MS PGothic" w:eastAsia="MS PGothic" w:hAnsi="MS PGothic"/>
          <w:sz w:val="17"/>
          <w:szCs w:val="17"/>
          <w:color w:val="auto"/>
        </w:rPr>
        <w:t>‑</w:t>
      </w:r>
      <w:r>
        <w:rPr>
          <w:rFonts w:ascii="Arial" w:cs="Arial" w:eastAsia="Arial" w:hAnsi="Arial"/>
          <w:sz w:val="17"/>
          <w:szCs w:val="17"/>
          <w:color w:val="auto"/>
        </w:rPr>
        <w:t>term asset.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from time to time, is party to litigation arising in the ordinary course of business. Management does not believe that the outcome of these claims will have a material adverse effect on the consolidated financial position, results of operations or cash flows of the Company based on the status of proceedings at this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the ordinary course of business, the Company enters into agreements with its customers that are consistent with industry practice with respect to licensing, infringement, indemnification, and other standard provisions. The Company does not, in the ordinary course, agree to indemnification obligations for the Company under its contracts with customers. Based on historical experience and information known at March 31, 2018 and December 31, 2017, the Company has not incurred any costs for guarantees or indemnities.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For the three months ended March 31, 2018 and 2017, total stock-based compensation expense was $3,818 and $76, respectively. The following two tables show stock compensation expense by award type and where the stock compensation expense is recorded in the Company’s Unaudited Condensed Consolidated Income Statements:</w:t>
      </w:r>
    </w:p>
    <w:p>
      <w:pPr>
        <w:spacing w:after="0" w:line="186"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Three Months Ended</w:t>
      </w:r>
    </w:p>
    <w:p>
      <w:pPr>
        <w:jc w:val="center"/>
        <w:ind w:left="53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RSUs</w:t>
            </w:r>
          </w:p>
        </w:tc>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3,818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00" w:type="dxa"/>
            <w:vAlign w:val="bottom"/>
            <w:vMerge w:val="restart"/>
          </w:tcPr>
          <w:p>
            <w:pPr>
              <w:jc w:val="right"/>
              <w:ind w:right="1270"/>
              <w:spacing w:after="0"/>
              <w:rPr>
                <w:sz w:val="20"/>
                <w:szCs w:val="20"/>
                <w:color w:val="auto"/>
              </w:rPr>
            </w:pPr>
            <w:r>
              <w:rPr>
                <w:rFonts w:ascii="Arial" w:cs="Arial" w:eastAsia="Arial" w:hAnsi="Arial"/>
                <w:sz w:val="18"/>
                <w:szCs w:val="18"/>
                <w:color w:val="auto"/>
              </w:rPr>
              <w:t>11</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4" w:name="page15"/>
    <w:bookmarkEnd w:id="14"/>
    <w:p>
      <w:pPr>
        <w:jc w:val="center"/>
        <w:ind w:left="5380"/>
        <w:spacing w:after="0"/>
        <w:rPr>
          <w:sz w:val="20"/>
          <w:szCs w:val="20"/>
          <w:color w:val="auto"/>
        </w:rPr>
      </w:pPr>
      <w:r>
        <w:rPr>
          <w:rFonts w:ascii="Arial" w:cs="Arial" w:eastAsia="Arial" w:hAnsi="Arial"/>
          <w:sz w:val="14"/>
          <w:szCs w:val="14"/>
          <w:b w:val="1"/>
          <w:bCs w:val="1"/>
          <w:color w:val="auto"/>
        </w:rPr>
        <w:t>Three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42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1,661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3,818</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Excluded from stock-based compensation expense is $149 of capitalized website development costs in the three months ended March 31, 2018. Stock-based compensation expenses related to capitalized website development costs were immaterial in the three months ended March 31,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Net income per share for the three months ended March 31, 2018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 The weighted-average number of common shares outstanding for the three months ended March 31, 2018 also includes restricted stock units (“RSUs”) that vested as of March 31, 2018 but did not settle and become outstanding until after the reporting period pursuant to settlement terms under the grant agreements governing such RSUs. The Company has included these RSUs in the weighted-average number of shares outstanding for the three months ended March 31, 2018 as all vesting conditions had been met and there were no longer circumstances in which those shares would not be issued.</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Net income per share for the three months ended March 31, 2017 is computed using the two-class method, which includes the weighted-average number of shares of common stock outstanding during the period and other securities that participate in dividends (a participating security). As of March 31, 2017, the Company had convertible preferred stock outstanding. The Company considers the convertible preferred stock to be participating securities because they include rights to participate in dividends with the common stock. On October 16, 2017, in connection with the closing of the IPO, all of the outstanding shares of convertible preferred stock automatically converted into 20,188,226 shares of Class A common stock and 40,376,452 shares of Class B common stock. As a result, there were no shares of preferred stock outstanding at the closing of the IPO and the Company has not issued any new shares of preferred stock since such closing.</w:t>
      </w:r>
    </w:p>
    <w:p>
      <w:pPr>
        <w:spacing w:after="0" w:line="18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Diluted net income per share attributable to common stockholders is computed using the more dilutive of (1) the two-class method or (2) the if-converted method. The Company allocated net income first to preferred stockholders based on dividend rights under the Company’s certificate of incorporation that was in effect prior to the closing of the IPO and then to preferred and common stockholders based on ownership interests.</w:t>
      </w:r>
    </w:p>
    <w:p>
      <w:pPr>
        <w:spacing w:after="0" w:line="188" w:lineRule="exact"/>
        <w:rPr>
          <w:sz w:val="20"/>
          <w:szCs w:val="20"/>
          <w:color w:val="auto"/>
        </w:rPr>
      </w:pPr>
    </w:p>
    <w:p>
      <w:pPr>
        <w:ind w:right="100" w:firstLine="518"/>
        <w:spacing w:after="0" w:line="218" w:lineRule="exact"/>
        <w:rPr>
          <w:sz w:val="20"/>
          <w:szCs w:val="20"/>
          <w:color w:val="auto"/>
        </w:rPr>
      </w:pPr>
      <w:r>
        <w:rPr>
          <w:rFonts w:ascii="Arial" w:cs="Arial" w:eastAsia="Arial" w:hAnsi="Arial"/>
          <w:sz w:val="17"/>
          <w:szCs w:val="17"/>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basis when computing net income per share. As a result, basic and diluted net income per share of Class A common stock and share of Class B common stock are equivalent.</w:t>
      </w:r>
    </w:p>
    <w:p>
      <w:pPr>
        <w:spacing w:after="0" w:line="206"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three months ended March 31 2018, holders of Class B common stock elected to convert 7,534,710 shares of Class B common stock to Class A common stock.</w:t>
      </w:r>
    </w:p>
    <w:p>
      <w:pPr>
        <w:spacing w:after="0" w:line="17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Diluted net income per share gives effect to all potentially dilutive securities. Potential dilutive securities for the three months ended March 31, 2018 and 2017 consist of shares of common stock issuable upon the exercise of stock options and shares of common stock issuable upon the vesting of RSUs. Potential dilutive securities for the three months ended March 31, 2017 also included shares of common stock issuable upon the conversion of the outstanding preferred stock. The dilutive effect of these common stock equivalents is reflected in diluted earnings per share by application of the treasury stock method.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5" w:name="page16"/>
    <w:bookmarkEnd w:id="15"/>
    <w:p>
      <w:pPr>
        <w:ind w:right="120" w:firstLine="518"/>
        <w:spacing w:after="0" w:line="220" w:lineRule="exact"/>
        <w:rPr>
          <w:sz w:val="20"/>
          <w:szCs w:val="20"/>
          <w:color w:val="auto"/>
        </w:rPr>
      </w:pPr>
      <w:r>
        <w:rPr>
          <w:rFonts w:ascii="Arial" w:cs="Arial" w:eastAsia="Arial" w:hAnsi="Arial"/>
          <w:sz w:val="18"/>
          <w:szCs w:val="18"/>
          <w:color w:val="auto"/>
        </w:rPr>
        <w:t>For the three months ended March 31, 2018, dilutive net income per share is calculated by dividing net income by the weighted-average number of shares of common stock outstanding during the period plus the dilutive impact of stock options and shares of common stock issuable upon the vesting of RSUs. For the three months ended March 31, 2017, the two</w:t>
      </w:r>
      <w:r>
        <w:rPr>
          <w:rFonts w:ascii="MS PGothic" w:cs="MS PGothic" w:eastAsia="MS PGothic" w:hAnsi="MS PGothic"/>
          <w:sz w:val="18"/>
          <w:szCs w:val="18"/>
          <w:color w:val="auto"/>
        </w:rPr>
        <w:t>‑</w:t>
      </w:r>
      <w:r>
        <w:rPr>
          <w:rFonts w:ascii="Arial" w:cs="Arial" w:eastAsia="Arial" w:hAnsi="Arial"/>
          <w:sz w:val="18"/>
          <w:szCs w:val="18"/>
          <w:color w:val="auto"/>
        </w:rPr>
        <w:t>class method was used in the computation of diluted net income per share, which was equally as dilutive as the if-converted method.</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24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3,651</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6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8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3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3"/>
        </w:trPr>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 stock used in computing net</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per share attributable to common stockholders — basic</w:t>
            </w:r>
          </w:p>
        </w:tc>
        <w:tc>
          <w:tcPr>
            <w:tcW w:w="8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106,942,799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42,081,960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60"/>
              <w:spacing w:after="0"/>
              <w:rPr>
                <w:sz w:val="20"/>
                <w:szCs w:val="20"/>
                <w:color w:val="auto"/>
              </w:rPr>
            </w:pPr>
            <w:r>
              <w:rPr>
                <w:rFonts w:ascii="Arial" w:cs="Arial" w:eastAsia="Arial" w:hAnsi="Arial"/>
                <w:sz w:val="18"/>
                <w:szCs w:val="18"/>
                <w:color w:val="auto"/>
              </w:rPr>
              <w:t>Dilutive effect of share equivalents resulting from stock</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options</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4,772,154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4,185,592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effect of share equivalents resulting from unvested restricted stock units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1,626,355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260"/>
              <w:spacing w:after="0"/>
              <w:rPr>
                <w:sz w:val="20"/>
                <w:szCs w:val="20"/>
                <w:color w:val="auto"/>
              </w:rPr>
            </w:pPr>
            <w:r>
              <w:rPr>
                <w:rFonts w:ascii="Arial" w:cs="Arial" w:eastAsia="Arial" w:hAnsi="Arial"/>
                <w:sz w:val="18"/>
                <w:szCs w:val="18"/>
                <w:color w:val="auto"/>
              </w:rPr>
              <w:t>Weighted-average number of shares of common stock used in computing</w:t>
            </w:r>
          </w:p>
        </w:tc>
        <w:tc>
          <w:tcPr>
            <w:tcW w:w="8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net income per share — diluted</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113,341,308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46,267,552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There were no anti-dilutive securities for the three months ended March 31, 2018. The following potentially dilutive common stock equivalents have been excluded from the calculation of diluted weighted-average shares outstanding for the three months ended March 31, 2017, as their effect would have been anti-dilutive for the period presented:</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844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56"/>
        </w:trPr>
        <w:tc>
          <w:tcPr>
            <w:tcW w:w="844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1,246,884</w:t>
            </w:r>
          </w:p>
        </w:tc>
        <w:tc>
          <w:tcPr>
            <w:tcW w:w="12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720" w:type="dxa"/>
            <w:vAlign w:val="bottom"/>
          </w:tcPr>
          <w:p>
            <w:pPr>
              <w:jc w:val="right"/>
              <w:spacing w:after="0"/>
              <w:rPr>
                <w:sz w:val="20"/>
                <w:szCs w:val="20"/>
                <w:color w:val="auto"/>
              </w:rPr>
            </w:pPr>
            <w:r>
              <w:rPr>
                <w:rFonts w:ascii="Arial" w:cs="Arial" w:eastAsia="Arial" w:hAnsi="Arial"/>
                <w:sz w:val="18"/>
                <w:szCs w:val="18"/>
                <w:color w:val="auto"/>
              </w:rPr>
              <w:t>1,973,694</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Tax Cuts and Jobs Act (the “TCJA”) was enacted on December 22, 2017. Among other things, the TCJA reduces the U.S. federal corporate tax rate from 35% to 21%, requires companies to pay a one-time transition tax on earnings of certain foreign subsidiaries that were previously tax deferred, and creates new taxes on certain foreign sourced earnings. The Company is still examining certain aspects of the TCJA and refining its calculations, which could potentially affect the measurement of these balances or potentially give rise to new deferred tax amounts. The Company recorded a provisional amount of $187 of tax expense during the year ended December 31, 2017. The Company recorded an additional $205 of tax expense during the three months ended March 31, 2018 pertaining to a change in the estimated impact of the re-measurement of the Company’s U.S. net deferred tax assets.</w:t>
      </w:r>
    </w:p>
    <w:p>
      <w:pPr>
        <w:spacing w:after="0" w:line="205"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During the three months ended March 31, 2018, the Company recorded income tax expense of $553, representing an effective tax rate of 13.1%. The effective tax rate for the three months ended March 31, 2018 was lower than the statutory tax rate of 21% principally due to federal and state research and development tax credits and excess stock deductions from the taxable compensation of share-based awards, partially offset by state and local income taxes.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firstLine="518"/>
        <w:spacing w:after="0" w:line="264" w:lineRule="auto"/>
        <w:rPr>
          <w:sz w:val="20"/>
          <w:szCs w:val="20"/>
          <w:color w:val="auto"/>
        </w:rPr>
      </w:pPr>
      <w:r>
        <w:rPr>
          <w:rFonts w:ascii="Arial" w:cs="Arial" w:eastAsia="Arial" w:hAnsi="Arial"/>
          <w:sz w:val="18"/>
          <w:szCs w:val="18"/>
          <w:color w:val="auto"/>
        </w:rPr>
        <w:t>During the three months ended March 31, 2017, the Company recorded income tax expense of $2,341, representing an effective tax rate of 35.7%. The effective tax rate for the three months ended March 31, 2017 was higher than the statutory tax rate of 35% principally due to state and local income taxes, partially offset by federal and state research and development tax credits.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121"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are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30"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496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2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95,167</w:t>
            </w:r>
          </w:p>
        </w:tc>
        <w:tc>
          <w:tcPr>
            <w:tcW w:w="24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65,418</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2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10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98,701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67,035</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4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2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11,585</w:t>
            </w:r>
          </w:p>
        </w:tc>
        <w:tc>
          <w:tcPr>
            <w:tcW w:w="24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2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(7,663)</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(5,744)</w:t>
            </w:r>
          </w:p>
        </w:tc>
      </w:tr>
      <w:tr>
        <w:trPr>
          <w:trHeight w:val="223"/>
        </w:trPr>
        <w:tc>
          <w:tcPr>
            <w:tcW w:w="496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2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and December 31, 2017, property and equipment held outside the United States was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As of March 31, 2018, the Company had approximately 945 thousand vested RSUs outstanding. All RSUs granted by the Company prior to the IPO were granted pursuant to grant agreements that provided that the RSUs would not settle and be issued until 180 days after the completion of an IPO. As a result, on April 10, 2018, 180 days after the completion of the IPO, all previously vested RSUs converted into issued and outstanding shares of the Company’s Class A common stock. In addition, on April 10, 2018, the lock-up agreements entered into by shareholders of the Company in connection with the IPO which restricted them from selling shares of the Company’s stock expired.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2017, filed with the Securities and Exchange Commission, or SEC, on March 1, 2018, or our 2017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80" w:firstLine="518"/>
        <w:spacing w:after="0" w:line="219"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and Italy.</w:t>
      </w:r>
    </w:p>
    <w:p>
      <w:pPr>
        <w:spacing w:after="0" w:line="206" w:lineRule="exact"/>
        <w:rPr>
          <w:sz w:val="20"/>
          <w:szCs w:val="20"/>
          <w:color w:val="auto"/>
        </w:rPr>
      </w:pPr>
    </w:p>
    <w:p>
      <w:pPr>
        <w:ind w:right="600" w:firstLine="518"/>
        <w:spacing w:after="0" w:line="264" w:lineRule="auto"/>
        <w:rPr>
          <w:sz w:val="20"/>
          <w:szCs w:val="20"/>
          <w:color w:val="auto"/>
        </w:rPr>
      </w:pPr>
      <w:r>
        <w:rPr>
          <w:rFonts w:ascii="Arial" w:cs="Arial" w:eastAsia="Arial" w:hAnsi="Arial"/>
          <w:sz w:val="18"/>
          <w:szCs w:val="18"/>
          <w:color w:val="auto"/>
        </w:rPr>
        <w:t>We generate marketplace subscription revenue from dealers through Listing and Dealer Display subscriptions, and advertising revenue from automobile manufacturers and other auto-related brand advertisers. Our revenue for the three months ended March 31, 2018 was $98.7 million, a 47% increase from $67.0 million of revenue in the three months ended March 31, 2017.</w:t>
      </w:r>
    </w:p>
    <w:p>
      <w:pPr>
        <w:spacing w:after="0" w:line="181"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For the three months ended March 31, 2018, we generated net income of $3.7 million and our Adjusted EBITDA was $9.0 million, compared to net income of $4.2 million and Adjusted EBITDA of $7.1 million for the three months ended March 31, 2017. See “Adjusted EBITDA” below for more information regarding our use of Adjusted EBITDA, a non-GAAP financial measure, and a reconciliation of Adjusted EBITDA to our net income.</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have two reportable segments, United States and International, as further discussed in Note 10 of our Unaudited Condensed Consolidated Financial Statements included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will likely perform differently from the United States market due to a variety of factors, including our operating history in the market, our rate of investment, market size, market maturity, and other dynamics unique to each country.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23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a website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3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device and ending at the earliest of when a user closes their browser window, after 30 minutes of inactivity, or at midnight Eastern Time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 paying dealer is a dealer, based on a distinct associated inventory feed, that subscribes to our Enhanced or Featured Listing product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Number of Paying Dealers</w:t>
            </w: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At March 31,</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2760" w:type="dxa"/>
            <w:vAlign w:val="bottom"/>
            <w:gridSpan w:val="2"/>
          </w:tcPr>
          <w:p>
            <w:pPr>
              <w:spacing w:after="0"/>
              <w:rPr>
                <w:sz w:val="13"/>
                <w:szCs w:val="13"/>
                <w:color w:val="auto"/>
              </w:rPr>
            </w:pPr>
          </w:p>
        </w:tc>
        <w:tc>
          <w:tcPr>
            <w:tcW w:w="108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International</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29,026</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23,429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20" w:type="dxa"/>
            <w:vAlign w:val="bottom"/>
          </w:tcPr>
          <w:p>
            <w:pPr>
              <w:jc w:val="right"/>
              <w:ind w:right="12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Average Annual Revenue per</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March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Subscribing Dealer (AARSD)</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International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5,045</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18"/>
        <w:spacing w:after="0" w:line="221"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GAAP and is not necessarily comparable to similarly titled measures presented by other companies.</w:t>
      </w:r>
    </w:p>
    <w:p>
      <w:pPr>
        <w:spacing w:after="0" w:line="202" w:lineRule="exact"/>
        <w:rPr>
          <w:sz w:val="20"/>
          <w:szCs w:val="20"/>
          <w:color w:val="auto"/>
        </w:rPr>
      </w:pPr>
    </w:p>
    <w:p>
      <w:pPr>
        <w:ind w:right="20" w:firstLine="518"/>
        <w:spacing w:after="0" w:line="219" w:lineRule="exact"/>
        <w:rPr>
          <w:sz w:val="20"/>
          <w:szCs w:val="20"/>
          <w:color w:val="auto"/>
        </w:rPr>
      </w:pPr>
      <w:r>
        <w:rPr>
          <w:rFonts w:ascii="Arial" w:cs="Arial" w:eastAsia="Arial" w:hAnsi="Arial"/>
          <w:sz w:val="17"/>
          <w:szCs w:val="17"/>
          <w:color w:val="auto"/>
        </w:rPr>
        <w:t>We define Adjusted EBITDA as net income,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other (income), net, the provision for income taxes, and certain one</w:t>
      </w:r>
      <w:r>
        <w:rPr>
          <w:rFonts w:ascii="MS PGothic" w:cs="MS PGothic" w:eastAsia="MS PGothic" w:hAnsi="MS PGothic"/>
          <w:sz w:val="17"/>
          <w:szCs w:val="17"/>
          <w:color w:val="auto"/>
        </w:rPr>
        <w:t>‑</w:t>
      </w:r>
      <w:r>
        <w:rPr>
          <w:rFonts w:ascii="Arial" w:cs="Arial" w:eastAsia="Arial" w:hAnsi="Arial"/>
          <w:sz w:val="17"/>
          <w:szCs w:val="17"/>
          <w:color w:val="auto"/>
        </w:rPr>
        <w:t>time, non</w:t>
      </w:r>
      <w:r>
        <w:rPr>
          <w:rFonts w:ascii="MS PGothic" w:cs="MS PGothic" w:eastAsia="MS PGothic" w:hAnsi="MS PGothic"/>
          <w:sz w:val="17"/>
          <w:szCs w:val="17"/>
          <w:color w:val="auto"/>
        </w:rPr>
        <w:t>‑</w:t>
      </w:r>
      <w:r>
        <w:rPr>
          <w:rFonts w:ascii="Arial" w:cs="Arial" w:eastAsia="Arial" w:hAnsi="Arial"/>
          <w:sz w:val="17"/>
          <w:szCs w:val="17"/>
          <w:color w:val="auto"/>
        </w:rPr>
        <w:t>recurring items, if and when applicable. We have presented Adjusted EBITDA 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ind w:right="220" w:firstLine="518"/>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3" w:lineRule="exact"/>
        <w:rPr>
          <w:sz w:val="20"/>
          <w:szCs w:val="20"/>
          <w:color w:val="auto"/>
        </w:rPr>
      </w:pPr>
    </w:p>
    <w:p>
      <w:pPr>
        <w:ind w:left="1280" w:hanging="759"/>
        <w:spacing w:after="0" w:line="223" w:lineRule="exact"/>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108" w:lineRule="exact"/>
        <w:rPr>
          <w:rFonts w:ascii="Arial" w:cs="Arial" w:eastAsia="Arial" w:hAnsi="Arial"/>
          <w:sz w:val="18"/>
          <w:szCs w:val="18"/>
          <w:color w:val="auto"/>
        </w:rPr>
      </w:pPr>
    </w:p>
    <w:p>
      <w:pPr>
        <w:ind w:left="1280" w:right="80" w:hanging="759"/>
        <w:spacing w:after="0" w:line="223" w:lineRule="exact"/>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08" w:lineRule="exact"/>
        <w:rPr>
          <w:rFonts w:ascii="Arial" w:cs="Arial" w:eastAsia="Arial" w:hAnsi="Arial"/>
          <w:sz w:val="18"/>
          <w:szCs w:val="18"/>
          <w:color w:val="auto"/>
        </w:rPr>
      </w:pPr>
    </w:p>
    <w:p>
      <w:pPr>
        <w:ind w:left="1280" w:right="140" w:hanging="759"/>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requirements necessary to service interest, which reduces cash available to us;</w:t>
      </w:r>
    </w:p>
    <w:p>
      <w:pPr>
        <w:spacing w:after="0" w:line="75" w:lineRule="exact"/>
        <w:rPr>
          <w:rFonts w:ascii="Arial" w:cs="Arial" w:eastAsia="Arial" w:hAnsi="Arial"/>
          <w:sz w:val="18"/>
          <w:szCs w:val="18"/>
          <w:color w:val="auto"/>
        </w:rPr>
      </w:pPr>
    </w:p>
    <w:p>
      <w:pPr>
        <w:ind w:left="1280" w:hanging="75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or tax benefits that reduce cash available to us; and</w:t>
      </w:r>
    </w:p>
    <w:p>
      <w:pPr>
        <w:spacing w:after="0" w:line="130" w:lineRule="exact"/>
        <w:rPr>
          <w:rFonts w:ascii="Arial" w:cs="Arial" w:eastAsia="Arial" w:hAnsi="Arial"/>
          <w:sz w:val="18"/>
          <w:szCs w:val="18"/>
          <w:color w:val="auto"/>
        </w:rPr>
      </w:pPr>
    </w:p>
    <w:p>
      <w:pPr>
        <w:ind w:left="1280" w:right="540" w:hanging="759"/>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0" w:name="page21"/>
    <w:bookmarkEnd w:id="20"/>
    <w:p>
      <w:pPr>
        <w:ind w:right="560" w:firstLine="518"/>
        <w:spacing w:after="0" w:line="264"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 The following table presents a reconciliation of Adjusted EBITDA to net income, the most directly comparable measure calculated in accordance with GAAP, for each of the periods presented.</w:t>
      </w:r>
    </w:p>
    <w:p>
      <w:pPr>
        <w:spacing w:after="0" w:line="18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040" w:type="dxa"/>
            <w:vAlign w:val="bottom"/>
            <w:tcBorders>
              <w:top w:val="single" w:sz="8" w:color="auto"/>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revenue is derived from two primary sources: (i) marketplace subscription revenue and (ii) advertising and other revenue, as described below.</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ind w:right="340" w:firstLine="518"/>
        <w:spacing w:after="0" w:line="276" w:lineRule="auto"/>
        <w:rPr>
          <w:sz w:val="20"/>
          <w:szCs w:val="20"/>
          <w:color w:val="auto"/>
        </w:rPr>
      </w:pPr>
      <w:r>
        <w:rPr>
          <w:rFonts w:ascii="Arial" w:cs="Arial" w:eastAsia="Arial" w:hAnsi="Arial"/>
          <w:sz w:val="17"/>
          <w:szCs w:val="17"/>
          <w:color w:val="auto"/>
        </w:rPr>
        <w:t>We offer three types of marketplace Listing products to our dealers: Basic Listing, which is free; and Enhanced and Featured Listings, which each require a paid subscription under a monthly, quarterly, semiannual, or annual subscription basis. Subscription pricing is determined based on a dealer’s inventory size, region, and our assessment of the connections and ROI our platform will provide to it. We also offer Listing dealers access to our Dealer Dashboard, which includes a performance summary, Dealer Insights tool, user review management platform, Pricing Tool, and Market Analysis tool. The Pricing Tool and Market Analysis tool are available only to paying dealers.</w:t>
      </w:r>
    </w:p>
    <w:p>
      <w:pPr>
        <w:spacing w:after="0" w:line="173"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In addition to listing their inventory in our marketplace and providing them access to our Dealer Dashboard, we offer Enhanced and Featured Listing dealers other subscription advertising and customer acquisition products, including display advertising that appears in our marketplace and on other sites on the internet, which can be targeted by geography, search history, and a number of other factors, and SEM Plus, which helps dealers more effectively acquire customers through paid search, social media, and retargeted advertising.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Marketplace subscription revenue is recognized on a monthly basis as the service is delivered to the dealer.</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advertisers sold on a CPM basis, we also have advertisers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costs that qualify for capitalization, research and development costs are expensed as incurred. We expect product, technology, and development expenses to increase as we develop new solutions and make improvements to our existing platform.</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continue to incur the costs of compliance associated with being a publicly traded company, including legal, audit, and consulting fees.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leasehold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interest expense on lease obligations,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recorded a provision for income taxes for the three months ended March 31, 2018 and 2017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March 31, 2018 or December 31, 2017.</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76"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390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89,286</w:t>
            </w:r>
          </w:p>
        </w:tc>
        <w:tc>
          <w:tcPr>
            <w:tcW w:w="140" w:type="dxa"/>
            <w:vAlign w:val="bottom"/>
          </w:tcPr>
          <w:p>
            <w:pPr>
              <w:spacing w:after="0"/>
              <w:rPr>
                <w:sz w:val="19"/>
                <w:szCs w:val="19"/>
                <w:color w:val="auto"/>
              </w:rPr>
            </w:pP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60,172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30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98,701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93,132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71,508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0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89,210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30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30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0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3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900" w:type="dxa"/>
            <w:vAlign w:val="bottom"/>
            <w:gridSpan w:val="2"/>
            <w:shd w:val="clear" w:color="auto" w:fill="CFF0FC"/>
          </w:tcPr>
          <w:p>
            <w:pPr>
              <w:jc w:val="right"/>
              <w:ind w:right="70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95,167</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30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98,701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67,035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900" w:type="dxa"/>
            <w:vAlign w:val="bottom"/>
            <w:gridSpan w:val="2"/>
            <w:shd w:val="clear" w:color="auto" w:fill="CFF0FC"/>
          </w:tcPr>
          <w:p>
            <w:pPr>
              <w:jc w:val="right"/>
              <w:ind w:right="70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11,585</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(5,744)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40" w:type="dxa"/>
            <w:vAlign w:val="bottom"/>
            <w:vMerge w:val="restart"/>
          </w:tcPr>
          <w:p>
            <w:pPr>
              <w:jc w:val="right"/>
              <w:ind w:right="175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3" w:name="page24"/>
    <w:bookmarkEnd w:id="23"/>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53"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net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5"/>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gridSpan w:val="3"/>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March 31, 2018 and 2017</w:t>
            </w: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Ended March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60" w:type="dxa"/>
            <w:vAlign w:val="bottom"/>
            <w:gridSpan w:val="9"/>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0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89,286</w:t>
            </w:r>
          </w:p>
        </w:tc>
        <w:tc>
          <w:tcPr>
            <w:tcW w:w="22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60,172</w:t>
            </w:r>
          </w:p>
        </w:tc>
        <w:tc>
          <w:tcPr>
            <w:tcW w:w="2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29,114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98,701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31,666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80" w:type="dxa"/>
            <w:vAlign w:val="bottom"/>
            <w:gridSpan w:val="2"/>
          </w:tcPr>
          <w:p>
            <w:pPr>
              <w:jc w:val="right"/>
              <w:ind w:right="85"/>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ind w:left="520"/>
        <w:spacing w:after="0"/>
        <w:rPr>
          <w:sz w:val="20"/>
          <w:szCs w:val="20"/>
          <w:color w:val="auto"/>
        </w:rPr>
      </w:pPr>
      <w:r>
        <w:rPr>
          <w:rFonts w:ascii="Arial" w:cs="Arial" w:eastAsia="Arial" w:hAnsi="Arial"/>
          <w:sz w:val="16"/>
          <w:szCs w:val="16"/>
          <w:color w:val="auto"/>
        </w:rPr>
        <w:t>Overall revenue increased by $31.7 million, or 47%, in the three months ended March 31, 2018 compared to the three months ended March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48%, while advertising and other revenue grew by 37%.</w:t>
      </w:r>
    </w:p>
    <w:p>
      <w:pPr>
        <w:spacing w:after="0" w:line="2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Marketplace subscription revenue increased by $29.1 million in the three months ended March 31, 2018 compared to the three months ended March 31, 2017, and represented 90% of total revenue for both the three months ended March 31, 2018 and 2017. This increase in marketplace subscription revenue was attributable primarily to a 24% growth in the number of United States and International paying dealers, to 29,026 as of March 31, 2018 from 23,429 as of March 31, 2017, and to a 17% growth in our AARSD for United States dealers to $12,470 in the three months ended March 31, 2018 from $10,700 in the three months ended March 31, 2017. We believe that this increase in paying dealers was driven by the overall growth in the number of unique users to our websites and the efforts of our sales and marketing teams to subscribe dealers to our Enhanced and Featured Listing paid products.</w:t>
      </w:r>
    </w:p>
    <w:p>
      <w:pPr>
        <w:spacing w:after="0" w:line="16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Advertising and other revenue increased by $2.6 million in the three months ended March 31, 2018 compared to the three months ended March 31, 2017, and represented 10% of total revenue for both the three months ended March 31, 2018 and 2017. The increase in advertising and other revenue was due primarily to a 50% increase in the number of impressions delivered, which was partially offset by a 7% decrease in the average price per thousand impressions, in the three months ended March 31, 2018 compared to the three months ended March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4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95,167</w:t>
            </w:r>
          </w:p>
        </w:tc>
        <w:tc>
          <w:tcPr>
            <w:tcW w:w="22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65,418</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98,701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67,035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31,666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United States revenue increased $29.7 million, or 45%, in the three months ended March 31, 2018 compared to the three months ended March 31, 2017, due primarily to a 19% increase in the number of United States paying dealers and a 17% increase in AARSD for United States dealers.</w:t>
      </w:r>
    </w:p>
    <w:p>
      <w:pPr>
        <w:spacing w:after="0" w:line="12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International revenue increased $1.9 million in the three months ended March 31, 2018 compared to the three months ended March 31, 2017, due primarily to an increase in the number of International paying dealers. International paying dealers grew to 2,765 at March 31, 2018 from 1,348 at March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95"/>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gridSpan w:val="2"/>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5,569</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2,244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Cost of revenue increased $2.2 million, or 67%, in the three months ended March 31, 2018 compared to the three months ended March 31, 2017. The increase was due primarily to a $0.8 million increase in costs related to connecting consumers with dealers through a variety of methods, including phone calls, email, and managed text and chat, a $0.5 million increase in fees related to provisioning advertising campaigns on our websites, a $0.3 million increase for data center and hosting costs, a $0.3 million increase in amortization of website development costs and a $0.1 million increase in employee-related costs for our customer support team to support the growth in customers.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95"/>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gridSpan w:val="2"/>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71,508</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22,437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Sales and marketing expenses increased $22.4 million, or 46%, in the three months ended March 31, 2018 compared to the three months ended March 31, 2017. This increase was due primarily to an increase in advertising costs of $17.2 million, a $3.2 million increase in salaries, commissions, and related expenses resulting from our 24% increase in headcount, a $0.5 million increase in expenses related to marketing events and activities, and a $0.3 million increase in software subscriptions. This increase for the three months ended March 31, 2018 was also due in part to a $1.0 million increase in stock-based compensation expense primarily due to the recognition of expense related to restricted stock units, or RSUs. We did not recognize any stock-based compensation expense related to RSUs in the three months ended March 31, 2017 as the RSUs were subject to a performance condition which was satisfied upon the effectiveness of the registration statement for our initial public offering, or IPO, on October 11,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95"/>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gridSpan w:val="2"/>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9,098</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5,450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Product, technology, and development expenses increased $5.5 million, or 149%, in the three months ended March 31, 2018 compared to the three months ended March 31, 2017. The increase was due primarily to a $3.2 million increase in salaries and related employment expenses attributable to an 89% increase in headcount to support our growth and product innovations. This increase for the three months ended March 31, 2018 was also due in part to a $1.6 million increase in stock-based compensation expense related to RSUs.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95"/>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gridSpan w:val="2"/>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7,871</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3,812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General and administrative expenses increased $3.8 million, or 94%, in the three months ended March 31, 2018 compared to the three months ended March 31, 2017. The change primarily reflected an increase of $1.1 million of salaries and employee-related costs as a result of our 67% increase in headcount as we continued to grow our business and required additional personnel to support our expanded operations, a $0.7 million increase in external consulting and insurance fees driven by costs incurred to comply with public company requirements, a $0.4 million increase in payment processing and billing costs due to increased customer transactions with higher billings due to revenue growth, and a $0.2 million increase in bad debt expense. This increase for the three months ended March 31, 2018 was also due in part to a $1.0 million increase in stock-based compensation expense related to RSUs.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center"/>
              <w:ind w:right="302"/>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4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95"/>
              </w:rPr>
              <w:t>Ended March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5"/>
          </w:tcPr>
          <w:p>
            <w:pPr>
              <w:jc w:val="right"/>
              <w:ind w:right="228"/>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733</w:t>
            </w:r>
          </w:p>
        </w:tc>
        <w:tc>
          <w:tcPr>
            <w:tcW w:w="78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548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79"/>
              </w:rPr>
              <w:t>185</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Depreciation and amortization expenses increased $0.2 million, or 34%, in the three months ended March 31, 2018 compared to the three months ended March 31, 2017, due primarily to increased amortization of additional leasehold improvements.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95"/>
              </w:rPr>
              <w:t>Three Months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6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95"/>
              </w:rPr>
              <w:t>Ended March 31,</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40" w:type="dxa"/>
            <w:vAlign w:val="bottom"/>
            <w:gridSpan w:val="4"/>
          </w:tcPr>
          <w:p>
            <w:pPr>
              <w:jc w:val="right"/>
              <w:ind w:right="148"/>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34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282</w:t>
            </w:r>
          </w:p>
        </w:tc>
        <w:tc>
          <w:tcPr>
            <w:tcW w:w="8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164</w:t>
            </w:r>
          </w:p>
        </w:tc>
        <w:tc>
          <w:tcPr>
            <w:tcW w:w="9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79"/>
              </w:rPr>
              <w:t>118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Other income, net increased $0.1 million, or 72%, in the three months ended March 31, 2018 compared to the three months ended March 31, 2017, due primarily to the investment of cash in certificates of deposit and money market funds arising from our increased cash from operations and the funds raised in our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7"/>
              </w:rPr>
              <w:t>Ended March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0" w:type="dxa"/>
            <w:vAlign w:val="bottom"/>
            <w:gridSpan w:val="5"/>
          </w:tcPr>
          <w:p>
            <w:pPr>
              <w:jc w:val="right"/>
              <w:ind w:right="94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553</w:t>
            </w:r>
          </w:p>
        </w:tc>
        <w:tc>
          <w:tcPr>
            <w:tcW w:w="5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(1,788)</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provision for income taxes decreased $1.8 million in the three months ended March 31, 2018 compared to the three months ended March 31, 2017. For the three months ended March 31, 2018, we recorded a tax provision on earnings with an effective tax rate of 13.1% compared to 35.7% for the three months ended March 31, 2017. The decrease in our effective tax rate of 22.6% primarily resulted from the decrease in the federal statutory tax rate to 21.0% from 35.0% as a result of the Tax Cuts and Jobs Act enacted on December 22, 2017 and due to the increases in federal and state research credits in the three months ended March 31,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4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11,585</w:t>
            </w:r>
          </w:p>
        </w:tc>
        <w:tc>
          <w:tcPr>
            <w:tcW w:w="2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(1,919)</w:t>
            </w:r>
          </w:p>
        </w:tc>
        <w:tc>
          <w:tcPr>
            <w:tcW w:w="260" w:type="dxa"/>
            <w:vAlign w:val="bottom"/>
          </w:tcPr>
          <w:p>
            <w:pPr>
              <w:spacing w:after="0"/>
              <w:rPr>
                <w:sz w:val="19"/>
                <w:szCs w:val="19"/>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right="120" w:firstLine="518"/>
        <w:spacing w:after="0" w:line="264" w:lineRule="auto"/>
        <w:rPr>
          <w:sz w:val="20"/>
          <w:szCs w:val="20"/>
          <w:color w:val="auto"/>
        </w:rPr>
      </w:pPr>
      <w:r>
        <w:rPr>
          <w:rFonts w:ascii="Arial" w:cs="Arial" w:eastAsia="Arial" w:hAnsi="Arial"/>
          <w:sz w:val="18"/>
          <w:szCs w:val="18"/>
          <w:color w:val="auto"/>
        </w:rPr>
        <w:t>United States income from operations decreased $0.5 million, or 4%, in the three months ended March 31, 2018 compared to the three months ended March 31, 2017. This decrease was due to increases in cost of revenue of $2.1 million and operating expenses of $28.2 million, offset in part by the increase in revenue of $29.7 million.</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International loss from operations increased $1.9 million, or 33%, in the three months ended March 31, 2018 compared to the three months ended March 31, 2017. The increase in International loss from operations reflects our continued investment into international markets and expansion into new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3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At March 31, 2018 and December 31, 2017, our principal sources of liquidity were cash and cash equivalents of $62.0 million and $87.7 million, respectively and investments in certificates of deposit with terms of greater than 90 days but less than one year of $80.0 million and $50.0 million at March 31, 2018 and December 31, 2017, respectively.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Three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6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(31,015)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(3,947)</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foreign currency on cash</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r>
      <w:tr>
        <w:trPr>
          <w:trHeight w:val="20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(25,679)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operations were initially financed by a capitalization of approximately $5 million from external capital and subsequently have been financed primarily from operating activities, sales of preferred stock and our IPO. We generated cash from operating activities of $6.4 million during the three months ended March 31, 2018, and $5.2 million during the three months ended March 31, 2017, and we expect to generate cash from operations for the foreseeable future.</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believe that the proceeds from our IPO and our existing sources of liquidity will be sufficient to fund our operations for at least the next 12 months from the date of the filing of this Quarterly Report.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Cash provided by operating activities during the first three months of 2018 was $6.4 million, due primarily to net income of $3.7 million, non-cash items including $3.8 million of stock-based compensation expense, $1.2 million of depreciation and amortization and an increase in deferred revenue of $2.8 million. These increases were partially offset by a $3.7 million decrease in accrued expenses, accrued income taxes and other current liabilities and an increase in deferred tax assets of $2.0 million.</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Cash provided by operating activities during the first three months of 2017 was $5.2 million, due primarily to net income of $4.2 million, a $1.6 million decrease in prepaid and other current assets, an increase in deferred revenue of $1.0 million, and depreciation and amortization of $0.7 million. These increases were partially offset by a $1.3 million decrease in accrued expenses, accrued income taxes and other current liabilities and an increase in accounts receivable of $1.0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investing activities consist primarily of purchases of property and equipment, capitalized website development costs, and short-term investments.</w:t>
      </w:r>
    </w:p>
    <w:p>
      <w:pPr>
        <w:spacing w:after="0" w:line="2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$31.0 million during the first three months of 2018 was due primarily to $60.0 million of investments in certificates of deposit, net of maturities of certificates of deposit of $30.0 million, $0.6 million related to the capitalization of website development costs and $0.4 million of investments in furniture, computer equipment, and leasehold improvements.</w:t>
      </w:r>
    </w:p>
    <w:p>
      <w:pPr>
        <w:spacing w:after="0" w:line="18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Cash used in investing activities of $3.9 million during the first three months of 2017 was due primarily to $30.0 million of investments in certificates of deposit, net of maturities of certificates of deposit of $26.8 million, and $0.6 million related to the capitalization of website development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Cash used in financing activities of $1.1 million during the first three months of 2018 was due primarily to payment of initial public offering costs of $1.1 million.</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Cash provided by financing activities of $0.1 million during the first three months of 2017 was due to proceeds from the issuance of common stock related to the exercise of vested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As of March 31, 2018, there were no material changes in our contractual obligations and commitments from those disclosed in our 2017 Annual Report on Form 10-K, other than those appearing in the notes to the Unaudited Condensed Consolidated Financial Statements appearing elsewhere in this Quarterly Report.</w:t>
      </w:r>
    </w:p>
    <w:p>
      <w:pPr>
        <w:spacing w:after="0" w:line="181" w:lineRule="exact"/>
        <w:rPr>
          <w:sz w:val="20"/>
          <w:szCs w:val="20"/>
          <w:color w:val="auto"/>
        </w:rPr>
      </w:pPr>
    </w:p>
    <w:p>
      <w:pPr>
        <w:ind w:right="200" w:firstLine="518"/>
        <w:spacing w:after="0" w:line="219" w:lineRule="exact"/>
        <w:rPr>
          <w:sz w:val="20"/>
          <w:szCs w:val="20"/>
          <w:color w:val="auto"/>
        </w:rPr>
      </w:pPr>
      <w:r>
        <w:rPr>
          <w:rFonts w:ascii="Arial" w:cs="Arial" w:eastAsia="Arial" w:hAnsi="Arial"/>
          <w:sz w:val="17"/>
          <w:szCs w:val="17"/>
          <w:color w:val="auto"/>
        </w:rPr>
        <w:t>Our lease obligations consist of various leases for office space in: Cambridge, Massachusetts; Detroit, Michigan; and Dublin, Ireland, with various lease terms through January 2024. The terms of our Massachusetts lease agreements provide for rental payments that increase on an annual basis. We recognize rent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period. We do not have any debt or material capital lease obligations as of March 31, 2018 and all of our property, equipment, and software have been purchased with cash, with the exception of $0.2 million of unpaid property and equipment costs at March 31, 2018. We have no material long</w:t>
      </w:r>
      <w:r>
        <w:rPr>
          <w:rFonts w:ascii="MS PGothic" w:cs="MS PGothic" w:eastAsia="MS PGothic" w:hAnsi="MS PGothic"/>
          <w:sz w:val="17"/>
          <w:szCs w:val="17"/>
          <w:color w:val="auto"/>
        </w:rPr>
        <w:t>‑</w:t>
      </w:r>
      <w:r>
        <w:rPr>
          <w:rFonts w:ascii="Arial" w:cs="Arial" w:eastAsia="Arial" w:hAnsi="Arial"/>
          <w:sz w:val="17"/>
          <w:szCs w:val="17"/>
          <w:color w:val="auto"/>
        </w:rPr>
        <w:t>term purchase obligations outstanding with any vendors or third parties.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As of March 31, 2018 and December 31, 2017, we did not have any off-balance sheet arrangements, except for operating leases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reserves, contingent liabilities, allowances for doubtful accounts, expected future cash flows used to evaluate the recoverability of long-lived assets, the expensing and capitalization of product, technology, and development costs for website development and internal-use software, the determination of the fair value of stock awards issued, stock-based compensation expense, and the recoverability of our net deferred tax assets and related valuation allowance. Therefore, we consider these to be our critical accounting policies. Accordingly,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2017 Annual Report.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JOBS Act, and we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the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included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March 31, 2018 or at December 31, 2017.</w:t>
      </w:r>
    </w:p>
    <w:p>
      <w:pPr>
        <w:spacing w:after="0" w:line="225"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We had cash, cash equivalents, and investments of $142.0 million and $137.7 million at March 31, 2018 and December 31, 2017, respectively, which consist of bank deposits, money market funds, and certificates of deposit with maturity dates ranging from six to twelve months. Such interest-earning instruments carry a degree of interest rate risk. To date, fluctuations in interest income have not been significant.</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March 31, 2018 and December 31, 2017, we have foreign currency exposures in the British pound, the Euro and the Canadian dollar, although such exposure is not significant.</w:t>
      </w:r>
    </w:p>
    <w:p>
      <w:pPr>
        <w:spacing w:after="0" w:line="1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other income, net.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5"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761"/>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761"/>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source of revenue consists of subscription fees paid to us by dealers for access to enhanced features on our automotive</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marketplace. Our subscription agreements with dealers generally may be terminated by us with 30 days’ notice and by dealers with 30 days’ notice at the end of the committed term. While the majority of our contracts with dealers currently provide for one-month committed terms, we are transitioning many of these dealers to contracts with one-year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revenue would be materially and adversely affected.</w:t>
      </w:r>
    </w:p>
    <w:p>
      <w:pPr>
        <w:spacing w:after="0" w:line="27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62" w:lineRule="exact"/>
        <w:rPr>
          <w:sz w:val="20"/>
          <w:szCs w:val="20"/>
          <w:color w:val="auto"/>
        </w:rPr>
      </w:pPr>
    </w:p>
    <w:p>
      <w:pPr>
        <w:ind w:right="80" w:firstLine="761"/>
        <w:spacing w:after="0" w:line="276" w:lineRule="auto"/>
        <w:rPr>
          <w:sz w:val="20"/>
          <w:szCs w:val="20"/>
          <w:color w:val="auto"/>
        </w:rPr>
      </w:pPr>
      <w:r>
        <w:rPr>
          <w:rFonts w:ascii="Arial" w:cs="Arial" w:eastAsia="Arial" w:hAnsi="Arial"/>
          <w:sz w:val="17"/>
          <w:szCs w:val="17"/>
          <w:color w:val="auto"/>
        </w:rPr>
        <w:t>If paying dealers do not experience the volume of consumer connections that they expect during their monthly or annual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73"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40"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187" w:lineRule="exact"/>
        <w:rPr>
          <w:sz w:val="20"/>
          <w:szCs w:val="20"/>
          <w:color w:val="auto"/>
        </w:rPr>
      </w:pPr>
    </w:p>
    <w:p>
      <w:pPr>
        <w:ind w:left="1140" w:hanging="75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left="1140" w:hanging="75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51" w:lineRule="exact"/>
        <w:rPr>
          <w:sz w:val="20"/>
          <w:szCs w:val="20"/>
          <w:color w:val="auto"/>
        </w:rPr>
      </w:pPr>
    </w:p>
    <w:p>
      <w:pPr>
        <w:ind w:right="20" w:firstLine="761"/>
        <w:spacing w:after="0" w:line="272"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ind w:right="20" w:firstLine="761"/>
        <w:spacing w:after="0" w:line="291"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167" w:lineRule="exact"/>
        <w:rPr>
          <w:sz w:val="20"/>
          <w:szCs w:val="20"/>
          <w:color w:val="auto"/>
        </w:rPr>
      </w:pPr>
    </w:p>
    <w:p>
      <w:pPr>
        <w:ind w:left="1140" w:hanging="75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9" w:lineRule="exact"/>
        <w:rPr>
          <w:rFonts w:ascii="Arial" w:cs="Arial" w:eastAsia="Arial" w:hAnsi="Arial"/>
          <w:sz w:val="18"/>
          <w:szCs w:val="18"/>
          <w:color w:val="auto"/>
        </w:rPr>
      </w:pPr>
    </w:p>
    <w:p>
      <w:pPr>
        <w:ind w:left="1140" w:right="80" w:hanging="754"/>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 with operating systems, such as iOS and Android, and with popular mobile devices running such operating systems; and</w:t>
      </w:r>
    </w:p>
    <w:p>
      <w:pPr>
        <w:ind w:left="1140" w:right="440" w:hanging="754"/>
        <w:spacing w:after="0" w:line="26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If the use of our marketplace, particularly on mobile devices, does not continue to grow, our business and operating results would be harmed.</w:t>
      </w:r>
    </w:p>
    <w:p>
      <w:pPr>
        <w:spacing w:after="0" w:line="3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ind w:right="20" w:firstLine="761"/>
        <w:spacing w:after="0" w:line="287"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 useful for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7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38"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62" w:lineRule="exact"/>
        <w:rPr>
          <w:sz w:val="20"/>
          <w:szCs w:val="20"/>
          <w:color w:val="auto"/>
        </w:rPr>
      </w:pPr>
    </w:p>
    <w:p>
      <w:pPr>
        <w:ind w:right="20" w:firstLine="761"/>
        <w:spacing w:after="0" w:line="312"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7" w:lineRule="exact"/>
        <w:rPr>
          <w:sz w:val="20"/>
          <w:szCs w:val="20"/>
          <w:color w:val="auto"/>
        </w:rPr>
      </w:pPr>
    </w:p>
    <w:p>
      <w:pPr>
        <w:ind w:right="120" w:firstLine="761"/>
        <w:spacing w:after="0" w:line="302" w:lineRule="auto"/>
        <w:rPr>
          <w:sz w:val="20"/>
          <w:szCs w:val="20"/>
          <w:color w:val="auto"/>
        </w:rPr>
      </w:pPr>
      <w:r>
        <w:rPr>
          <w:rFonts w:ascii="Arial" w:cs="Arial" w:eastAsia="Arial" w:hAnsi="Arial"/>
          <w:sz w:val="16"/>
          <w:szCs w:val="16"/>
          <w:color w:val="auto"/>
        </w:rPr>
        <w:t>Complaints or negative publicity about our business practices,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54" w:lineRule="exact"/>
        <w:rPr>
          <w:sz w:val="20"/>
          <w:szCs w:val="20"/>
          <w:color w:val="auto"/>
        </w:rPr>
      </w:pPr>
    </w:p>
    <w:p>
      <w:pPr>
        <w:jc w:val="both"/>
        <w:ind w:right="100" w:firstLine="761"/>
        <w:spacing w:after="0" w:line="259" w:lineRule="auto"/>
        <w:rPr>
          <w:sz w:val="20"/>
          <w:szCs w:val="20"/>
          <w:color w:val="auto"/>
        </w:rPr>
      </w:pPr>
      <w:r>
        <w:rPr>
          <w:rFonts w:ascii="Arial" w:cs="Arial" w:eastAsia="Arial" w:hAnsi="Arial"/>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b w:val="1"/>
          <w:bCs w:val="1"/>
          <w:i w:val="1"/>
          <w:iCs w:val="1"/>
          <w:color w:val="auto"/>
        </w:rPr>
        <w:t>While we have historically focused our marketing efforts on internet and mobile channels, we have begun brand-focused campaigns using television, social media and online video and these efforts may not be successful.</w:t>
      </w:r>
    </w:p>
    <w:p>
      <w:pPr>
        <w:spacing w:after="0" w:line="62"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As a consumer brand, it is important for us to increase the visibility of our brand with potential users of our marketplace. While we have historically focused our marketing efforts on internet and mobile channels, we have begun to advertise through television, social media, online video, and other channels we have not used previously,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continue to decline in the future.</w:t>
      </w:r>
    </w:p>
    <w:p>
      <w:pPr>
        <w:spacing w:after="0" w:line="11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Our revenue increased to $316.9 million in 2017 from $198.1 million in 2016, representing a 60% increase between such periods, and increased to $98.7 million for the three months ended March 31, 2018 from $67.0 million for the three months ended March 31, 2017, representing a 47%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193" w:lineRule="exact"/>
        <w:rPr>
          <w:sz w:val="20"/>
          <w:szCs w:val="20"/>
          <w:color w:val="auto"/>
        </w:rPr>
      </w:pPr>
    </w:p>
    <w:p>
      <w:pPr>
        <w:ind w:left="1140" w:hanging="75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20" w:lineRule="exact"/>
        <w:rPr>
          <w:rFonts w:ascii="Arial" w:cs="Arial" w:eastAsia="Arial" w:hAnsi="Arial"/>
          <w:sz w:val="17"/>
          <w:szCs w:val="17"/>
          <w:color w:val="auto"/>
        </w:rPr>
      </w:pPr>
    </w:p>
    <w:p>
      <w:pPr>
        <w:ind w:left="1140" w:hanging="75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our expansion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into these new markets will be successful. Our expansion into new markets places us in unfamiliar competitive environments and involves various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the need to invest significant resources and the likelihood that returns on such investments will not be achieved for several years, or possibly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In attempting to establish a presence in new markets, we expect, as we have in the past, to incur significant losses in those markets and face various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such as obtaining and maintaining access to inventory data, competition for consumers and dealers using our marketplace, monetizing dealers,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regulatory environments and laws, different consumer shopping habits than those we are familiar with, and our ability to expand the number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managers to cover those new markets. Our current and any future expansion plans will require significant resources and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Furthermore, expansion into international markets may not yield results similar to those we have achieved in the United States.</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62" w:lineRule="exact"/>
        <w:rPr>
          <w:sz w:val="20"/>
          <w:szCs w:val="20"/>
          <w:color w:val="auto"/>
        </w:rPr>
      </w:pPr>
    </w:p>
    <w:p>
      <w:pPr>
        <w:ind w:right="160" w:firstLine="761"/>
        <w:spacing w:after="0" w:line="272" w:lineRule="auto"/>
        <w:rPr>
          <w:sz w:val="20"/>
          <w:szCs w:val="20"/>
          <w:color w:val="auto"/>
        </w:rPr>
      </w:pPr>
      <w:r>
        <w:rPr>
          <w:rFonts w:ascii="Arial" w:cs="Arial" w:eastAsia="Arial" w:hAnsi="Arial"/>
          <w:sz w:val="17"/>
          <w:szCs w:val="17"/>
          <w:color w:val="auto"/>
        </w:rPr>
        <w:t>We have started to expand our operations internationally and plan to continue to enter additional markets. 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ind w:right="80" w:firstLine="761"/>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189" w:lineRule="exact"/>
        <w:rPr>
          <w:sz w:val="20"/>
          <w:szCs w:val="20"/>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retaining qualified, multilingual employees, including sales personnel;</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the website to conform to local automobile shopping expectations;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local websites and periodicals and potential preferences by local populations for local providers;</w:t>
      </w:r>
    </w:p>
    <w:p>
      <w:pPr>
        <w:spacing w:after="0" w:line="9" w:lineRule="exact"/>
        <w:rPr>
          <w:rFonts w:ascii="Arial" w:cs="Arial" w:eastAsia="Arial" w:hAnsi="Arial"/>
          <w:sz w:val="18"/>
          <w:szCs w:val="18"/>
          <w:color w:val="auto"/>
        </w:rPr>
      </w:pPr>
    </w:p>
    <w:p>
      <w:pPr>
        <w:ind w:left="1140" w:right="80" w:hanging="754"/>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ind w:left="1140" w:right="60" w:hanging="754"/>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U.K. Bribery Act;</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9" w:lineRule="exact"/>
        <w:rPr>
          <w:rFonts w:ascii="Arial" w:cs="Arial" w:eastAsia="Arial" w:hAnsi="Arial"/>
          <w:sz w:val="18"/>
          <w:szCs w:val="18"/>
          <w:color w:val="auto"/>
        </w:rPr>
      </w:pPr>
    </w:p>
    <w:p>
      <w:pPr>
        <w:ind w:left="1140" w:right="120" w:hanging="754"/>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 and</w:t>
      </w:r>
    </w:p>
    <w:p>
      <w:pPr>
        <w:ind w:left="1140" w:hanging="75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181" w:lineRule="exact"/>
        <w:rPr>
          <w:sz w:val="20"/>
          <w:szCs w:val="20"/>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U.S. online automotive marketplaces: AutoTrader.com, Cars.com, and TrueCar.com;</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U.S. automotive websites, such as Edmunds.com, KBB.com, and Carfax.com;</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peer to peer marketplaces; and</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38" w:lineRule="exact"/>
        <w:rPr>
          <w:sz w:val="20"/>
          <w:szCs w:val="20"/>
          <w:color w:val="auto"/>
        </w:rPr>
      </w:pPr>
    </w:p>
    <w:p>
      <w:pPr>
        <w:jc w:val="both"/>
        <w:ind w:right="20" w:firstLine="761"/>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66" w:lineRule="exact"/>
        <w:rPr>
          <w:sz w:val="20"/>
          <w:szCs w:val="20"/>
          <w:color w:val="auto"/>
        </w:rPr>
      </w:pPr>
    </w:p>
    <w:p>
      <w:pPr>
        <w:ind w:right="460" w:firstLine="761"/>
        <w:spacing w:after="0" w:line="277"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70"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6" w:name="page37"/>
    <w:bookmarkEnd w:id="36"/>
    <w:p>
      <w:pPr>
        <w:ind w:right="60" w:firstLine="761"/>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ind w:right="240" w:firstLine="761"/>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ind w:right="140" w:firstLine="761"/>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state and national dealership associations, state regulators, car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service providers for many aspects of our business, and any failure to maintain these relationships could harm our business.</w:t>
      </w:r>
    </w:p>
    <w:p>
      <w:pPr>
        <w:spacing w:after="0" w:line="140" w:lineRule="exact"/>
        <w:rPr>
          <w:sz w:val="20"/>
          <w:szCs w:val="20"/>
          <w:color w:val="auto"/>
        </w:rPr>
      </w:pPr>
    </w:p>
    <w:p>
      <w:pPr>
        <w:ind w:firstLine="761"/>
        <w:spacing w:after="0" w:line="288" w:lineRule="auto"/>
        <w:rPr>
          <w:sz w:val="20"/>
          <w:szCs w:val="20"/>
          <w:color w:val="auto"/>
        </w:rPr>
      </w:pPr>
      <w:r>
        <w:rPr>
          <w:rFonts w:ascii="Arial" w:cs="Arial" w:eastAsia="Arial" w:hAnsi="Arial"/>
          <w:sz w:val="16"/>
          <w:szCs w:val="16"/>
          <w:color w:val="auto"/>
        </w:rPr>
        <w:t>Our success will depend upon our relationships with third parties, including those with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and our general ledger provider. If these third parties experience difficulty meeting our requirements or standards, or if the relationships we have established with such third parties expire or otherwise terminate, it could make it difficult for us to operate some aspects of our business, which could damage our business and reputation. In addition, if such third-party service providers were to cease operations, temporarily or permanently, face financial distress or other business disruptions, increase their fees, or if our relationships with these providers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ind w:right="600" w:firstLine="761"/>
        <w:spacing w:after="0" w:line="279"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2" w:lineRule="exact"/>
        <w:rPr>
          <w:sz w:val="20"/>
          <w:szCs w:val="20"/>
          <w:color w:val="auto"/>
        </w:rPr>
      </w:pPr>
    </w:p>
    <w:p>
      <w:pPr>
        <w:ind w:right="100" w:firstLine="761"/>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ind w:right="60" w:firstLine="761"/>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disputes regarding the accuracy of Instant Market Value, Deal Rating, Dealer Rating, and other features of our marketplace.</w:t>
      </w:r>
    </w:p>
    <w:p>
      <w:pPr>
        <w:spacing w:after="0" w:line="140" w:lineRule="exact"/>
        <w:rPr>
          <w:sz w:val="20"/>
          <w:szCs w:val="20"/>
          <w:color w:val="auto"/>
        </w:rPr>
      </w:pPr>
    </w:p>
    <w:p>
      <w:pPr>
        <w:ind w:right="120" w:firstLine="761"/>
        <w:spacing w:after="0" w:line="297" w:lineRule="auto"/>
        <w:rPr>
          <w:sz w:val="20"/>
          <w:szCs w:val="20"/>
          <w:color w:val="auto"/>
        </w:rPr>
      </w:pPr>
      <w:r>
        <w:rPr>
          <w:rFonts w:ascii="Arial" w:cs="Arial" w:eastAsia="Arial" w:hAnsi="Arial"/>
          <w:sz w:val="16"/>
          <w:szCs w:val="16"/>
          <w:color w:val="auto"/>
        </w:rPr>
        <w:t>We provide consumers using our marketplace with our proprietary Instant Market Value, or IMV, Deal Rating, and Dealer Rating, as well as other features to help them evaluate vehicle listings. Revisions to our automated valuation models, or the algorithms that underlie them, may cause the IMV, the Deal Rating, or other features to vary from our expectations regarding the accuracy of these tools. In addition, from time to time, consumers and regulators may question or disagree with our IMV, Deal Rating, or Dealer Rating. Any such questions or disagreements could result in distraction from our business or potentially harm our reputation, could result in a decline in consumers’ use of our marketplace and could result in legal disputes.</w:t>
      </w:r>
    </w:p>
    <w:p>
      <w:pPr>
        <w:spacing w:after="0" w:line="266" w:lineRule="exact"/>
        <w:rPr>
          <w:sz w:val="20"/>
          <w:szCs w:val="20"/>
          <w:color w:val="auto"/>
        </w:rPr>
      </w:pPr>
    </w:p>
    <w:p>
      <w:pPr>
        <w:ind w:right="580"/>
        <w:spacing w:after="0" w:line="375" w:lineRule="auto"/>
        <w:rPr>
          <w:sz w:val="20"/>
          <w:szCs w:val="20"/>
          <w:color w:val="auto"/>
        </w:rPr>
      </w:pPr>
      <w:r>
        <w:rPr>
          <w:rFonts w:ascii="Arial" w:cs="Arial" w:eastAsia="Arial" w:hAnsi="Arial"/>
          <w:sz w:val="15"/>
          <w:szCs w:val="15"/>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U.S. federal and state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Motor Vehicle Sales, Advertising and Brokering, and Consumer Protection Laws</w:t>
      </w:r>
    </w:p>
    <w:p>
      <w:pPr>
        <w:spacing w:after="0" w:line="117" w:lineRule="exact"/>
        <w:rPr>
          <w:sz w:val="20"/>
          <w:szCs w:val="20"/>
          <w:color w:val="auto"/>
        </w:rPr>
      </w:pPr>
    </w:p>
    <w:p>
      <w:pPr>
        <w:ind w:right="60" w:firstLine="761"/>
        <w:spacing w:after="0" w:line="255" w:lineRule="auto"/>
        <w:rPr>
          <w:sz w:val="20"/>
          <w:szCs w:val="20"/>
          <w:color w:val="auto"/>
        </w:rPr>
      </w:pPr>
      <w:r>
        <w:rPr>
          <w:rFonts w:ascii="Arial" w:cs="Arial" w:eastAsia="Arial" w:hAnsi="Arial"/>
          <w:sz w:val="18"/>
          <w:szCs w:val="18"/>
          <w:color w:val="auto"/>
        </w:rPr>
        <w:t>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t>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 For example, in April 2015 the Texas Department of Motor Vehicles, or the TX DMV, notified us that it believed the Price History and IMV information on our website violated the prohibition on advertising savings clauses on used vehicles. The TX DMV informed us that if we failed to address the issue within 30 days, it would potentially subject dealers it considered to be advertising on our website to fines. After discussions with the TX DMV, we modified our website to remove the Price History and certain references and comparisons to IMV for used vehicles listed on our website that are for sale in Texas.</w:t>
      </w:r>
    </w:p>
    <w:p>
      <w:pPr>
        <w:spacing w:after="0" w:line="179" w:lineRule="exact"/>
        <w:rPr>
          <w:sz w:val="20"/>
          <w:szCs w:val="20"/>
          <w:color w:val="auto"/>
        </w:rPr>
      </w:pPr>
    </w:p>
    <w:p>
      <w:pPr>
        <w:ind w:right="20" w:firstLine="761"/>
        <w:spacing w:after="0" w:line="273"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ind w:right="120" w:firstLine="761"/>
        <w:spacing w:after="0" w:line="255" w:lineRule="auto"/>
        <w:rPr>
          <w:sz w:val="20"/>
          <w:szCs w:val="20"/>
          <w:color w:val="auto"/>
        </w:rPr>
      </w:pPr>
      <w:r>
        <w:rPr>
          <w:rFonts w:ascii="Arial" w:cs="Arial" w:eastAsia="Arial" w:hAnsi="Arial"/>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ind w:right="80" w:firstLine="761"/>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8" w:lineRule="exact"/>
        <w:rPr>
          <w:sz w:val="20"/>
          <w:szCs w:val="20"/>
          <w:color w:val="auto"/>
        </w:rPr>
      </w:pPr>
    </w:p>
    <w:p>
      <w:pPr>
        <w:ind w:right="120" w:firstLine="761"/>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Antitrust Laws</w:t>
      </w:r>
    </w:p>
    <w:p>
      <w:pPr>
        <w:spacing w:after="0" w:line="117" w:lineRule="exact"/>
        <w:rPr>
          <w:sz w:val="20"/>
          <w:szCs w:val="20"/>
          <w:color w:val="auto"/>
        </w:rPr>
      </w:pPr>
    </w:p>
    <w:p>
      <w:pPr>
        <w:ind w:right="180" w:firstLine="761"/>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761"/>
        <w:spacing w:after="0" w:line="259" w:lineRule="auto"/>
        <w:rPr>
          <w:sz w:val="20"/>
          <w:szCs w:val="20"/>
          <w:color w:val="auto"/>
        </w:rPr>
      </w:pPr>
      <w:r>
        <w:rPr>
          <w:rFonts w:ascii="Arial" w:cs="Arial" w:eastAsia="Arial" w:hAnsi="Arial"/>
          <w:sz w:val="18"/>
          <w:szCs w:val="18"/>
          <w:color w:val="auto"/>
        </w:rPr>
        <w:t>Claims could be made against us under both U.S.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280"/>
        <w:spacing w:after="0" w:line="264" w:lineRule="auto"/>
        <w:rPr>
          <w:sz w:val="20"/>
          <w:szCs w:val="20"/>
          <w:color w:val="auto"/>
        </w:rPr>
      </w:pPr>
      <w:r>
        <w:rPr>
          <w:rFonts w:ascii="Arial" w:cs="Arial" w:eastAsia="Arial" w:hAnsi="Arial"/>
          <w:sz w:val="18"/>
          <w:szCs w:val="18"/>
          <w:color w:val="auto"/>
        </w:rPr>
        <w:t>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81"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62" w:lineRule="exact"/>
        <w:rPr>
          <w:sz w:val="20"/>
          <w:szCs w:val="20"/>
          <w:color w:val="auto"/>
        </w:rPr>
      </w:pPr>
    </w:p>
    <w:p>
      <w:pPr>
        <w:ind w:right="60" w:firstLine="761"/>
        <w:spacing w:after="0" w:line="297"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reductions in business and consumer confidence, stock market volatility, increased unemployment, and changing trade barriers, including increased tariff rates or custom duties.</w:t>
      </w:r>
    </w:p>
    <w:p>
      <w:pPr>
        <w:spacing w:after="0" w:line="158"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 In addition, our business may be negatively affected by challenges to the larger automotive industry ecosystem, including global supply chain challenges and other macroeconomic issues. These factors could have a material adverse effect on our business, results of operations, and financial condition.</w:t>
      </w: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ind w:right="60" w:firstLine="761"/>
        <w:spacing w:after="0" w:line="27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62" w:lineRule="exact"/>
        <w:rPr>
          <w:sz w:val="20"/>
          <w:szCs w:val="20"/>
          <w:color w:val="auto"/>
        </w:rPr>
      </w:pPr>
    </w:p>
    <w:p>
      <w:pPr>
        <w:ind w:right="40" w:firstLine="761"/>
        <w:spacing w:after="0" w:line="291"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100" w:firstLine="761"/>
        <w:spacing w:after="0" w:line="272" w:lineRule="auto"/>
        <w:rPr>
          <w:sz w:val="20"/>
          <w:szCs w:val="20"/>
          <w:color w:val="auto"/>
        </w:rPr>
      </w:pPr>
      <w:r>
        <w:rPr>
          <w:rFonts w:ascii="Arial" w:cs="Arial" w:eastAsia="Arial" w:hAnsi="Arial"/>
          <w:sz w:val="17"/>
          <w:szCs w:val="17"/>
          <w:color w:val="auto"/>
        </w:rPr>
        <w:t>Substantially all of the communications, network, and computer hardware used to operate our platform is located in the United States in Boston, Massachusetts and Dallas, Texas, and in Europe in London, England. Although we have two locations in the United States and we believe our systems are redundant, there may be exceptions for certain hardware. In addition, we do not own or control the operation of these facilities. We also use Amazon Web Services and Google Cloud Storage to back up some data.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78" w:lineRule="exact"/>
        <w:rPr>
          <w:sz w:val="20"/>
          <w:szCs w:val="20"/>
          <w:color w:val="auto"/>
        </w:rPr>
      </w:pPr>
    </w:p>
    <w:p>
      <w:pPr>
        <w:jc w:val="both"/>
        <w:ind w:right="60" w:firstLine="761"/>
        <w:spacing w:after="0" w:line="302" w:lineRule="auto"/>
        <w:rPr>
          <w:sz w:val="20"/>
          <w:szCs w:val="20"/>
          <w:color w:val="auto"/>
        </w:rPr>
      </w:pPr>
      <w:r>
        <w:rPr>
          <w:rFonts w:ascii="Arial" w:cs="Arial" w:eastAsia="Arial" w:hAnsi="Arial"/>
          <w:sz w:val="16"/>
          <w:szCs w:val="16"/>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54"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ind w:right="300" w:firstLine="761"/>
        <w:spacing w:after="0" w:line="308" w:lineRule="auto"/>
        <w:rPr>
          <w:sz w:val="20"/>
          <w:szCs w:val="20"/>
          <w:color w:val="auto"/>
        </w:rPr>
      </w:pPr>
      <w:r>
        <w:rPr>
          <w:rFonts w:ascii="Arial" w:cs="Arial" w:eastAsia="Arial" w:hAnsi="Arial"/>
          <w:sz w:val="17"/>
          <w:szCs w:val="17"/>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5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ind w:firstLine="761"/>
        <w:spacing w:after="0" w:line="285" w:lineRule="auto"/>
        <w:rPr>
          <w:sz w:val="20"/>
          <w:szCs w:val="20"/>
          <w:color w:val="auto"/>
        </w:rPr>
      </w:pPr>
      <w:r>
        <w:rPr>
          <w:rFonts w:ascii="Arial" w:cs="Arial" w:eastAsia="Arial" w:hAnsi="Arial"/>
          <w:sz w:val="16"/>
          <w:szCs w:val="16"/>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 and information systems may be subject to computer viruses, break-ins, phishing attacks, attempts to overload our servers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 or the loss or unauthorized disclosure, access, acquisition, alteration, or use of confidential information, consumers and advertisers may lose trust and confidence in us, and consumers may decrease the use of our websites or stop using our websites entirely, and advertisers may decrease or stop advertising on our websites. Further, outside parties may attempt to fraudulently induce employees, consumers, or advertisers to disclose sensitive information in order to gain access to our information or our consumers’ or advertisers’ information.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8"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Any or all of the issues above could negatively impact our ability to attract new consumers and increase engagement by existing consumers, cause existing consumers to curtail or stop use of our marketplace or close their accounts, cause existing advertisers to cancel their contracts, or subject us to governmental or third-party lawsuits, investigations, regulatory fines, or other actions or liability, thereby harming our business, results of operations, and financial condition.</w:t>
      </w:r>
    </w:p>
    <w:p>
      <w:pPr>
        <w:spacing w:after="0" w:line="187"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There are numerous federal, national, state, and local laws and regulations in the United States and around the world regarding privacy and the collection, processing, storing, sharing, disclosing, using, cross-border transfer, and protecting of personal information and other data, the scope of which are changing, are subject to differing interpretations, may be costly to comply with, may result in regulatory fines or penalties, may be inconsistent between countries and jurisdictions, and may conflict with other requirements.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firstLine="761"/>
        <w:spacing w:after="0" w:line="286"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and that new regulations could be enacted. Several proposals are pending before federal, state, local, and foreign legislative and regulatory bodies that could significantly affect our business. The General Data Protection Regulation in the European Union, or the EU, which will go into effect on May 25, 2018, may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40" w:lineRule="exact"/>
        <w:rPr>
          <w:sz w:val="20"/>
          <w:szCs w:val="20"/>
          <w:color w:val="auto"/>
        </w:rPr>
      </w:pPr>
    </w:p>
    <w:p>
      <w:pPr>
        <w:ind w:right="20" w:firstLine="761"/>
        <w:spacing w:after="0" w:line="269" w:lineRule="auto"/>
        <w:rPr>
          <w:sz w:val="20"/>
          <w:szCs w:val="20"/>
          <w:color w:val="auto"/>
        </w:rPr>
      </w:pPr>
      <w:r>
        <w:rPr>
          <w:rFonts w:ascii="Arial" w:cs="Arial" w:eastAsia="Arial" w:hAnsi="Arial"/>
          <w:sz w:val="17"/>
          <w:szCs w:val="17"/>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 For example, in December 2015, Trader Corporation, or Trader, alleged that we infringed its copyright in 196,740 photos of cars that were uploaded onto our Canadian website. Trader sought statutory and punitive damages of approximately CAD $99 million along with a permanent injunction prohibiting us from reproducing any other photos in which Trader owns the copyright without Trader’s consent. On April 6, 2017, the Commercial List of the Ontario Superior Court, or the Commercial List, granted an order declaring that we infringed Trader’s copyright in 152,532 photos and awarded Trader statutory damages of CAD $305,064 in the aggregate, but dismissed Trader’s claim for punitive damages and a permanent injunction. Following release of the decision, the parties agreed that there would be no legal fees or interest payable to either party. In addition, the parties agreed that neither would appeal the decision of the Commercial List.</w:t>
      </w:r>
    </w:p>
    <w:p>
      <w:pPr>
        <w:spacing w:after="0" w:line="183"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81" w:lineRule="exact"/>
        <w:rPr>
          <w:sz w:val="20"/>
          <w:szCs w:val="20"/>
          <w:color w:val="auto"/>
        </w:rPr>
      </w:pPr>
    </w:p>
    <w:p>
      <w:pPr>
        <w:ind w:right="20" w:firstLine="761"/>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ind w:right="160" w:firstLine="761"/>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firstLine="761"/>
        <w:spacing w:after="0" w:line="269"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For example, O2 Holdings Limited (now O2 Worldwide Limited, or O2 Worldwide), based in the United Kingdom, previously opposed our UK application to register the mark CARGURUS based on its prior registered rights for the mark GURU in the United Kingdom. We have reached an agreement with O2 Worldwide that permits us to continue to use our CARGURUS mark and logos in the United Kingdom and the EU for our services in the automotive field in the manner we have to date, and to register such mark in the United Kingdom and the EU for such services. However, the agreement with O2 Worldwide sets forth certain limitations on our use of the CARGURUS mark and logos in the United Kingdom and in the EU. Also, while we have registered the CARGURUS and CG logos in the EU, we are not able to register the word-mark CARGURUS in the EU as the mark was deemed to be non-distinctive, and thus unregisterable. We may be unable to register CARGURUS, the word mark, in any country in the EU, other than the United Kingdom. If we are unable to register the CARGURUS word mark in any country, it may limit our ability to challenge unauthorized users of marks that are the same as or similar to CARGURUS.</w:t>
      </w:r>
    </w:p>
    <w:p>
      <w:pPr>
        <w:spacing w:after="0" w:line="180"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ind w:right="200" w:firstLine="761"/>
        <w:spacing w:after="0" w:line="257" w:lineRule="auto"/>
        <w:rPr>
          <w:sz w:val="20"/>
          <w:szCs w:val="20"/>
          <w:color w:val="auto"/>
        </w:rPr>
      </w:pPr>
      <w:r>
        <w:rPr>
          <w:rFonts w:ascii="Arial" w:cs="Arial" w:eastAsia="Arial" w:hAnsi="Arial"/>
          <w:sz w:val="18"/>
          <w:szCs w:val="18"/>
          <w:color w:val="auto"/>
        </w:rPr>
        <w:t>Our success will depend, in part, on our ability to grow our business in response to the demands of consumers, dealers, and other constituents within the automotive industry as well as competitive pressures.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88" w:lineRule="exact"/>
        <w:rPr>
          <w:sz w:val="20"/>
          <w:szCs w:val="20"/>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9" w:lineRule="exact"/>
        <w:rPr>
          <w:rFonts w:ascii="Arial" w:cs="Arial" w:eastAsia="Arial" w:hAnsi="Arial"/>
          <w:sz w:val="18"/>
          <w:szCs w:val="18"/>
          <w:color w:val="auto"/>
        </w:rPr>
      </w:pPr>
    </w:p>
    <w:p>
      <w:pPr>
        <w:ind w:left="1140" w:right="500" w:hanging="754"/>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ind w:left="1140" w:right="280" w:hanging="754"/>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ind w:left="1140" w:right="680" w:hanging="754"/>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ind w:left="1140" w:right="740" w:hanging="754"/>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211" w:lineRule="exact"/>
        <w:rPr>
          <w:sz w:val="20"/>
          <w:szCs w:val="20"/>
          <w:color w:val="auto"/>
        </w:rPr>
      </w:pPr>
    </w:p>
    <w:p>
      <w:pPr>
        <w:ind w:right="320" w:firstLine="761"/>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and harm our business generally. Future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In order to protect our technologies and processes, we rely in part on confidentiality agreements with our employees, independent contractors, and other advisors. These agreements may not effectively prevent disclosure of confidential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line="271" w:lineRule="auto"/>
        <w:rPr>
          <w:sz w:val="20"/>
          <w:szCs w:val="20"/>
          <w:color w:val="auto"/>
        </w:rPr>
      </w:pPr>
      <w:r>
        <w:rPr>
          <w:rFonts w:ascii="Arial" w:cs="Arial" w:eastAsia="Arial" w:hAnsi="Arial"/>
          <w:sz w:val="17"/>
          <w:szCs w:val="17"/>
          <w:color w:val="auto"/>
        </w:rPr>
        <w:t>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ind w:right="180" w:firstLine="761"/>
        <w:spacing w:after="0" w:line="270" w:lineRule="auto"/>
        <w:rPr>
          <w:sz w:val="20"/>
          <w:szCs w:val="20"/>
          <w:color w:val="auto"/>
        </w:rPr>
      </w:pPr>
      <w:r>
        <w:rPr>
          <w:rFonts w:ascii="Arial" w:cs="Arial" w:eastAsia="Arial" w:hAnsi="Arial"/>
          <w:sz w:val="17"/>
          <w:szCs w:val="17"/>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we may generate losses in the future.</w:t>
      </w:r>
    </w:p>
    <w:p>
      <w:pPr>
        <w:spacing w:after="0" w:line="117"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We have incurred net operating losses in the past. Although we did not experience such losses in fiscal year 2016 or 2017 and we have experienced significant growth in revenue, our revenue growth rate is likely to continue to decline in the future as a result of a variety of factors. Our international expansion may cause our costs to increase in future periods as we continue to expend substantial financial resources to enter into those markets. Our costs may also increase due to our continued new product development and general administrative expenses, such as legal and accounting expenses related to being a public company. If we fail to increase our revenue or manage these additional costs, we may incur losses in the future.</w:t>
      </w:r>
    </w:p>
    <w:p>
      <w:pPr>
        <w:spacing w:after="0" w:line="2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2" w:lineRule="exact"/>
        <w:rPr>
          <w:sz w:val="20"/>
          <w:szCs w:val="20"/>
          <w:color w:val="auto"/>
        </w:rPr>
      </w:pPr>
    </w:p>
    <w:p>
      <w:pPr>
        <w:ind w:right="40" w:firstLine="761"/>
        <w:spacing w:after="0" w:line="284" w:lineRule="auto"/>
        <w:rPr>
          <w:sz w:val="20"/>
          <w:szCs w:val="20"/>
          <w:color w:val="auto"/>
        </w:rPr>
      </w:pPr>
      <w:r>
        <w:rPr>
          <w:rFonts w:ascii="Arial" w:cs="Arial" w:eastAsia="Arial" w:hAnsi="Arial"/>
          <w:sz w:val="16"/>
          <w:szCs w:val="16"/>
          <w:color w:val="auto"/>
        </w:rPr>
        <w:t>Now that we are a public company, we expect to incur significant legal, accounting, and other expenses that we did not incur as a private company and these expenses will increase after we cease to be an “emerging growth company,” as defined in the Jumpstart Our Business Startups Act of 2012, or the JOBS Act.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For example, these rules and regulations have made it more difficult and more expensive for us to obtain director and officer liability</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insurance. These rules and regulations could also make it more difficult for us to attract and retain qualified persons to serve on our board of directors or our board committees or as executive officers.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the Sarbanes-Oxley Act requires, among other things, that we assess the effectiveness of our internal control over financial reporting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annually and the effectiveness of our disclosure controls and procedures quarterly. In particular, beginning with the year ending December 31, 2018, we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need to perform system and process evaluation and testing of our internal control over financial reporting to allow management to report on, and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independent registered public accounting firm potentially to attest to, the effectiveness of our internal control over financial reporting, as required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404 of the Sarbanes-Oxley Act, or Section 404. As an emerging growth company, we have elected to avail ourselves of the exemption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 that our independent registered public accounting firm attest to the effectiveness of our internal control over financial reporting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However, we may no longer avail ourselves of this exemption when we cease to be an emerging growth company and, when our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public accounting firm is required to undertake an assessment of our internal control over financial reporting, the cost of our compliance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404 will correspondingly increase. Our compliance with applicable provisions of Section 404 will require that we incur substantial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and expend significant management time on compliance-related issues as we implement additional corporate governance practices and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reporting requirements.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340"/>
        <w:spacing w:after="0" w:line="223" w:lineRule="exact"/>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Oxley Act could have a material adverse effect on our stated operating results and harm our reputation.</w:t>
      </w:r>
    </w:p>
    <w:p>
      <w:pPr>
        <w:spacing w:after="0" w:line="95" w:lineRule="exact"/>
        <w:rPr>
          <w:sz w:val="20"/>
          <w:szCs w:val="20"/>
          <w:color w:val="auto"/>
        </w:rPr>
      </w:pPr>
    </w:p>
    <w:p>
      <w:pPr>
        <w:ind w:firstLine="761"/>
        <w:spacing w:after="0" w:line="218" w:lineRule="exact"/>
        <w:rPr>
          <w:sz w:val="20"/>
          <w:szCs w:val="20"/>
          <w:color w:val="auto"/>
        </w:rPr>
      </w:pPr>
      <w:r>
        <w:rPr>
          <w:rFonts w:ascii="Arial" w:cs="Arial" w:eastAsia="Arial" w:hAnsi="Arial"/>
          <w:sz w:val="17"/>
          <w:szCs w:val="17"/>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As a newly public company, we are required to comply with the SEC’s rules implementing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required to make only an annual assessment of our internal control over financial reporting pursuant to Section 404 for the fiscal year ending December 31, 2018, which is the first year immediately following our first annual report filed with the SEC. As an emerging growth company, our independent registered public accounting firm will not be required to formally attest to the effectiveness of our internal control over financial reporting pursuant to Section 404 until after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202" w:lineRule="exact"/>
        <w:rPr>
          <w:sz w:val="20"/>
          <w:szCs w:val="20"/>
          <w:color w:val="auto"/>
        </w:rPr>
      </w:pPr>
    </w:p>
    <w:p>
      <w:pPr>
        <w:ind w:right="60" w:firstLine="761"/>
        <w:spacing w:after="0" w:line="270"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materially adversely affected, and we could become subject to investigations by Nasdaq, the SEC or other regulatory authorities, which could require additional financial and management resources.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ind w:right="160" w:firstLine="761"/>
        <w:spacing w:after="0" w:line="257" w:lineRule="auto"/>
        <w:rPr>
          <w:sz w:val="20"/>
          <w:szCs w:val="20"/>
          <w:color w:val="auto"/>
        </w:rPr>
      </w:pPr>
      <w:r>
        <w:rPr>
          <w:rFonts w:ascii="Arial" w:cs="Arial" w:eastAsia="Arial" w:hAnsi="Arial"/>
          <w:sz w:val="18"/>
          <w:szCs w:val="18"/>
          <w:color w:val="auto"/>
        </w:rPr>
        <w:t>Across the retail automotive industry, consumer purchases typically increase through the first three quarters of each year, due in part to the introduction of new vehicle models from manufacturers, and our consumer-marketing spend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ind w:firstLine="761"/>
        <w:spacing w:after="0" w:line="297"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60" w:firstLine="761"/>
        <w:spacing w:after="0" w:line="219" w:lineRule="exact"/>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management of our business, which could materially adversely affect our business, financial condition and operating results.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ind w:right="18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Although we have not needed to raise substantial equity in the past to support the growth of our business, we intend to continue to make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investments to support our growth and may require additional capital to pursue our business objectives and respond to business opportunities, challenges,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unforeseen circumstances, including to increase our marketing expenditures to improve our brand awareness, develop new products, further improve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marketplace and existing products, enhance our operating infrastructure, expand internationally and acquire complementary businesses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technologies. Accordingly, we may need to engage in equity or debt financings to secure additional funds. However, additional funds may not be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we need them on terms that are acceptable to us or at all. Volatility in the credit markets may also have an adverse effect on our ability to obtain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financing.</w:t>
      </w:r>
    </w:p>
    <w:p>
      <w:pPr>
        <w:spacing w:after="0" w:line="211" w:lineRule="exact"/>
        <w:rPr>
          <w:sz w:val="20"/>
          <w:szCs w:val="20"/>
          <w:color w:val="auto"/>
        </w:rPr>
      </w:pPr>
    </w:p>
    <w:p>
      <w:pPr>
        <w:ind w:right="200" w:firstLine="761"/>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ind w:firstLine="761"/>
        <w:spacing w:after="0" w:line="267" w:lineRule="auto"/>
        <w:rPr>
          <w:sz w:val="20"/>
          <w:szCs w:val="20"/>
          <w:color w:val="auto"/>
        </w:rPr>
      </w:pPr>
      <w:r>
        <w:rPr>
          <w:rFonts w:ascii="Arial" w:cs="Arial" w:eastAsia="Arial" w:hAnsi="Arial"/>
          <w:sz w:val="17"/>
          <w:szCs w:val="17"/>
          <w:color w:val="auto"/>
        </w:rPr>
        <w:t>Primarily by virtue of his holdings in shares of our Class B common stock, which has a ten-to-one voting ratio compared to our Class A common stock, Langley Steinert, our founder, Chief Executive Officer, President,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President,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93" w:lineRule="exact"/>
        <w:rPr>
          <w:sz w:val="20"/>
          <w:szCs w:val="20"/>
          <w:color w:val="auto"/>
        </w:rPr>
      </w:pPr>
    </w:p>
    <w:p>
      <w:pPr>
        <w:ind w:right="200" w:firstLine="761"/>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your ability to influence corporate matters.</w:t>
      </w:r>
    </w:p>
    <w:p>
      <w:pPr>
        <w:spacing w:after="0" w:line="62" w:lineRule="exact"/>
        <w:rPr>
          <w:sz w:val="20"/>
          <w:szCs w:val="20"/>
          <w:color w:val="auto"/>
        </w:rPr>
      </w:pPr>
    </w:p>
    <w:p>
      <w:pPr>
        <w:ind w:right="40" w:firstLine="761"/>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firstLine="761"/>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may be volatile and the value of your investment could decline.</w:t>
      </w:r>
    </w:p>
    <w:p>
      <w:pPr>
        <w:spacing w:after="0" w:line="117" w:lineRule="exact"/>
        <w:rPr>
          <w:sz w:val="20"/>
          <w:szCs w:val="20"/>
          <w:color w:val="auto"/>
        </w:rPr>
      </w:pPr>
    </w:p>
    <w:p>
      <w:pPr>
        <w:ind w:right="40" w:firstLine="761"/>
        <w:spacing w:after="0" w:line="286" w:lineRule="auto"/>
        <w:rPr>
          <w:sz w:val="20"/>
          <w:szCs w:val="20"/>
          <w:color w:val="auto"/>
        </w:rPr>
      </w:pPr>
      <w:r>
        <w:rPr>
          <w:rFonts w:ascii="Arial" w:cs="Arial" w:eastAsia="Arial" w:hAnsi="Arial"/>
          <w:sz w:val="17"/>
          <w:szCs w:val="17"/>
          <w:color w:val="auto"/>
        </w:rPr>
        <w:t>The trading price of our Class A common stock may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166" w:lineRule="exact"/>
        <w:rPr>
          <w:sz w:val="20"/>
          <w:szCs w:val="20"/>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32" w:lineRule="exact"/>
        <w:rPr>
          <w:rFonts w:ascii="Arial" w:cs="Arial" w:eastAsia="Arial" w:hAnsi="Arial"/>
          <w:sz w:val="16"/>
          <w:szCs w:val="16"/>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9" w:lineRule="exact"/>
        <w:rPr>
          <w:rFonts w:ascii="Arial" w:cs="Arial" w:eastAsia="Arial" w:hAnsi="Arial"/>
          <w:sz w:val="18"/>
          <w:szCs w:val="18"/>
          <w:color w:val="auto"/>
        </w:rPr>
      </w:pPr>
    </w:p>
    <w:p>
      <w:pPr>
        <w:ind w:left="1140" w:right="80" w:hanging="754"/>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9" w:lineRule="exact"/>
        <w:rPr>
          <w:rFonts w:ascii="Arial" w:cs="Arial" w:eastAsia="Arial" w:hAnsi="Arial"/>
          <w:sz w:val="18"/>
          <w:szCs w:val="18"/>
          <w:color w:val="auto"/>
        </w:rPr>
      </w:pPr>
    </w:p>
    <w:p>
      <w:pPr>
        <w:ind w:left="1140" w:hanging="75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11"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might occur, could depress the market price of our Class A common stock.</w:t>
      </w:r>
    </w:p>
    <w:p>
      <w:pPr>
        <w:spacing w:after="0" w:line="62"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The market price for our Class A common stock could decline as a result of the sale of substantial amounts of our Class A common stock, particularly sales by our directors, executive officers and significant stockholders, or the perception in the market that holders of a large number of shares intend to sell their shares. Sales of a substantial number of shares that recently became freely tradable following the expiration of lock-up agreements entered into in connection with our IPO, or the perception that such sales may occur, could also cause our market price to fall or make it more difficult for you to sell your Class A common stock at a time and price that you deem appropriate.</w:t>
      </w:r>
    </w:p>
    <w:p>
      <w:pPr>
        <w:spacing w:after="0" w:line="188" w:lineRule="exact"/>
        <w:rPr>
          <w:sz w:val="20"/>
          <w:szCs w:val="20"/>
          <w:color w:val="auto"/>
        </w:rPr>
      </w:pPr>
    </w:p>
    <w:p>
      <w:pPr>
        <w:ind w:right="640" w:firstLine="761"/>
        <w:spacing w:after="0" w:line="264" w:lineRule="auto"/>
        <w:rPr>
          <w:sz w:val="20"/>
          <w:szCs w:val="20"/>
          <w:color w:val="auto"/>
        </w:rPr>
      </w:pPr>
      <w:r>
        <w:rPr>
          <w:rFonts w:ascii="Arial" w:cs="Arial" w:eastAsia="Arial" w:hAnsi="Arial"/>
          <w:sz w:val="18"/>
          <w:szCs w:val="18"/>
          <w:color w:val="auto"/>
        </w:rPr>
        <w:t>In addition, certain holders of shares of our Class A common stock have rights, subject to some conditions, to require us to file registration statements covering their shares of Class A common stock or to include their shares in registration statements that we may file for ourselves or our stockholders.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firstLine="761"/>
        <w:spacing w:after="0" w:line="286" w:lineRule="auto"/>
        <w:rPr>
          <w:sz w:val="20"/>
          <w:szCs w:val="20"/>
          <w:color w:val="auto"/>
        </w:rPr>
      </w:pPr>
      <w:r>
        <w:rPr>
          <w:rFonts w:ascii="Arial" w:cs="Arial" w:eastAsia="Arial" w:hAnsi="Arial"/>
          <w:sz w:val="17"/>
          <w:szCs w:val="17"/>
          <w:color w:val="auto"/>
        </w:rPr>
        <w:t>We also filed a registration statement to register shares of our capital stock reserved for future issuance under our equity incentive plans. As a result, subject to the satisfaction of applicable exercise periods, the shares of our Class A common stock issued upon settlement of vested RSUs or exercise of outstanding options to purchase shares of our capital stock will be available for immediate resale in the United States in the open market.</w:t>
      </w:r>
    </w:p>
    <w:p>
      <w:pPr>
        <w:spacing w:after="0" w:line="166"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Sales of our Class A common stock as restrictions end or pursuant to registration rights may make it more difficult for us to sell equity securities in the future at a time and at a price that we deem appropriate. These sales could also cause the market price of our Class A common stock to decline and make it more difficult for you to sell shares of our Class A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ind w:right="260" w:firstLine="761"/>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52" w:lineRule="exact"/>
        <w:rPr>
          <w:sz w:val="20"/>
          <w:szCs w:val="20"/>
          <w:color w:val="auto"/>
        </w:rPr>
      </w:pPr>
    </w:p>
    <w:p>
      <w:pPr>
        <w:jc w:val="both"/>
        <w:ind w:right="200" w:firstLine="761"/>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181"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23" w:lineRule="exact"/>
        <w:rPr>
          <w:rFonts w:ascii="Arial" w:cs="Arial" w:eastAsia="Arial" w:hAnsi="Arial"/>
          <w:sz w:val="18"/>
          <w:szCs w:val="18"/>
          <w:color w:val="auto"/>
        </w:rPr>
      </w:pPr>
    </w:p>
    <w:p>
      <w:pPr>
        <w:ind w:left="760" w:hanging="752"/>
        <w:spacing w:after="0" w:line="265"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9" w:lineRule="exact"/>
        <w:rPr>
          <w:rFonts w:ascii="Arial" w:cs="Arial" w:eastAsia="Arial" w:hAnsi="Arial"/>
          <w:sz w:val="18"/>
          <w:szCs w:val="18"/>
          <w:color w:val="auto"/>
        </w:rPr>
      </w:pPr>
    </w:p>
    <w:p>
      <w:pPr>
        <w:ind w:left="760" w:right="120" w:hanging="752"/>
        <w:spacing w:after="0" w:line="25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amend our amended and restated certificate of incorporation;</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5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80" w:firstLine="761"/>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ind w:right="140"/>
        <w:spacing w:after="0" w:line="290" w:lineRule="auto"/>
        <w:rPr>
          <w:sz w:val="20"/>
          <w:szCs w:val="20"/>
          <w:color w:val="auto"/>
        </w:rPr>
      </w:pPr>
      <w:r>
        <w:rPr>
          <w:rFonts w:ascii="Arial" w:cs="Arial" w:eastAsia="Arial" w:hAnsi="Arial"/>
          <w:sz w:val="16"/>
          <w:szCs w:val="16"/>
          <w:color w:val="auto"/>
        </w:rPr>
        <w:t>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 their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right="100" w:firstLine="761"/>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you may only receive a return on your investment in our Class A common stock if the trading price of your shares increases.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40" w:lineRule="exact"/>
        <w:rPr>
          <w:sz w:val="20"/>
          <w:szCs w:val="20"/>
          <w:color w:val="auto"/>
        </w:rPr>
      </w:pPr>
    </w:p>
    <w:p>
      <w:pPr>
        <w:ind w:right="20" w:firstLine="761"/>
        <w:spacing w:after="0" w:line="286" w:lineRule="auto"/>
        <w:rPr>
          <w:sz w:val="20"/>
          <w:szCs w:val="20"/>
          <w:color w:val="auto"/>
        </w:rPr>
      </w:pPr>
      <w:r>
        <w:rPr>
          <w:rFonts w:ascii="Arial" w:cs="Arial" w:eastAsia="Arial" w:hAnsi="Arial"/>
          <w:sz w:val="17"/>
          <w:szCs w:val="17"/>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166" w:lineRule="exact"/>
        <w:rPr>
          <w:sz w:val="20"/>
          <w:szCs w:val="20"/>
          <w:color w:val="auto"/>
        </w:rPr>
      </w:pPr>
    </w:p>
    <w:p>
      <w:pPr>
        <w:ind w:left="1140" w:hanging="75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23" w:lineRule="exact"/>
        <w:rPr>
          <w:rFonts w:ascii="Arial" w:cs="Arial" w:eastAsia="Arial" w:hAnsi="Arial"/>
          <w:sz w:val="18"/>
          <w:szCs w:val="18"/>
          <w:color w:val="auto"/>
        </w:rPr>
      </w:pPr>
    </w:p>
    <w:p>
      <w:pPr>
        <w:ind w:left="1140" w:right="500" w:hanging="754"/>
        <w:spacing w:after="0" w:line="28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1" w:lineRule="exact"/>
        <w:rPr>
          <w:rFonts w:ascii="Arial" w:cs="Arial" w:eastAsia="Arial" w:hAnsi="Arial"/>
          <w:sz w:val="16"/>
          <w:szCs w:val="16"/>
          <w:color w:val="auto"/>
        </w:rPr>
      </w:pPr>
    </w:p>
    <w:p>
      <w:pPr>
        <w:ind w:left="1140" w:right="100" w:hanging="754"/>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ind w:left="1140" w:right="60" w:hanging="754"/>
        <w:spacing w:after="0" w:line="277"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14"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5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62"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our fiscal year following the fifth anniversary of our IPO, subject to specified conditions. For so long as we remain an emerging growth company, we are permitted and intend to rely on exemptions from some disclosure requirements that are applicable to other public companies that are not emerging growth companies. These exemptions include:</w:t>
      </w:r>
    </w:p>
    <w:p>
      <w:pPr>
        <w:spacing w:after="0" w:line="187" w:lineRule="exact"/>
        <w:rPr>
          <w:sz w:val="20"/>
          <w:szCs w:val="20"/>
          <w:color w:val="auto"/>
        </w:rPr>
      </w:pPr>
    </w:p>
    <w:p>
      <w:pPr>
        <w:ind w:left="1140" w:right="140" w:hanging="754"/>
        <w:spacing w:after="0" w:line="291"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ind w:left="1140" w:hanging="754"/>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0" w:lineRule="exact"/>
        <w:rPr>
          <w:rFonts w:ascii="Arial" w:cs="Arial" w:eastAsia="Arial" w:hAnsi="Arial"/>
          <w:sz w:val="17"/>
          <w:szCs w:val="17"/>
          <w:color w:val="auto"/>
        </w:rPr>
      </w:pPr>
    </w:p>
    <w:p>
      <w:pPr>
        <w:ind w:left="1140" w:right="480" w:hanging="754"/>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8"/>
          <w:szCs w:val="18"/>
          <w:color w:val="auto"/>
        </w:rPr>
      </w:pPr>
    </w:p>
    <w:p>
      <w:pPr>
        <w:ind w:left="1140" w:hanging="75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9" w:lineRule="exact"/>
        <w:rPr>
          <w:rFonts w:ascii="Arial" w:cs="Arial" w:eastAsia="Arial" w:hAnsi="Arial"/>
          <w:sz w:val="18"/>
          <w:szCs w:val="18"/>
          <w:color w:val="auto"/>
        </w:rPr>
      </w:pPr>
    </w:p>
    <w:p>
      <w:pPr>
        <w:ind w:left="1140" w:right="80" w:hanging="754"/>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4" w:lineRule="exact"/>
        <w:rPr>
          <w:sz w:val="20"/>
          <w:szCs w:val="20"/>
          <w:color w:val="auto"/>
        </w:rPr>
      </w:pPr>
    </w:p>
    <w:p>
      <w:pPr>
        <w:ind w:right="60" w:firstLine="761"/>
        <w:spacing w:after="0" w:line="291" w:lineRule="auto"/>
        <w:rPr>
          <w:sz w:val="20"/>
          <w:szCs w:val="20"/>
          <w:color w:val="auto"/>
        </w:rPr>
      </w:pPr>
      <w:r>
        <w:rPr>
          <w:rFonts w:ascii="Arial" w:cs="Arial" w:eastAsia="Arial" w:hAnsi="Arial"/>
          <w:sz w:val="16"/>
          <w:szCs w:val="16"/>
          <w:color w:val="auto"/>
        </w:rPr>
        <w:t>We have taken advantage of reduced reporting burdens in our public filings with the SEC. We cannot predict whether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0" w:type="dxa"/>
            <w:vAlign w:val="bottom"/>
            <w:gridSpan w:val="17"/>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File</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0" w:type="dxa"/>
            <w:vAlign w:val="bottom"/>
            <w:gridSpan w:val="17"/>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580" w:type="dxa"/>
            <w:vAlign w:val="bottom"/>
            <w:gridSpan w:val="2"/>
            <w:vMerge w:val="continue"/>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14"/>
                <w:szCs w:val="14"/>
                <w:color w:val="auto"/>
              </w:rPr>
            </w:pPr>
          </w:p>
        </w:tc>
        <w:tc>
          <w:tcPr>
            <w:tcW w:w="4480" w:type="dxa"/>
            <w:vAlign w:val="bottom"/>
            <w:tcBorders>
              <w:top w:val="single" w:sz="8" w:color="auto"/>
            </w:tcBorders>
            <w:gridSpan w:val="19"/>
          </w:tcPr>
          <w:p>
            <w:pPr>
              <w:spacing w:after="0" w:line="170" w:lineRule="exact"/>
              <w:rPr>
                <w:rFonts w:ascii="Arial" w:cs="Arial" w:eastAsia="Arial" w:hAnsi="Arial"/>
                <w:sz w:val="18"/>
                <w:szCs w:val="18"/>
                <w:color w:val="0000EE"/>
              </w:rPr>
            </w:pPr>
            <w:hyperlink r:id="rId72">
              <w:r>
                <w:rPr>
                  <w:rFonts w:ascii="Arial" w:cs="Arial" w:eastAsia="Arial" w:hAnsi="Arial"/>
                  <w:sz w:val="18"/>
                  <w:szCs w:val="18"/>
                  <w:color w:val="0000EE"/>
                </w:rPr>
                <w:t>Form of Non-Employee Director Restricted Stock Unit</w:t>
              </w:r>
            </w:hyperlink>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March 26, 2018</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Agreement.</w:t>
              </w:r>
            </w:hyperlink>
          </w:p>
        </w:tc>
        <w:tc>
          <w:tcPr>
            <w:tcW w:w="62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CarGurus, Inc. Annual Incentive Plan.</w:t>
              </w:r>
            </w:hyperlink>
          </w:p>
        </w:tc>
        <w:tc>
          <w:tcPr>
            <w:tcW w:w="9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April 6, 2018</w:t>
            </w: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Form of Executive Restricted Stock Unit Agreement</w:t>
              </w:r>
            </w:hyperlink>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44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Principal Executive Officer Pursuant to Rules</w:t>
              </w:r>
            </w:hyperlink>
          </w:p>
        </w:tc>
        <w:tc>
          <w:tcPr>
            <w:tcW w:w="1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13a-14(a) and 15d-14(a) under the Securities Exchange Act</w:t>
              </w:r>
            </w:hyperlink>
          </w:p>
        </w:tc>
        <w:tc>
          <w:tcPr>
            <w:tcW w:w="2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of 1934, as Adopted Pursuant to Section 302 of the Sarbanes-</w:t>
              </w:r>
            </w:hyperlink>
          </w:p>
        </w:tc>
        <w:tc>
          <w:tcPr>
            <w:tcW w:w="1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Oxley Act of 2002.</w:t>
              </w:r>
            </w:hyperlink>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4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Certification of Principal Financial Officer and Principal</w:t>
              </w:r>
            </w:hyperlink>
          </w:p>
        </w:tc>
        <w:tc>
          <w:tcPr>
            <w:tcW w:w="48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Accounting Officer Pursuant to Rules 13a-14(a) and 15d-</w:t>
              </w:r>
            </w:hyperlink>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14(a) under the Securities Exchange Act of 1934, as Adopted</w:t>
              </w:r>
            </w:hyperlink>
          </w:p>
        </w:tc>
        <w:tc>
          <w:tcPr>
            <w:tcW w:w="1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Pursuant to Section 302 of the Sarbanes-Oxley Act of 2002.</w:t>
              </w:r>
            </w:hyperlink>
          </w:p>
        </w:tc>
        <w:tc>
          <w:tcPr>
            <w:tcW w:w="2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17"/>
                <w:szCs w:val="17"/>
                <w:color w:val="auto"/>
              </w:rPr>
            </w:pPr>
          </w:p>
        </w:tc>
        <w:tc>
          <w:tcPr>
            <w:tcW w:w="42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Principal Executive Officer Pursuant to 18</w:t>
              </w:r>
            </w:hyperlink>
          </w:p>
        </w:tc>
        <w:tc>
          <w:tcPr>
            <w:tcW w:w="3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U.S.C. Section 1350, as Adopted Pursuant to Section 906 of</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the Sarbanes-Oxley Act of 2002.</w:t>
              </w:r>
            </w:hyperlink>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17"/>
                <w:szCs w:val="17"/>
                <w:color w:val="auto"/>
              </w:rPr>
            </w:pPr>
          </w:p>
        </w:tc>
        <w:tc>
          <w:tcPr>
            <w:tcW w:w="40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Certification of Principal Financial Officer and Principal</w:t>
              </w:r>
            </w:hyperlink>
          </w:p>
        </w:tc>
        <w:tc>
          <w:tcPr>
            <w:tcW w:w="5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20"/>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Accounting Officer Pursuant to 18 U.S.C. Section 1350, as</w:t>
              </w:r>
            </w:hyperlink>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40" w:type="dxa"/>
            <w:vAlign w:val="bottom"/>
            <w:gridSpan w:val="11"/>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Adopted Pursuant to Section 906 of the Sarbanes-Oxley Act</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of 2002.</w:t>
              </w:r>
            </w:hyperlink>
          </w:p>
        </w:tc>
        <w:tc>
          <w:tcPr>
            <w:tcW w:w="398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458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458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45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4580" w:type="dxa"/>
            <w:vAlign w:val="bottom"/>
            <w:gridSpan w:val="20"/>
          </w:tcPr>
          <w:p>
            <w:pPr>
              <w:spacing w:after="0"/>
              <w:rPr>
                <w:sz w:val="20"/>
                <w:szCs w:val="20"/>
                <w:color w:val="auto"/>
              </w:rPr>
            </w:pPr>
            <w:r>
              <w:rPr>
                <w:rFonts w:ascii="Arial" w:cs="Arial" w:eastAsia="Arial" w:hAnsi="Arial"/>
                <w:sz w:val="18"/>
                <w:szCs w:val="18"/>
                <w:color w:val="auto"/>
                <w:w w:val="97"/>
              </w:rPr>
              <w:t>XBRL Taxonomy Extension Definition Linkbase Document.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458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45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right="220" w:firstLine="8"/>
        <w:spacing w:after="0" w:line="291" w:lineRule="auto"/>
        <w:tabs>
          <w:tab w:leader="none" w:pos="1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8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500" w:type="dxa"/>
            <w:vAlign w:val="bottom"/>
          </w:tcPr>
          <w:p>
            <w:pPr>
              <w:spacing w:after="0"/>
              <w:rPr>
                <w:sz w:val="20"/>
                <w:szCs w:val="20"/>
                <w:color w:val="auto"/>
              </w:rPr>
            </w:pPr>
            <w:r>
              <w:rPr>
                <w:rFonts w:ascii="Arial" w:cs="Arial" w:eastAsia="Arial" w:hAnsi="Arial"/>
                <w:sz w:val="18"/>
                <w:szCs w:val="18"/>
                <w:color w:val="auto"/>
              </w:rPr>
              <w:t>Date: May 3, 2018</w:t>
            </w:r>
          </w:p>
        </w:tc>
        <w:tc>
          <w:tcPr>
            <w:tcW w:w="7920" w:type="dxa"/>
            <w:vAlign w:val="bottom"/>
            <w:gridSpan w:val="2"/>
          </w:tcPr>
          <w:p>
            <w:pPr>
              <w:ind w:left="2280"/>
              <w:spacing w:after="0"/>
              <w:rPr>
                <w:sz w:val="20"/>
                <w:szCs w:val="20"/>
                <w:color w:val="auto"/>
              </w:rPr>
            </w:pPr>
            <w:r>
              <w:rPr>
                <w:rFonts w:ascii="Arial" w:cs="Arial" w:eastAsia="Arial" w:hAnsi="Arial"/>
                <w:sz w:val="18"/>
                <w:szCs w:val="18"/>
                <w:color w:val="auto"/>
              </w:rPr>
              <w:t>By: /s/ Langley Steinert</w:t>
            </w:r>
          </w:p>
        </w:tc>
      </w:tr>
      <w:tr>
        <w:trPr>
          <w:trHeight w:val="222"/>
        </w:trPr>
        <w:tc>
          <w:tcPr>
            <w:tcW w:w="3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500" w:type="dxa"/>
            <w:vAlign w:val="bottom"/>
          </w:tcPr>
          <w:p>
            <w:pPr>
              <w:spacing w:after="0"/>
              <w:rPr>
                <w:sz w:val="20"/>
                <w:szCs w:val="20"/>
                <w:color w:val="auto"/>
              </w:rPr>
            </w:pPr>
            <w:r>
              <w:rPr>
                <w:rFonts w:ascii="Arial" w:cs="Arial" w:eastAsia="Arial" w:hAnsi="Arial"/>
                <w:sz w:val="18"/>
                <w:szCs w:val="18"/>
                <w:color w:val="auto"/>
              </w:rPr>
              <w:t>Date: May 3, 2018</w:t>
            </w:r>
          </w:p>
        </w:tc>
        <w:tc>
          <w:tcPr>
            <w:tcW w:w="7920" w:type="dxa"/>
            <w:vAlign w:val="bottom"/>
            <w:gridSpan w:val="2"/>
          </w:tcPr>
          <w:p>
            <w:pPr>
              <w:ind w:left="2280"/>
              <w:spacing w:after="0"/>
              <w:rPr>
                <w:sz w:val="20"/>
                <w:szCs w:val="20"/>
                <w:color w:val="auto"/>
              </w:rPr>
            </w:pPr>
            <w:r>
              <w:rPr>
                <w:rFonts w:ascii="Arial" w:cs="Arial" w:eastAsia="Arial" w:hAnsi="Arial"/>
                <w:sz w:val="18"/>
                <w:szCs w:val="18"/>
                <w:color w:val="auto"/>
              </w:rPr>
              <w:t>By: /s/ Jason Trevisan</w:t>
            </w:r>
          </w:p>
        </w:tc>
      </w:tr>
      <w:tr>
        <w:trPr>
          <w:trHeight w:val="222"/>
        </w:trPr>
        <w:tc>
          <w:tcPr>
            <w:tcW w:w="3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500" w:type="dxa"/>
            <w:vAlign w:val="bottom"/>
          </w:tcPr>
          <w:p>
            <w:pPr>
              <w:spacing w:after="0"/>
              <w:rPr>
                <w:sz w:val="24"/>
                <w:szCs w:val="24"/>
                <w:color w:val="auto"/>
              </w:rPr>
            </w:pP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10.3</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EXECUTIVE FORM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OMNIBUS INCENTIVE COMPENSATION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AGREEMENT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RESTRICTED STOCK UNIT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_________________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is delivered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CarGurus, Inc. (the “</w:t>
      </w:r>
      <w:r>
        <w:rPr>
          <w:rFonts w:ascii="Arial" w:cs="Arial" w:eastAsia="Arial" w:hAnsi="Arial"/>
          <w:sz w:val="18"/>
          <w:szCs w:val="18"/>
          <w:u w:val="single" w:color="auto"/>
          <w:color w:val="auto"/>
        </w:rPr>
        <w:t>Company</w:t>
      </w:r>
      <w:r>
        <w:rPr>
          <w:rFonts w:ascii="Arial" w:cs="Arial" w:eastAsia="Arial" w:hAnsi="Arial"/>
          <w:sz w:val="18"/>
          <w:szCs w:val="18"/>
          <w:color w:val="auto"/>
        </w:rPr>
        <w:t>”) to _______________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CarGurus, Inc.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provides for the grant of restricted stock units. The Committee has decided to make this grant of restricted stock units as an inducement for the Participant to promote the best interests of the Company and its stockholders. The Participant hereby acknowledges the receipt of a copy of the official prospectus for the Plan, which is available by accessing the Company’s intranet at </w:t>
      </w:r>
      <w:r>
        <w:rPr>
          <w:rFonts w:ascii="Arial" w:cs="Arial" w:eastAsia="Arial" w:hAnsi="Arial"/>
          <w:sz w:val="18"/>
          <w:szCs w:val="18"/>
          <w:u w:val="single" w:color="auto"/>
          <w:color w:val="auto"/>
        </w:rPr>
        <w:t>https://cargurus.atlassian.net/wiki/spaces/HR/overview</w:t>
      </w:r>
      <w:r>
        <w:rPr>
          <w:rFonts w:ascii="Arial" w:cs="Arial" w:eastAsia="Arial" w:hAnsi="Arial"/>
          <w:sz w:val="18"/>
          <w:szCs w:val="18"/>
          <w:color w:val="auto"/>
        </w:rPr>
        <w:t xml:space="preserve">. Paper copies of the Plan and the official Plan prospectus are available by contacting the Senior Vice President, General Counsel of the Company at 617.315.4900 or </w:t>
      </w:r>
      <w:r>
        <w:rPr>
          <w:rFonts w:ascii="Arial" w:cs="Arial" w:eastAsia="Arial" w:hAnsi="Arial"/>
          <w:sz w:val="18"/>
          <w:szCs w:val="18"/>
          <w:u w:val="single" w:color="auto"/>
          <w:color w:val="auto"/>
        </w:rPr>
        <w:t>legal@cargurus.com</w:t>
      </w:r>
      <w:r>
        <w:rPr>
          <w:rFonts w:ascii="Arial" w:cs="Arial" w:eastAsia="Arial" w:hAnsi="Arial"/>
          <w:sz w:val="18"/>
          <w:szCs w:val="18"/>
          <w:color w:val="auto"/>
        </w:rPr>
        <w:t>. This Agreement is made pursuant to the Plan and is subject in its entirety to all applicable provisions of the Plan. Capitalized terms used herein and not otherwise defined will have the meanings set forth in the Plan.</w:t>
      </w:r>
    </w:p>
    <w:p>
      <w:pPr>
        <w:spacing w:after="0" w:line="216"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19"/>
          <w:szCs w:val="19"/>
          <w:color w:val="auto"/>
        </w:rPr>
      </w:pPr>
      <w:r>
        <w:rPr>
          <w:rFonts w:ascii="Arial" w:cs="Arial" w:eastAsia="Arial" w:hAnsi="Arial"/>
          <w:sz w:val="16"/>
          <w:szCs w:val="16"/>
          <w:u w:val="single" w:color="auto"/>
          <w:color w:val="auto"/>
        </w:rPr>
        <w:t>Grant of Stock Units</w:t>
      </w:r>
      <w:r>
        <w:rPr>
          <w:rFonts w:ascii="Arial" w:cs="Arial" w:eastAsia="Arial" w:hAnsi="Arial"/>
          <w:sz w:val="16"/>
          <w:szCs w:val="16"/>
          <w:color w:val="auto"/>
        </w:rPr>
        <w:t>. Subject to the terms and conditions set forth in this Agreement and in the Plan, the Company hereby grants the Participant</w:t>
      </w:r>
    </w:p>
    <w:p>
      <w:pPr>
        <w:spacing w:after="0" w:line="13" w:lineRule="exact"/>
        <w:rPr>
          <w:rFonts w:ascii="Arial" w:cs="Arial" w:eastAsia="Arial" w:hAnsi="Arial"/>
          <w:sz w:val="19"/>
          <w:szCs w:val="19"/>
          <w:color w:val="auto"/>
        </w:rPr>
      </w:pPr>
    </w:p>
    <w:p>
      <w:pPr>
        <w:spacing w:after="0" w:line="321" w:lineRule="auto"/>
        <w:rPr>
          <w:rFonts w:ascii="Arial" w:cs="Arial" w:eastAsia="Arial" w:hAnsi="Arial"/>
          <w:sz w:val="19"/>
          <w:szCs w:val="19"/>
          <w:color w:val="auto"/>
        </w:rPr>
      </w:pPr>
      <w:r>
        <w:rPr>
          <w:rFonts w:ascii="Arial" w:cs="Arial" w:eastAsia="Arial" w:hAnsi="Arial"/>
          <w:sz w:val="16"/>
          <w:szCs w:val="16"/>
          <w:color w:val="auto"/>
        </w:rPr>
        <w:t>_______ restricted stock units, subject to the restrictions set forth below and in the Plan (the “</w:t>
      </w:r>
      <w:r>
        <w:rPr>
          <w:rFonts w:ascii="Arial" w:cs="Arial" w:eastAsia="Arial" w:hAnsi="Arial"/>
          <w:sz w:val="16"/>
          <w:szCs w:val="16"/>
          <w:u w:val="single" w:color="auto"/>
          <w:color w:val="auto"/>
        </w:rPr>
        <w:t>Stock Units</w:t>
      </w:r>
      <w:r>
        <w:rPr>
          <w:rFonts w:ascii="Arial" w:cs="Arial" w:eastAsia="Arial" w:hAnsi="Arial"/>
          <w:sz w:val="16"/>
          <w:szCs w:val="16"/>
          <w:color w:val="auto"/>
        </w:rPr>
        <w:t>”). Each Stock Unit represents the right of the Participant to receive a share of Class A common stock of the Company (“</w:t>
      </w:r>
      <w:r>
        <w:rPr>
          <w:rFonts w:ascii="Arial" w:cs="Arial" w:eastAsia="Arial" w:hAnsi="Arial"/>
          <w:sz w:val="16"/>
          <w:szCs w:val="16"/>
          <w:u w:val="single" w:color="auto"/>
          <w:color w:val="auto"/>
        </w:rPr>
        <w:t>Company Stock</w:t>
      </w:r>
      <w:r>
        <w:rPr>
          <w:rFonts w:ascii="Arial" w:cs="Arial" w:eastAsia="Arial" w:hAnsi="Arial"/>
          <w:sz w:val="16"/>
          <w:szCs w:val="16"/>
          <w:color w:val="auto"/>
        </w:rPr>
        <w:t>”) on the applicable payment date set forth in Section 5 below.</w:t>
      </w:r>
    </w:p>
    <w:p>
      <w:pPr>
        <w:spacing w:after="0" w:line="167" w:lineRule="exact"/>
        <w:rPr>
          <w:rFonts w:ascii="Arial" w:cs="Arial" w:eastAsia="Arial" w:hAnsi="Arial"/>
          <w:sz w:val="19"/>
          <w:szCs w:val="19"/>
          <w:color w:val="auto"/>
        </w:rPr>
      </w:pPr>
    </w:p>
    <w:p>
      <w:pPr>
        <w:jc w:val="both"/>
        <w:ind w:firstLine="8"/>
        <w:spacing w:after="0" w:line="245" w:lineRule="auto"/>
        <w:tabs>
          <w:tab w:leader="none" w:pos="810" w:val="left"/>
        </w:tabs>
        <w:numPr>
          <w:ilvl w:val="0"/>
          <w:numId w:val="18"/>
        </w:numPr>
        <w:rPr>
          <w:rFonts w:ascii="Arial" w:cs="Arial" w:eastAsia="Arial" w:hAnsi="Arial"/>
          <w:sz w:val="22"/>
          <w:szCs w:val="22"/>
          <w:color w:val="auto"/>
        </w:rPr>
      </w:pPr>
      <w:r>
        <w:rPr>
          <w:rFonts w:ascii="Arial" w:cs="Arial" w:eastAsia="Arial" w:hAnsi="Arial"/>
          <w:sz w:val="18"/>
          <w:szCs w:val="18"/>
          <w:u w:val="single" w:color="auto"/>
          <w:color w:val="auto"/>
        </w:rPr>
        <w:t>Stock Unit Account</w:t>
      </w:r>
      <w:r>
        <w:rPr>
          <w:rFonts w:ascii="Arial" w:cs="Arial" w:eastAsia="Arial" w:hAnsi="Arial"/>
          <w:sz w:val="18"/>
          <w:szCs w:val="18"/>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202" w:lineRule="exact"/>
        <w:rPr>
          <w:rFonts w:ascii="Arial" w:cs="Arial" w:eastAsia="Arial" w:hAnsi="Arial"/>
          <w:sz w:val="22"/>
          <w:szCs w:val="22"/>
          <w:color w:val="auto"/>
        </w:rPr>
      </w:pPr>
    </w:p>
    <w:p>
      <w:pPr>
        <w:ind w:left="820" w:hanging="812"/>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880"/>
              <w:spacing w:after="0"/>
              <w:rPr>
                <w:sz w:val="20"/>
                <w:szCs w:val="20"/>
                <w:color w:val="auto"/>
              </w:rPr>
            </w:pPr>
            <w:r>
              <w:rPr>
                <w:rFonts w:ascii="Arial" w:cs="Arial" w:eastAsia="Arial" w:hAnsi="Arial"/>
                <w:sz w:val="22"/>
                <w:szCs w:val="22"/>
                <w:color w:val="auto"/>
              </w:rPr>
              <w:t>(a)</w:t>
            </w:r>
          </w:p>
        </w:tc>
        <w:tc>
          <w:tcPr>
            <w:tcW w:w="740" w:type="dxa"/>
            <w:vAlign w:val="bottom"/>
          </w:tcPr>
          <w:p>
            <w:pPr>
              <w:spacing w:after="0"/>
              <w:rPr>
                <w:sz w:val="21"/>
                <w:szCs w:val="21"/>
                <w:color w:val="auto"/>
              </w:rPr>
            </w:pPr>
          </w:p>
        </w:tc>
        <w:tc>
          <w:tcPr>
            <w:tcW w:w="9180" w:type="dxa"/>
            <w:vAlign w:val="bottom"/>
            <w:gridSpan w:val="6"/>
          </w:tcPr>
          <w:p>
            <w:pPr>
              <w:jc w:val="right"/>
              <w:ind w:right="20"/>
              <w:spacing w:after="0"/>
              <w:rPr>
                <w:sz w:val="20"/>
                <w:szCs w:val="20"/>
                <w:color w:val="auto"/>
              </w:rPr>
            </w:pPr>
            <w:r>
              <w:rPr>
                <w:rFonts w:ascii="Arial" w:cs="Arial" w:eastAsia="Arial" w:hAnsi="Arial"/>
                <w:sz w:val="18"/>
                <w:szCs w:val="18"/>
                <w:color w:val="auto"/>
                <w:w w:val="99"/>
              </w:rPr>
              <w:t>The Stock Units shall become vested according to the following schedule (each, a “Vesting Date”), provided that the</w:t>
            </w:r>
          </w:p>
        </w:tc>
      </w:tr>
      <w:tr>
        <w:trPr>
          <w:trHeight w:val="20"/>
        </w:trPr>
        <w:tc>
          <w:tcPr>
            <w:tcW w:w="2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11420" w:type="dxa"/>
            <w:vAlign w:val="bottom"/>
            <w:gridSpan w:val="8"/>
          </w:tcPr>
          <w:p>
            <w:pPr>
              <w:spacing w:after="0"/>
              <w:rPr>
                <w:sz w:val="20"/>
                <w:szCs w:val="20"/>
                <w:color w:val="auto"/>
              </w:rPr>
            </w:pPr>
            <w:r>
              <w:rPr>
                <w:rFonts w:ascii="Arial" w:cs="Arial" w:eastAsia="Arial" w:hAnsi="Arial"/>
                <w:sz w:val="18"/>
                <w:szCs w:val="18"/>
                <w:color w:val="auto"/>
              </w:rPr>
              <w:t>Participant continues to be employed by, or provide service to, the Employer from the Date of Grant until the applicable Vesting Date:</w:t>
            </w:r>
          </w:p>
        </w:tc>
      </w:tr>
      <w:tr>
        <w:trPr>
          <w:trHeight w:val="392"/>
        </w:trPr>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Vesting Date</w:t>
            </w:r>
          </w:p>
        </w:tc>
        <w:tc>
          <w:tcPr>
            <w:tcW w:w="4000" w:type="dxa"/>
            <w:vAlign w:val="bottom"/>
          </w:tcPr>
          <w:p>
            <w:pPr>
              <w:spacing w:after="0"/>
              <w:rPr>
                <w:sz w:val="24"/>
                <w:szCs w:val="24"/>
                <w:color w:val="auto"/>
              </w:rPr>
            </w:pPr>
          </w:p>
        </w:tc>
        <w:tc>
          <w:tcPr>
            <w:tcW w:w="4240" w:type="dxa"/>
            <w:vAlign w:val="bottom"/>
            <w:gridSpan w:val="4"/>
          </w:tcPr>
          <w:p>
            <w:pPr>
              <w:jc w:val="center"/>
              <w:ind w:right="2880"/>
              <w:spacing w:after="0"/>
              <w:rPr>
                <w:sz w:val="20"/>
                <w:szCs w:val="20"/>
                <w:color w:val="auto"/>
              </w:rPr>
            </w:pPr>
            <w:r>
              <w:rPr>
                <w:rFonts w:ascii="Arial" w:cs="Arial" w:eastAsia="Arial" w:hAnsi="Arial"/>
                <w:sz w:val="18"/>
                <w:szCs w:val="18"/>
                <w:color w:val="auto"/>
                <w:w w:val="89"/>
              </w:rPr>
              <w:t>Vested Stock Units</w:t>
            </w: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7"/>
        </w:trPr>
        <w:tc>
          <w:tcPr>
            <w:tcW w:w="1500" w:type="dxa"/>
            <w:vAlign w:val="bottom"/>
          </w:tcPr>
          <w:p>
            <w:pPr>
              <w:spacing w:after="0"/>
              <w:rPr>
                <w:sz w:val="24"/>
                <w:szCs w:val="24"/>
                <w:color w:val="auto"/>
              </w:rPr>
            </w:pPr>
          </w:p>
        </w:tc>
        <w:tc>
          <w:tcPr>
            <w:tcW w:w="5680" w:type="dxa"/>
            <w:vAlign w:val="bottom"/>
            <w:gridSpan w:val="3"/>
          </w:tcPr>
          <w:p>
            <w:pPr>
              <w:jc w:val="center"/>
              <w:ind w:right="3260"/>
              <w:spacing w:after="0"/>
              <w:rPr>
                <w:sz w:val="20"/>
                <w:szCs w:val="20"/>
                <w:color w:val="auto"/>
              </w:rPr>
            </w:pPr>
            <w:r>
              <w:rPr>
                <w:rFonts w:ascii="Arial" w:cs="Arial" w:eastAsia="Arial" w:hAnsi="Arial"/>
                <w:sz w:val="18"/>
                <w:szCs w:val="18"/>
                <w:color w:val="auto"/>
                <w:w w:val="89"/>
              </w:rPr>
              <w:t>___________________</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__________</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5680" w:type="dxa"/>
            <w:vAlign w:val="bottom"/>
            <w:gridSpan w:val="3"/>
          </w:tcPr>
          <w:p>
            <w:pPr>
              <w:jc w:val="center"/>
              <w:ind w:right="3260"/>
              <w:spacing w:after="0"/>
              <w:rPr>
                <w:sz w:val="20"/>
                <w:szCs w:val="20"/>
                <w:color w:val="auto"/>
              </w:rPr>
            </w:pPr>
            <w:r>
              <w:rPr>
                <w:rFonts w:ascii="Arial" w:cs="Arial" w:eastAsia="Arial" w:hAnsi="Arial"/>
                <w:sz w:val="18"/>
                <w:szCs w:val="18"/>
                <w:color w:val="auto"/>
                <w:w w:val="89"/>
              </w:rPr>
              <w:t>___________________</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__________</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1500" w:type="dxa"/>
            <w:vAlign w:val="bottom"/>
          </w:tcPr>
          <w:p>
            <w:pPr>
              <w:spacing w:after="0"/>
              <w:rPr>
                <w:sz w:val="23"/>
                <w:szCs w:val="23"/>
                <w:color w:val="auto"/>
              </w:rPr>
            </w:pPr>
          </w:p>
        </w:tc>
        <w:tc>
          <w:tcPr>
            <w:tcW w:w="5680" w:type="dxa"/>
            <w:vAlign w:val="bottom"/>
            <w:gridSpan w:val="3"/>
          </w:tcPr>
          <w:p>
            <w:pPr>
              <w:jc w:val="center"/>
              <w:ind w:right="3260"/>
              <w:spacing w:after="0"/>
              <w:rPr>
                <w:sz w:val="20"/>
                <w:szCs w:val="20"/>
                <w:color w:val="auto"/>
              </w:rPr>
            </w:pPr>
            <w:r>
              <w:rPr>
                <w:rFonts w:ascii="Arial" w:cs="Arial" w:eastAsia="Arial" w:hAnsi="Arial"/>
                <w:sz w:val="18"/>
                <w:szCs w:val="18"/>
                <w:color w:val="auto"/>
                <w:w w:val="89"/>
              </w:rPr>
              <w:t>___________________</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__________</w:t>
            </w: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7"/>
        </w:trPr>
        <w:tc>
          <w:tcPr>
            <w:tcW w:w="1500" w:type="dxa"/>
            <w:vAlign w:val="bottom"/>
          </w:tcPr>
          <w:p>
            <w:pPr>
              <w:spacing w:after="0"/>
              <w:rPr>
                <w:sz w:val="22"/>
                <w:szCs w:val="22"/>
                <w:color w:val="auto"/>
              </w:rPr>
            </w:pPr>
          </w:p>
        </w:tc>
        <w:tc>
          <w:tcPr>
            <w:tcW w:w="5680" w:type="dxa"/>
            <w:vAlign w:val="bottom"/>
            <w:gridSpan w:val="3"/>
          </w:tcPr>
          <w:p>
            <w:pPr>
              <w:jc w:val="center"/>
              <w:ind w:right="3260"/>
              <w:spacing w:after="0"/>
              <w:rPr>
                <w:sz w:val="20"/>
                <w:szCs w:val="20"/>
                <w:color w:val="auto"/>
              </w:rPr>
            </w:pPr>
            <w:r>
              <w:rPr>
                <w:rFonts w:ascii="Arial" w:cs="Arial" w:eastAsia="Arial" w:hAnsi="Arial"/>
                <w:sz w:val="18"/>
                <w:szCs w:val="18"/>
                <w:color w:val="auto"/>
                <w:w w:val="89"/>
              </w:rPr>
              <w:t>___________________</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__________</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515"/>
        </w:trPr>
        <w:tc>
          <w:tcPr>
            <w:tcW w:w="1500" w:type="dxa"/>
            <w:vAlign w:val="bottom"/>
          </w:tcPr>
          <w:p>
            <w:pPr>
              <w:ind w:left="880"/>
              <w:spacing w:after="0"/>
              <w:rPr>
                <w:sz w:val="20"/>
                <w:szCs w:val="20"/>
                <w:color w:val="auto"/>
              </w:rPr>
            </w:pPr>
            <w:r>
              <w:rPr>
                <w:rFonts w:ascii="Arial" w:cs="Arial" w:eastAsia="Arial" w:hAnsi="Arial"/>
                <w:sz w:val="22"/>
                <w:szCs w:val="22"/>
                <w:color w:val="auto"/>
              </w:rPr>
              <w:t>(b)</w:t>
            </w:r>
          </w:p>
        </w:tc>
        <w:tc>
          <w:tcPr>
            <w:tcW w:w="740" w:type="dxa"/>
            <w:vAlign w:val="bottom"/>
          </w:tcPr>
          <w:p>
            <w:pPr>
              <w:spacing w:after="0"/>
              <w:rPr>
                <w:sz w:val="24"/>
                <w:szCs w:val="24"/>
                <w:color w:val="auto"/>
              </w:rPr>
            </w:pPr>
          </w:p>
        </w:tc>
        <w:tc>
          <w:tcPr>
            <w:tcW w:w="9180" w:type="dxa"/>
            <w:vAlign w:val="bottom"/>
            <w:gridSpan w:val="6"/>
          </w:tcPr>
          <w:p>
            <w:pPr>
              <w:jc w:val="right"/>
              <w:spacing w:after="0"/>
              <w:rPr>
                <w:sz w:val="20"/>
                <w:szCs w:val="20"/>
                <w:color w:val="auto"/>
              </w:rPr>
            </w:pPr>
            <w:r>
              <w:rPr>
                <w:rFonts w:ascii="Arial" w:cs="Arial" w:eastAsia="Arial" w:hAnsi="Arial"/>
                <w:sz w:val="18"/>
                <w:szCs w:val="18"/>
                <w:color w:val="auto"/>
                <w:w w:val="94"/>
              </w:rPr>
              <w:t>The vesting of the Stock Units shall be cumulative, but shall not exceed 100% of the Stock Units. If the foregoing schedule</w:t>
            </w:r>
          </w:p>
        </w:tc>
      </w:tr>
    </w:tbl>
    <w:p>
      <w:pPr>
        <w:jc w:val="both"/>
        <w:spacing w:after="0" w:line="321" w:lineRule="auto"/>
        <w:rPr>
          <w:sz w:val="20"/>
          <w:szCs w:val="20"/>
          <w:color w:val="auto"/>
        </w:rPr>
      </w:pPr>
      <w:r>
        <w:rPr>
          <w:rFonts w:ascii="Arial" w:cs="Arial" w:eastAsia="Arial" w:hAnsi="Arial"/>
          <w:sz w:val="16"/>
          <w:szCs w:val="16"/>
          <w:color w:val="auto"/>
        </w:rPr>
        <w:t>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33"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(c) </w:t>
      </w:r>
      <w:r>
        <w:rPr>
          <w:rFonts w:ascii="Arial" w:cs="Arial" w:eastAsia="Arial" w:hAnsi="Arial"/>
          <w:sz w:val="18"/>
          <w:szCs w:val="18"/>
          <w:color w:val="auto"/>
        </w:rPr>
        <w:t>Except as otherwise provided in a written employment agreement or severance agreement entered into by and between the</w:t>
      </w:r>
      <w:r>
        <w:rPr>
          <w:rFonts w:ascii="Arial" w:cs="Arial" w:eastAsia="Arial" w:hAnsi="Arial"/>
          <w:sz w:val="22"/>
          <w:szCs w:val="22"/>
          <w:color w:val="auto"/>
        </w:rPr>
        <w:t xml:space="preserve"> </w:t>
      </w:r>
      <w:r>
        <w:rPr>
          <w:rFonts w:ascii="Arial" w:cs="Arial" w:eastAsia="Arial" w:hAnsi="Arial"/>
          <w:sz w:val="18"/>
          <w:szCs w:val="18"/>
          <w:color w:val="auto"/>
        </w:rPr>
        <w:t>Participant and the Employer, in the event of a Change of Control before all of the Stock Units vest in accordance with Section 3(a) above, the provisions of the Plan applicable to a Change of Control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apply to the Stock Units, and, in the event of a Change of Control, the Committee may take such actions with respect to the vesting of the Stock Units as it deems appropriate pursuant to the Plan.</w:t>
      </w:r>
    </w:p>
    <w:p>
      <w:pPr>
        <w:spacing w:after="0" w:line="170"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Notwithstanding the foregoing, if the Company is not the surviving corporation (or survives only as a subsidiary of another corporation) as a result of the Change of Control and the Stock Units are assumed by, or replaced with an award with comparable terms by, the surviving corporation (or parent or subsidiary of the surviving corporation) and the Participant’s employment is terminated by the Employer without Cause (as defined below) or by the Participant for Good Reason (as defined below) upon or within 12 months following a Change of Control and before the Stock Units are fully vested in accordance with the vesting schedule set forth in Section 3(a) above, 100% of any then-unvested Stock Units shall become vested upon such termination of employment.</w:t>
      </w:r>
    </w:p>
    <w:p>
      <w:pPr>
        <w:spacing w:after="0" w:line="16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8"/>
          <w:szCs w:val="18"/>
          <w:color w:val="auto"/>
        </w:rPr>
        <w:t>For purposes of this Agreement, the following terms have the following meanings:</w:t>
      </w:r>
    </w:p>
    <w:p>
      <w:pPr>
        <w:spacing w:after="0" w:line="236" w:lineRule="exact"/>
        <w:rPr>
          <w:sz w:val="20"/>
          <w:szCs w:val="20"/>
          <w:color w:val="auto"/>
        </w:rPr>
      </w:pPr>
    </w:p>
    <w:p>
      <w:pPr>
        <w:ind w:right="180" w:firstLine="1763"/>
        <w:spacing w:after="0" w:line="254" w:lineRule="auto"/>
        <w:tabs>
          <w:tab w:leader="none" w:pos="2573"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“Cause” shall have the meaning given to that term in any written employment agreement, offer letter or severance agreement between the Company and the Participant, or if no such agreement exists or if such term is not defined therein, Cause shall mean a finding by the Committee that the Participant has (I) materially breached his or her employment agreement or offer letter with Company, which breach has not been remedied by the Participant within 30 days after written notice has been provided to him or her of such breach, (II) engaged in disloyalty to the Company, including, without limitation, fraud, embezzlement, theft, commission of a felony or proven dishonesty, (III) disclosed trade secrets or confidential information of the Company to persons not entitled to receive such information, (IV) breached any written non-competition, non-solicitation, invention assignment or confidentiality agreement between the Participant and the Company or (V) engaged in such other behavior detrimental to the interests of the Company as the Committee reasonably determines.</w:t>
      </w:r>
    </w:p>
    <w:p>
      <w:pPr>
        <w:spacing w:after="0" w:line="192" w:lineRule="exact"/>
        <w:rPr>
          <w:rFonts w:ascii="Arial" w:cs="Arial" w:eastAsia="Arial" w:hAnsi="Arial"/>
          <w:sz w:val="18"/>
          <w:szCs w:val="18"/>
          <w:color w:val="auto"/>
        </w:rPr>
      </w:pPr>
    </w:p>
    <w:p>
      <w:pPr>
        <w:ind w:right="220" w:firstLine="1763"/>
        <w:spacing w:after="0" w:line="255" w:lineRule="auto"/>
        <w:tabs>
          <w:tab w:leader="none" w:pos="26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Participant has complied with the Good Reason Process (as defined below) following the occurrence of any of the following events, without the Participant’s consent: (I) a material diminution in the Participant’s title, responsibilities, authority or duties; (II) a material diminution the Participant’s base salary or target bonus, except for across-the-board reductions based on the Company’s financial performance similarly affecting all or substantially all senior management employees of the Company; (III) a material change in the principal geographic location at which the Participant provides services to the Company (with the exception of travel related to the Participant’s duties to the Company); or (IV) the material breach by the Company of the Participant’s written employment agreement, offer letter or severance agreement between the Company and the Participant.</w:t>
      </w:r>
    </w:p>
    <w:p>
      <w:pPr>
        <w:spacing w:after="0" w:line="189" w:lineRule="exact"/>
        <w:rPr>
          <w:rFonts w:ascii="Arial" w:cs="Arial" w:eastAsia="Arial" w:hAnsi="Arial"/>
          <w:sz w:val="18"/>
          <w:szCs w:val="18"/>
          <w:color w:val="auto"/>
        </w:rPr>
      </w:pPr>
    </w:p>
    <w:p>
      <w:pPr>
        <w:ind w:right="20" w:firstLine="1763"/>
        <w:spacing w:after="0" w:line="255" w:lineRule="auto"/>
        <w:tabs>
          <w:tab w:leader="none" w:pos="2673"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 Process</w:t>
      </w:r>
      <w:r>
        <w:rPr>
          <w:rFonts w:ascii="Arial" w:cs="Arial" w:eastAsia="Arial" w:hAnsi="Arial"/>
          <w:sz w:val="18"/>
          <w:szCs w:val="18"/>
          <w:color w:val="auto"/>
        </w:rPr>
        <w:t>” means (I) the Participant reasonably determines in good faith that a “Good Reason” condition has occurred; (II) the Participant notifies the Company in writing of the first occurrence of the Good Reason condition within 30 days of the first occurrence of such condition; (III) the Participant cooperates in good faith with the Company’s efforts, for a period not less than 30 days following such notice (the “</w:t>
      </w:r>
      <w:r>
        <w:rPr>
          <w:rFonts w:ascii="Arial" w:cs="Arial" w:eastAsia="Arial" w:hAnsi="Arial"/>
          <w:sz w:val="18"/>
          <w:szCs w:val="18"/>
          <w:u w:val="single" w:color="auto"/>
          <w:color w:val="auto"/>
        </w:rPr>
        <w:t>Cure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to remedy the condition; (IV) notwithstanding such efforts, the Good Reason condition continues to exist; and (V) the Participant terminates his or her employment within 30 days after the end of the Cure Period. If the Company cures the Good Reason condition during the Cure Period, Good Reason shall be deemed not to have occurred.</w:t>
      </w:r>
    </w:p>
    <w:p>
      <w:pPr>
        <w:spacing w:after="0" w:line="220" w:lineRule="exact"/>
        <w:rPr>
          <w:rFonts w:ascii="Arial" w:cs="Arial" w:eastAsia="Arial" w:hAnsi="Arial"/>
          <w:sz w:val="18"/>
          <w:szCs w:val="18"/>
          <w:color w:val="auto"/>
        </w:rPr>
      </w:pPr>
    </w:p>
    <w:p>
      <w:pPr>
        <w:jc w:val="both"/>
        <w:ind w:right="20" w:firstLine="8"/>
        <w:spacing w:after="0" w:line="256" w:lineRule="auto"/>
        <w:tabs>
          <w:tab w:leader="none" w:pos="810" w:val="left"/>
        </w:tabs>
        <w:numPr>
          <w:ilvl w:val="0"/>
          <w:numId w:val="20"/>
        </w:numPr>
        <w:rPr>
          <w:rFonts w:ascii="Arial" w:cs="Arial" w:eastAsia="Arial" w:hAnsi="Arial"/>
          <w:sz w:val="21"/>
          <w:szCs w:val="21"/>
          <w:color w:val="auto"/>
        </w:rPr>
      </w:pPr>
      <w:r>
        <w:rPr>
          <w:rFonts w:ascii="Arial" w:cs="Arial" w:eastAsia="Arial" w:hAnsi="Arial"/>
          <w:sz w:val="17"/>
          <w:szCs w:val="17"/>
          <w:u w:val="single" w:color="auto"/>
          <w:color w:val="auto"/>
        </w:rPr>
        <w:t>Termination of Stock Units</w:t>
      </w:r>
      <w:r>
        <w:rPr>
          <w:rFonts w:ascii="Arial" w:cs="Arial" w:eastAsia="Arial" w:hAnsi="Arial"/>
          <w:sz w:val="17"/>
          <w:szCs w:val="17"/>
          <w:color w:val="auto"/>
        </w:rPr>
        <w:t>. If the Participant ceases to be employed by, or provide service to, the Employer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4.</w:t>
      </w:r>
    </w:p>
    <w:p>
      <w:pPr>
        <w:spacing w:after="0" w:line="194" w:lineRule="exact"/>
        <w:rPr>
          <w:rFonts w:ascii="Arial" w:cs="Arial" w:eastAsia="Arial" w:hAnsi="Arial"/>
          <w:sz w:val="21"/>
          <w:szCs w:val="21"/>
          <w:color w:val="auto"/>
        </w:rPr>
      </w:pPr>
    </w:p>
    <w:p>
      <w:pPr>
        <w:ind w:left="820" w:hanging="812"/>
        <w:spacing w:after="0"/>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u w:val="single" w:color="auto"/>
          <w:color w:val="auto"/>
        </w:rPr>
        <w:t>Payment of Stock Units</w:t>
      </w:r>
      <w:r>
        <w:rPr>
          <w:rFonts w:ascii="Arial" w:cs="Arial" w:eastAsia="Arial" w:hAnsi="Arial"/>
          <w:sz w:val="18"/>
          <w:szCs w:val="18"/>
          <w:color w:val="auto"/>
        </w:rPr>
        <w:t>.</w:t>
      </w:r>
    </w:p>
    <w:p>
      <w:pPr>
        <w:spacing w:after="0" w:line="195" w:lineRule="exact"/>
        <w:rPr>
          <w:sz w:val="20"/>
          <w:szCs w:val="20"/>
          <w:color w:val="auto"/>
        </w:rPr>
      </w:pPr>
    </w:p>
    <w:p>
      <w:pPr>
        <w:ind w:firstLine="877"/>
        <w:spacing w:after="0" w:line="263" w:lineRule="auto"/>
        <w:rPr>
          <w:sz w:val="20"/>
          <w:szCs w:val="20"/>
          <w:color w:val="auto"/>
        </w:rPr>
      </w:pPr>
      <w:r>
        <w:rPr>
          <w:rFonts w:ascii="Arial" w:cs="Arial" w:eastAsia="Arial" w:hAnsi="Arial"/>
          <w:sz w:val="22"/>
          <w:szCs w:val="22"/>
          <w:color w:val="auto"/>
        </w:rPr>
        <w:t xml:space="preserve">(a) </w:t>
      </w:r>
      <w:r>
        <w:rPr>
          <w:rFonts w:ascii="Arial" w:cs="Arial" w:eastAsia="Arial" w:hAnsi="Arial"/>
          <w:sz w:val="18"/>
          <w:szCs w:val="18"/>
          <w:color w:val="auto"/>
        </w:rPr>
        <w:t>If and when the Stock Units vest, the Company shall issue to the Participant one share of Company Stock for each vested</w:t>
      </w:r>
      <w:r>
        <w:rPr>
          <w:rFonts w:ascii="Arial" w:cs="Arial" w:eastAsia="Arial" w:hAnsi="Arial"/>
          <w:sz w:val="22"/>
          <w:szCs w:val="22"/>
          <w:color w:val="auto"/>
        </w:rPr>
        <w:t xml:space="preserve"> </w:t>
      </w:r>
      <w:r>
        <w:rPr>
          <w:rFonts w:ascii="Arial" w:cs="Arial" w:eastAsia="Arial" w:hAnsi="Arial"/>
          <w:sz w:val="18"/>
          <w:szCs w:val="18"/>
          <w:color w:val="auto"/>
        </w:rPr>
        <w:t>Stock Unit, subject to applicable tax withholding obligations. Payment shall be made within 30 days after the applicable Vesting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both"/>
        <w:ind w:firstLine="877"/>
        <w:spacing w:after="0" w:line="252" w:lineRule="auto"/>
        <w:rPr>
          <w:sz w:val="20"/>
          <w:szCs w:val="20"/>
          <w:color w:val="auto"/>
        </w:rPr>
      </w:pPr>
      <w:r>
        <w:rPr>
          <w:rFonts w:ascii="Arial" w:cs="Arial" w:eastAsia="Arial" w:hAnsi="Arial"/>
          <w:sz w:val="22"/>
          <w:szCs w:val="22"/>
          <w:color w:val="auto"/>
        </w:rPr>
        <w:t xml:space="preserve">(b) </w:t>
      </w:r>
      <w:r>
        <w:rPr>
          <w:rFonts w:ascii="Arial" w:cs="Arial" w:eastAsia="Arial" w:hAnsi="Arial"/>
          <w:sz w:val="18"/>
          <w:szCs w:val="18"/>
          <w:color w:val="auto"/>
        </w:rPr>
        <w:t>All obligations of the Company under this Agreement shall be subject to the rights of the Employer as set forth in the Plan</w:t>
      </w:r>
      <w:r>
        <w:rPr>
          <w:rFonts w:ascii="Arial" w:cs="Arial" w:eastAsia="Arial" w:hAnsi="Arial"/>
          <w:sz w:val="22"/>
          <w:szCs w:val="22"/>
          <w:color w:val="auto"/>
        </w:rPr>
        <w:t xml:space="preserve"> </w:t>
      </w:r>
      <w:r>
        <w:rPr>
          <w:rFonts w:ascii="Arial" w:cs="Arial" w:eastAsia="Arial" w:hAnsi="Arial"/>
          <w:sz w:val="18"/>
          <w:szCs w:val="18"/>
          <w:color w:val="auto"/>
        </w:rPr>
        <w:t>to withhold amounts required to be withheld for any taxes, if applicable. At the time of payment in accordance with Section 5(a) above, the number of shares issued to the Participant shall be reduced by a number of shares of Company Stock with a Fair Market Value (measured as of the Vesting Date) equal to an amount of the federal (including FICA), state, local and other tax liabilities required by law to be withheld with respect to the payment of the Stock Units. To the extent not withheld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Stock Units. Unless the Committee determines otherwise, share withholding for taxes shall not exceed the Participant’s minimum applicable tax withholding amount.</w:t>
      </w:r>
    </w:p>
    <w:p>
      <w:pPr>
        <w:spacing w:after="0" w:line="18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2"/>
          <w:szCs w:val="22"/>
          <w:color w:val="auto"/>
        </w:rPr>
        <w:t xml:space="preserve">(c) </w:t>
      </w:r>
      <w:r>
        <w:rPr>
          <w:rFonts w:ascii="Arial" w:cs="Arial" w:eastAsia="Arial" w:hAnsi="Arial"/>
          <w:sz w:val="18"/>
          <w:szCs w:val="18"/>
          <w:color w:val="auto"/>
        </w:rPr>
        <w:t>The obligation of the Company to deliver Company Stock shall also be subject to the condition that if at any time the Board</w:t>
      </w:r>
      <w:r>
        <w:rPr>
          <w:rFonts w:ascii="Arial" w:cs="Arial" w:eastAsia="Arial" w:hAnsi="Arial"/>
          <w:sz w:val="22"/>
          <w:szCs w:val="22"/>
          <w:color w:val="auto"/>
        </w:rPr>
        <w:t xml:space="preserve"> </w:t>
      </w:r>
      <w:r>
        <w:rPr>
          <w:rFonts w:ascii="Arial" w:cs="Arial" w:eastAsia="Arial" w:hAnsi="Arial"/>
          <w:sz w:val="18"/>
          <w:szCs w:val="18"/>
          <w:color w:val="auto"/>
        </w:rPr>
        <w:t>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to Participant pursuant to this Agreement is subject to any applicable taxes and other laws or regulations of the United States or of any state having jurisdiction thereof.</w:t>
      </w:r>
    </w:p>
    <w:p>
      <w:pPr>
        <w:spacing w:after="0" w:line="221" w:lineRule="exact"/>
        <w:rPr>
          <w:sz w:val="20"/>
          <w:szCs w:val="20"/>
          <w:color w:val="auto"/>
        </w:rPr>
      </w:pPr>
    </w:p>
    <w:p>
      <w:pPr>
        <w:jc w:val="both"/>
        <w:ind w:firstLine="8"/>
        <w:spacing w:after="0" w:line="261" w:lineRule="auto"/>
        <w:tabs>
          <w:tab w:leader="none" w:pos="810" w:val="left"/>
        </w:tabs>
        <w:numPr>
          <w:ilvl w:val="0"/>
          <w:numId w:val="21"/>
        </w:numPr>
        <w:rPr>
          <w:rFonts w:ascii="Arial" w:cs="Arial" w:eastAsia="Arial" w:hAnsi="Arial"/>
          <w:sz w:val="21"/>
          <w:szCs w:val="21"/>
          <w:color w:val="auto"/>
        </w:rPr>
      </w:pPr>
      <w:r>
        <w:rPr>
          <w:rFonts w:ascii="Arial" w:cs="Arial" w:eastAsia="Arial" w:hAnsi="Arial"/>
          <w:sz w:val="17"/>
          <w:szCs w:val="17"/>
          <w:u w:val="single" w:color="auto"/>
          <w:color w:val="auto"/>
        </w:rPr>
        <w:t>No Stockholder Rights; Dividend Equivalents</w:t>
      </w:r>
      <w:r>
        <w:rPr>
          <w:rFonts w:ascii="Arial" w:cs="Arial" w:eastAsia="Arial" w:hAnsi="Arial"/>
          <w:sz w:val="17"/>
          <w:szCs w:val="17"/>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upon payment of Stock Units. The Participant acknowledges that no election under Section 83(b) of the Code is available with respect to Stock Units. Notwithstanding the foregoing, the Participant shall be entitled to accrue Dividend Equivalents on the shares underlying the Stock Units prior to the Vesting Date, which shall be credited to the Stock Unit account for the Participant and will be paid or distributed in the form of shares Company Stock when the shares underlying the Stock Units vest and are issued in accordance with this Agreement.</w:t>
      </w:r>
    </w:p>
    <w:p>
      <w:pPr>
        <w:spacing w:after="0" w:line="214" w:lineRule="exact"/>
        <w:rPr>
          <w:rFonts w:ascii="Arial" w:cs="Arial" w:eastAsia="Arial" w:hAnsi="Arial"/>
          <w:sz w:val="21"/>
          <w:szCs w:val="21"/>
          <w:color w:val="auto"/>
        </w:rPr>
      </w:pPr>
    </w:p>
    <w:p>
      <w:pPr>
        <w:jc w:val="both"/>
        <w:ind w:firstLine="8"/>
        <w:spacing w:after="0" w:line="245" w:lineRule="auto"/>
        <w:tabs>
          <w:tab w:leader="none" w:pos="810" w:val="left"/>
        </w:tabs>
        <w:numPr>
          <w:ilvl w:val="0"/>
          <w:numId w:val="21"/>
        </w:numPr>
        <w:rPr>
          <w:rFonts w:ascii="Arial" w:cs="Arial" w:eastAsia="Arial" w:hAnsi="Arial"/>
          <w:sz w:val="22"/>
          <w:szCs w:val="22"/>
          <w:color w:val="auto"/>
        </w:rPr>
      </w:pPr>
      <w:r>
        <w:rPr>
          <w:rFonts w:ascii="Arial" w:cs="Arial" w:eastAsia="Arial" w:hAnsi="Arial"/>
          <w:sz w:val="18"/>
          <w:szCs w:val="18"/>
          <w:u w:val="single" w:color="auto"/>
          <w:color w:val="auto"/>
        </w:rPr>
        <w:t>Grant Subject to Plan Provisions</w:t>
      </w:r>
      <w:r>
        <w:rPr>
          <w:rFonts w:ascii="Arial" w:cs="Arial" w:eastAsia="Arial" w:hAnsi="Arial"/>
          <w:sz w:val="18"/>
          <w:szCs w:val="18"/>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229" w:lineRule="exact"/>
        <w:rPr>
          <w:rFonts w:ascii="Arial" w:cs="Arial" w:eastAsia="Arial" w:hAnsi="Arial"/>
          <w:sz w:val="22"/>
          <w:szCs w:val="22"/>
          <w:color w:val="auto"/>
        </w:rPr>
      </w:pPr>
    </w:p>
    <w:p>
      <w:pPr>
        <w:jc w:val="both"/>
        <w:ind w:firstLine="8"/>
        <w:spacing w:after="0" w:line="256" w:lineRule="auto"/>
        <w:tabs>
          <w:tab w:leader="none" w:pos="810" w:val="left"/>
        </w:tabs>
        <w:numPr>
          <w:ilvl w:val="0"/>
          <w:numId w:val="21"/>
        </w:numPr>
        <w:rPr>
          <w:rFonts w:ascii="Arial" w:cs="Arial" w:eastAsia="Arial" w:hAnsi="Arial"/>
          <w:sz w:val="21"/>
          <w:szCs w:val="21"/>
          <w:color w:val="auto"/>
        </w:rPr>
      </w:pPr>
      <w:r>
        <w:rPr>
          <w:rFonts w:ascii="Arial" w:cs="Arial" w:eastAsia="Arial" w:hAnsi="Arial"/>
          <w:sz w:val="17"/>
          <w:szCs w:val="17"/>
          <w:u w:val="single" w:color="auto"/>
          <w:color w:val="auto"/>
        </w:rPr>
        <w:t>No Employment or Other Rights</w:t>
      </w:r>
      <w:r>
        <w:rPr>
          <w:rFonts w:ascii="Arial" w:cs="Arial" w:eastAsia="Arial" w:hAnsi="Arial"/>
          <w:sz w:val="17"/>
          <w:szCs w:val="17"/>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216" w:lineRule="exact"/>
        <w:rPr>
          <w:rFonts w:ascii="Arial" w:cs="Arial" w:eastAsia="Arial" w:hAnsi="Arial"/>
          <w:sz w:val="21"/>
          <w:szCs w:val="21"/>
          <w:color w:val="auto"/>
        </w:rPr>
      </w:pPr>
    </w:p>
    <w:p>
      <w:pPr>
        <w:jc w:val="both"/>
        <w:ind w:firstLine="8"/>
        <w:spacing w:after="0" w:line="283" w:lineRule="auto"/>
        <w:tabs>
          <w:tab w:leader="none" w:pos="810" w:val="left"/>
        </w:tabs>
        <w:numPr>
          <w:ilvl w:val="0"/>
          <w:numId w:val="21"/>
        </w:numPr>
        <w:rPr>
          <w:rFonts w:ascii="Arial" w:cs="Arial" w:eastAsia="Arial" w:hAnsi="Arial"/>
          <w:sz w:val="19"/>
          <w:szCs w:val="19"/>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jc w:val="both"/>
        <w:ind w:firstLine="8"/>
        <w:spacing w:after="0" w:line="261" w:lineRule="auto"/>
        <w:tabs>
          <w:tab w:leader="none" w:pos="918" w:val="left"/>
        </w:tabs>
        <w:numPr>
          <w:ilvl w:val="0"/>
          <w:numId w:val="22"/>
        </w:numPr>
        <w:rPr>
          <w:rFonts w:ascii="Arial" w:cs="Arial" w:eastAsia="Arial" w:hAnsi="Arial"/>
          <w:sz w:val="21"/>
          <w:szCs w:val="21"/>
          <w:color w:val="auto"/>
        </w:rPr>
      </w:pPr>
      <w:r>
        <w:rPr>
          <w:rFonts w:ascii="Arial" w:cs="Arial" w:eastAsia="Arial" w:hAnsi="Arial"/>
          <w:sz w:val="17"/>
          <w:szCs w:val="17"/>
          <w:u w:val="single" w:color="auto"/>
          <w:color w:val="auto"/>
        </w:rPr>
        <w:t>Applicable Law; Jurisdiction</w:t>
      </w:r>
      <w:r>
        <w:rPr>
          <w:rFonts w:ascii="Arial" w:cs="Arial" w:eastAsia="Arial" w:hAnsi="Arial"/>
          <w:sz w:val="17"/>
          <w:szCs w:val="17"/>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214" w:lineRule="exact"/>
        <w:rPr>
          <w:rFonts w:ascii="Arial" w:cs="Arial" w:eastAsia="Arial" w:hAnsi="Arial"/>
          <w:sz w:val="21"/>
          <w:szCs w:val="21"/>
          <w:color w:val="auto"/>
        </w:rPr>
      </w:pPr>
    </w:p>
    <w:p>
      <w:pPr>
        <w:jc w:val="both"/>
        <w:ind w:firstLine="8"/>
        <w:spacing w:after="0" w:line="245" w:lineRule="auto"/>
        <w:tabs>
          <w:tab w:leader="none" w:pos="910" w:val="left"/>
        </w:tabs>
        <w:numPr>
          <w:ilvl w:val="0"/>
          <w:numId w:val="22"/>
        </w:numPr>
        <w:rPr>
          <w:rFonts w:ascii="Arial" w:cs="Arial" w:eastAsia="Arial" w:hAnsi="Arial"/>
          <w:sz w:val="22"/>
          <w:szCs w:val="22"/>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the Company provided for in this instrument shall be addressed to the Company in care of the Senior Vice President, General Counsel, with copy to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224" w:lineRule="exact"/>
        <w:rPr>
          <w:rFonts w:ascii="Arial" w:cs="Arial" w:eastAsia="Arial" w:hAnsi="Arial"/>
          <w:sz w:val="22"/>
          <w:szCs w:val="22"/>
          <w:color w:val="auto"/>
        </w:rPr>
      </w:pPr>
    </w:p>
    <w:p>
      <w:pPr>
        <w:jc w:val="both"/>
        <w:ind w:firstLine="8"/>
        <w:spacing w:after="0" w:line="282" w:lineRule="auto"/>
        <w:tabs>
          <w:tab w:leader="none" w:pos="918" w:val="left"/>
        </w:tabs>
        <w:numPr>
          <w:ilvl w:val="0"/>
          <w:numId w:val="22"/>
        </w:numPr>
        <w:rPr>
          <w:rFonts w:ascii="Arial" w:cs="Arial" w:eastAsia="Arial" w:hAnsi="Arial"/>
          <w:sz w:val="19"/>
          <w:szCs w:val="19"/>
          <w:color w:val="auto"/>
        </w:rPr>
      </w:pPr>
      <w:r>
        <w:rPr>
          <w:rFonts w:ascii="Arial" w:cs="Arial" w:eastAsia="Arial" w:hAnsi="Arial"/>
          <w:sz w:val="16"/>
          <w:szCs w:val="16"/>
          <w:u w:val="single" w:color="auto"/>
          <w:color w:val="auto"/>
        </w:rPr>
        <w:t>Recoupment Policy</w:t>
      </w:r>
      <w:r>
        <w:rPr>
          <w:rFonts w:ascii="Arial" w:cs="Arial" w:eastAsia="Arial" w:hAnsi="Arial"/>
          <w:sz w:val="16"/>
          <w:szCs w:val="16"/>
          <w:color w:val="auto"/>
        </w:rPr>
        <w:t>.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Stock Units shall terminate, and the Company may rescind delivery of shares upon payment of the Stock Units, as applicable on such terms as the Committee shall determine, including the right to require that in the event of any such rescission, (a) the Participant shall return to the Company the shares received upon payment of the Stock Units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if applicable.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Stock Units shall be subject to any applicable clawback or recoupment policies, share trading policies and other policies that may be implemented by the Board or imposed under applicable rule or regulation from time to time.</w:t>
      </w:r>
    </w:p>
    <w:p>
      <w:pPr>
        <w:spacing w:after="0" w:line="201" w:lineRule="exact"/>
        <w:rPr>
          <w:rFonts w:ascii="Arial" w:cs="Arial" w:eastAsia="Arial" w:hAnsi="Arial"/>
          <w:sz w:val="19"/>
          <w:szCs w:val="19"/>
          <w:color w:val="auto"/>
        </w:rPr>
      </w:pPr>
    </w:p>
    <w:p>
      <w:pPr>
        <w:jc w:val="both"/>
        <w:ind w:firstLine="8"/>
        <w:spacing w:after="0" w:line="238" w:lineRule="auto"/>
        <w:tabs>
          <w:tab w:leader="none" w:pos="918" w:val="left"/>
        </w:tabs>
        <w:numPr>
          <w:ilvl w:val="0"/>
          <w:numId w:val="22"/>
        </w:numPr>
        <w:rPr>
          <w:rFonts w:ascii="Arial" w:cs="Arial" w:eastAsia="Arial" w:hAnsi="Arial"/>
          <w:sz w:val="22"/>
          <w:szCs w:val="22"/>
          <w:color w:val="auto"/>
        </w:rPr>
      </w:pPr>
      <w:r>
        <w:rPr>
          <w:rFonts w:ascii="Arial" w:cs="Arial" w:eastAsia="Arial" w:hAnsi="Arial"/>
          <w:sz w:val="18"/>
          <w:szCs w:val="18"/>
          <w:u w:val="single" w:color="auto"/>
          <w:color w:val="auto"/>
        </w:rPr>
        <w:t>Application of Section 409A of the Code</w:t>
      </w:r>
      <w:r>
        <w:rPr>
          <w:rFonts w:ascii="Arial" w:cs="Arial" w:eastAsia="Arial" w:hAnsi="Arial"/>
          <w:sz w:val="18"/>
          <w:szCs w:val="18"/>
          <w:color w:val="auto"/>
        </w:rPr>
        <w:t>. 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6" w:name="page57"/>
    <w:bookmarkEnd w:id="56"/>
    <w:p>
      <w:pPr>
        <w:ind w:firstLine="877"/>
        <w:spacing w:after="0" w:line="277" w:lineRule="auto"/>
        <w:rPr>
          <w:sz w:val="20"/>
          <w:szCs w:val="20"/>
          <w:color w:val="auto"/>
        </w:rPr>
      </w:pPr>
      <w:r>
        <w:rPr>
          <w:rFonts w:ascii="Arial" w:cs="Arial" w:eastAsia="Arial" w:hAnsi="Arial"/>
          <w:sz w:val="18"/>
          <w:szCs w:val="18"/>
          <w:color w:val="auto"/>
        </w:rPr>
        <w:t>IN WITNESS WHEREOF, the Company has caused an officer to execute this Agreement, and the Participant has executed this Agreement, effective as of the Date of Grant.</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CARGURUS, INC.</w:t>
      </w:r>
    </w:p>
    <w:p>
      <w:pPr>
        <w:spacing w:after="0" w:line="23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-130175</wp:posOffset>
            </wp:positionV>
            <wp:extent cx="32073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accept the award of Stock Units described in this Agreement, and I agree to be bound by the terms of the Plan and this Agreement. I hereby agree that all decisions and determinations of the Committee with respect to the Stock Units shall be final and binding.</w:t>
      </w:r>
    </w:p>
    <w:p>
      <w:pPr>
        <w:spacing w:after="0" w:line="400"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 have reviewed this </w:t>
      </w:r>
      <w:r>
        <w:rPr>
          <w:rFonts w:ascii="Arial" w:cs="Arial" w:eastAsia="Arial" w:hAnsi="Arial"/>
          <w:sz w:val="16"/>
          <w:szCs w:val="16"/>
          <w:color w:val="auto"/>
        </w:rPr>
        <w:t>Quarterly R</w:t>
      </w:r>
      <w:r>
        <w:rPr>
          <w:rFonts w:ascii="Arial" w:cs="Arial" w:eastAsia="Arial" w:hAnsi="Arial"/>
          <w:sz w:val="18"/>
          <w:szCs w:val="18"/>
          <w:color w:val="auto"/>
        </w:rPr>
        <w:t>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3,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Langley Steinert</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 have reviewed this </w:t>
      </w:r>
      <w:r>
        <w:rPr>
          <w:rFonts w:ascii="Arial" w:cs="Arial" w:eastAsia="Arial" w:hAnsi="Arial"/>
          <w:sz w:val="16"/>
          <w:szCs w:val="16"/>
          <w:color w:val="auto"/>
        </w:rPr>
        <w:t>Quarterly R</w:t>
      </w:r>
      <w:r>
        <w:rPr>
          <w:rFonts w:ascii="Arial" w:cs="Arial" w:eastAsia="Arial" w:hAnsi="Arial"/>
          <w:sz w:val="18"/>
          <w:szCs w:val="18"/>
          <w:color w:val="auto"/>
        </w:rPr>
        <w:t>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3,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Jason Trevisan</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March 31, 2018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3,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Langley Steinert</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2018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3,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Jason Trevisan</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lvl w:ilvl="1">
      <w:lvlJc w:val="left"/>
      <w:lvlText w:val="(%2)"/>
      <w:numFmt w:val="lowerRoman"/>
      <w:start w:val="1"/>
    </w:lvl>
  </w:abstractNum>
  <w:abstractNum w:abstractNumId="19">
    <w:nsid w:val="2D1D5AE9"/>
    <w:multiLevelType w:val="hybridMultilevel"/>
    <w:lvl w:ilvl="0">
      <w:lvlJc w:val="left"/>
      <w:lvlText w:val="%1."/>
      <w:numFmt w:val="decimal"/>
      <w:start w:val="4"/>
    </w:lvl>
    <w:lvl w:ilvl="1">
      <w:lvlJc w:val="left"/>
      <w:lvlText w:val="%2"/>
      <w:numFmt w:val="lowerRoman"/>
      <w:start w:val="1"/>
    </w:lvl>
  </w:abstractNum>
  <w:abstractNum w:abstractNumId="20">
    <w:nsid w:val="6763845E"/>
    <w:multiLevelType w:val="hybridMultilevel"/>
    <w:lvl w:ilvl="0">
      <w:lvlJc w:val="left"/>
      <w:lvlText w:val="%1."/>
      <w:numFmt w:val="decimal"/>
      <w:start w:val="6"/>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2" Type="http://schemas.openxmlformats.org/officeDocument/2006/relationships/hyperlink" Target="http://www.sec.gov/Archives/edgar/data/1494259/000119312518096041/d557263dex101.htm" TargetMode="External"/><Relationship Id="rId73" Type="http://schemas.openxmlformats.org/officeDocument/2006/relationships/hyperlink" Target="http://www.sec.gov/Archives/edgar/data/1494259/000119312518110054/d5565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2019-12-28T22:36:36Z</dcterms:created>
  <dcterms:modified xsi:type="dcterms:W3CDTF">2019-12-28T22:36:36Z</dcterms:modified>
</cp:coreProperties>
</file>