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8"/>
        </w:trPr>
        <w:tc>
          <w:tcPr>
            <w:tcW w:w="6220" w:type="dxa"/>
            <w:vAlign w:val="bottom"/>
            <w:gridSpan w:val="3"/>
          </w:tcPr>
          <w:p>
            <w:pPr>
              <w:jc w:val="center"/>
              <w:ind w:right="38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622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3"/>
              </w:rPr>
              <w:t>2 Canal Park, 4th Floor</w:t>
            </w:r>
          </w:p>
        </w:tc>
        <w:tc>
          <w:tcPr>
            <w:tcW w:w="1160" w:type="dxa"/>
            <w:vAlign w:val="bottom"/>
          </w:tcPr>
          <w:p>
            <w:pPr>
              <w:spacing w:after="0"/>
              <w:rPr>
                <w:sz w:val="24"/>
                <w:szCs w:val="24"/>
                <w:color w:val="auto"/>
              </w:rPr>
            </w:pPr>
          </w:p>
        </w:tc>
      </w:t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9"/>
              </w:rPr>
              <w:t>Cambridge, Massachusetts</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622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6"/>
        </w:trPr>
        <w:tc>
          <w:tcPr>
            <w:tcW w:w="6220" w:type="dxa"/>
            <w:vAlign w:val="bottom"/>
            <w:gridSpan w:val="3"/>
          </w:tcPr>
          <w:p>
            <w:pPr>
              <w:ind w:left="180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1160" w:type="dxa"/>
            <w:vAlign w:val="bottom"/>
          </w:tcPr>
          <w:p>
            <w:pPr>
              <w:spacing w:after="0"/>
              <w:rPr>
                <w:sz w:val="17"/>
                <w:szCs w:val="17"/>
                <w:color w:val="auto"/>
              </w:rPr>
            </w:pPr>
          </w:p>
        </w:tc>
      </w:tr>
      <w:tr>
        <w:trPr>
          <w:trHeight w:val="22"/>
        </w:trPr>
        <w:tc>
          <w:tcPr>
            <w:tcW w:w="28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63"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 w:lineRule="exact"/>
        <w:rPr>
          <w:sz w:val="24"/>
          <w:szCs w:val="24"/>
          <w:color w:val="auto"/>
        </w:rPr>
      </w:pPr>
    </w:p>
    <w:tbl>
      <w:tblPr>
        <w:tblLayout w:type="fixed"/>
        <w:tblInd w:w="700" w:type="dxa"/>
        <w:tblCellMar>
          <w:top w:w="0" w:type="dxa"/>
          <w:left w:w="0" w:type="dxa"/>
          <w:bottom w:w="0" w:type="dxa"/>
          <w:right w:w="0" w:type="dxa"/>
        </w:tblCellMar>
      </w:tblPr>
      <w:tr>
        <w:trPr>
          <w:trHeight w:val="172"/>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2"/>
              </w:rPr>
              <w:t>Class A Common</w:t>
            </w:r>
          </w:p>
        </w:tc>
        <w:tc>
          <w:tcPr>
            <w:tcW w:w="12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Title of Each Class</w:t>
            </w:r>
          </w:p>
        </w:tc>
        <w:tc>
          <w:tcPr>
            <w:tcW w:w="2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Trading Symbol</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0"/>
              </w:rPr>
              <w:t>Name of Exchange on Which Registered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vMerge w:val="continue"/>
          </w:tcPr>
          <w:p>
            <w:pPr>
              <w:spacing w:after="0"/>
              <w:rPr>
                <w:sz w:val="15"/>
                <w:szCs w:val="15"/>
                <w:color w:val="auto"/>
              </w:rPr>
            </w:pPr>
          </w:p>
        </w:tc>
        <w:tc>
          <w:tcPr>
            <w:tcW w:w="34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par value $0.001 per 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440" w:type="dxa"/>
            <w:vAlign w:val="bottom"/>
          </w:tcPr>
          <w:p>
            <w:pPr>
              <w:spacing w:after="0"/>
              <w:rPr>
                <w:sz w:val="15"/>
                <w:szCs w:val="15"/>
                <w:color w:val="auto"/>
              </w:rPr>
            </w:pPr>
          </w:p>
        </w:tc>
        <w:tc>
          <w:tcPr>
            <w:tcW w:w="434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The Nasdaq Stock Market LLC (Nasdaq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6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38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24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Small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4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0" w:lineRule="exact"/>
        <w:rPr>
          <w:sz w:val="24"/>
          <w:szCs w:val="24"/>
          <w:color w:val="auto"/>
        </w:rPr>
      </w:pPr>
    </w:p>
    <w:p>
      <w:pPr>
        <w:ind w:right="480" w:firstLine="510"/>
        <w:spacing w:after="0" w:line="274" w:lineRule="auto"/>
        <w:rPr>
          <w:sz w:val="20"/>
          <w:szCs w:val="20"/>
          <w:color w:val="auto"/>
        </w:rPr>
      </w:pPr>
      <w:r>
        <w:rPr>
          <w:rFonts w:ascii="Arial" w:cs="Arial" w:eastAsia="Arial" w:hAnsi="Arial"/>
          <w:sz w:val="17"/>
          <w:szCs w:val="17"/>
          <w:color w:val="auto"/>
        </w:rPr>
        <w:t>As of October 29, 2020, the registrant had 94,160,683 shares of Class A common stock, $0.001 par value per share, and 19,076,500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vMerge w:val="restart"/>
          </w:tcPr>
          <w:p>
            <w:pPr>
              <w:ind w:left="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8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Income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Stockholders’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2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ind w:left="22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2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4"/>
        </w:trPr>
        <w:tc>
          <w:tcPr>
            <w:tcW w:w="9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Signatures</w:t>
              </w:r>
            </w:hyperlink>
          </w:p>
        </w:tc>
        <w:tc>
          <w:tcPr>
            <w:tcW w:w="9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succeed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with respect to availing ourselves of net operating loss, or NOL, carryback provisions under the CARES Act, and the corresponding impact on the valuation allowance for our NOLs and deferred federal research and development credit;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outlook for our Restricted Listings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billings relief for customers;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25"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3"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Current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Cash and cash equivalents</w:t>
            </w:r>
          </w:p>
        </w:tc>
        <w:tc>
          <w:tcPr>
            <w:tcW w:w="15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245,941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Investments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Accounts receivable, net of allowance for doubtful accounts of $610</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and $240, respectively</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Prepaid expenses and prepaid income taxes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Deferred contract costs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9,950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Other current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Total current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281,422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Intangible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28,357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63,525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27,267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3,314</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460,551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5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16,839</w:t>
            </w:r>
          </w:p>
        </w:tc>
        <w:tc>
          <w:tcPr>
            <w:tcW w:w="3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17,878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Operating lease liabilities</w:t>
            </w:r>
          </w:p>
        </w:tc>
        <w:tc>
          <w:tcPr>
            <w:tcW w:w="1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11,472</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55,867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62,016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4,105</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Total liabilities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122,292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10)</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Stockholders’ equity: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$0.001 par value; 10,000,000 shares authorized;</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400"/>
              <w:spacing w:after="0"/>
              <w:rPr>
                <w:sz w:val="20"/>
                <w:szCs w:val="20"/>
                <w:color w:val="auto"/>
              </w:rPr>
            </w:pPr>
            <w:r>
              <w:rPr>
                <w:rFonts w:ascii="Arial" w:cs="Arial" w:eastAsia="Arial" w:hAnsi="Arial"/>
                <w:sz w:val="17"/>
                <w:szCs w:val="17"/>
                <w:color w:val="auto"/>
              </w:rPr>
              <w:t>no shares issued and outstanding</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tcPr>
          <w:p>
            <w:pPr>
              <w:ind w:left="180"/>
              <w:spacing w:after="0"/>
              <w:rPr>
                <w:sz w:val="20"/>
                <w:szCs w:val="20"/>
                <w:color w:val="auto"/>
              </w:rPr>
            </w:pPr>
            <w:r>
              <w:rPr>
                <w:rFonts w:ascii="Arial" w:cs="Arial" w:eastAsia="Arial" w:hAnsi="Arial"/>
                <w:sz w:val="17"/>
                <w:szCs w:val="17"/>
                <w:color w:val="auto"/>
              </w:rPr>
              <w:t>Class A common stock, $0.001 par value per share; 500,000,000 shares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00"/>
              <w:spacing w:after="0"/>
              <w:rPr>
                <w:sz w:val="20"/>
                <w:szCs w:val="20"/>
                <w:color w:val="auto"/>
              </w:rPr>
            </w:pPr>
            <w:r>
              <w:rPr>
                <w:rFonts w:ascii="Arial" w:cs="Arial" w:eastAsia="Arial" w:hAnsi="Arial"/>
                <w:sz w:val="17"/>
                <w:szCs w:val="17"/>
                <w:color w:val="auto"/>
              </w:rPr>
              <w:t>authorized; 94,016,568 and 91,819,649 shares issued and outstanding</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300"/>
              <w:spacing w:after="0"/>
              <w:rPr>
                <w:sz w:val="20"/>
                <w:szCs w:val="20"/>
                <w:color w:val="auto"/>
              </w:rPr>
            </w:pPr>
            <w:r>
              <w:rPr>
                <w:rFonts w:ascii="Arial" w:cs="Arial" w:eastAsia="Arial" w:hAnsi="Arial"/>
                <w:sz w:val="17"/>
                <w:szCs w:val="17"/>
                <w:color w:val="auto"/>
              </w:rPr>
              <w:t>at September 30, 2020 and December 31, 2019, respectively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Class B common stock, $0.001 par value per share; 100,000,000 shares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authorized; 19,076,500 and 20,314,644 shares issued and outstanding</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at September 30, 2020 and December 31, 2019, respectively</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233,246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205,234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Retained earnings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104,249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Accumulated other comprehensive income (loss)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338,259</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256,855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3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460,551</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150,462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399,898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5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137,710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189,796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65,729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94,143</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131,366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304,351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43,567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64,295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(Note 12)</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vMerge w:val="continue"/>
          </w:tcPr>
          <w:p>
            <w:pPr>
              <w:spacing w:after="0"/>
              <w:rPr>
                <w:sz w:val="21"/>
                <w:szCs w:val="21"/>
                <w:color w:val="auto"/>
              </w:rPr>
            </w:pPr>
          </w:p>
        </w:tc>
        <w:tc>
          <w:tcPr>
            <w:tcW w:w="5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of common</w:t>
            </w: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113,027,995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111,662,949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112,707,003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111,257,271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113,966,863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113,364,775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113,732,616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113,389,695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0" w:hanging="372"/>
        <w:spacing w:after="0" w:line="308"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September 30, 2020 and 2019 and for the nine months ended September 30, 2020 and 2019 of $944, $952, $4,250, and $2,246,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(997)</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27,978</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CarGurus, Inc.</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200" w:type="dxa"/>
            <w:vAlign w:val="bottom"/>
          </w:tcPr>
          <w:p>
            <w:pPr>
              <w:spacing w:after="0"/>
              <w:rPr>
                <w:sz w:val="11"/>
                <w:szCs w:val="11"/>
                <w:color w:val="auto"/>
              </w:rPr>
            </w:pPr>
          </w:p>
        </w:tc>
        <w:tc>
          <w:tcPr>
            <w:tcW w:w="1720" w:type="dxa"/>
            <w:vAlign w:val="bottom"/>
            <w:gridSpan w:val="4"/>
          </w:tcPr>
          <w:p>
            <w:pPr>
              <w:jc w:val="right"/>
              <w:ind w:right="547"/>
              <w:spacing w:after="0" w:line="135" w:lineRule="exact"/>
              <w:rPr>
                <w:sz w:val="20"/>
                <w:szCs w:val="20"/>
                <w:color w:val="auto"/>
              </w:rPr>
            </w:pPr>
            <w:r>
              <w:rPr>
                <w:rFonts w:ascii="Arial" w:cs="Arial" w:eastAsia="Arial" w:hAnsi="Arial"/>
                <w:sz w:val="12"/>
                <w:szCs w:val="12"/>
                <w:b w:val="1"/>
                <w:bCs w:val="1"/>
                <w:color w:val="auto"/>
              </w:rPr>
              <w:t>Class A</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right"/>
              <w:ind w:right="511"/>
              <w:spacing w:after="0" w:line="135" w:lineRule="exact"/>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3"/>
        </w:trPr>
        <w:tc>
          <w:tcPr>
            <w:tcW w:w="320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Retained</w:t>
            </w:r>
          </w:p>
        </w:tc>
        <w:tc>
          <w:tcPr>
            <w:tcW w:w="28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Comprehensive</w:t>
            </w: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8"/>
              </w:rPr>
              <w:t>Stockholders’</w:t>
            </w:r>
          </w:p>
        </w:tc>
      </w:tr>
      <w:tr>
        <w:trPr>
          <w:trHeight w:val="142"/>
        </w:trPr>
        <w:tc>
          <w:tcPr>
            <w:tcW w:w="320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3"/>
              </w:rPr>
              <w:t>Earnings</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ind w:right="2"/>
              <w:spacing w:after="0"/>
              <w:rPr>
                <w:sz w:val="20"/>
                <w:szCs w:val="20"/>
                <w:color w:val="auto"/>
              </w:rPr>
            </w:pPr>
            <w:r>
              <w:rPr>
                <w:rFonts w:ascii="Arial" w:cs="Arial" w:eastAsia="Arial" w:hAnsi="Arial"/>
                <w:sz w:val="12"/>
                <w:szCs w:val="12"/>
                <w:b w:val="1"/>
                <w:bCs w:val="1"/>
                <w:color w:val="auto"/>
                <w:w w:val="83"/>
              </w:rPr>
              <w:t>Income (Loss)</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2"/>
              </w:rPr>
              <w:t>Equity</w:t>
            </w:r>
          </w:p>
        </w:tc>
        <w:tc>
          <w:tcPr>
            <w:tcW w:w="6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91,819,649</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7"/>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20,314,644</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1"/>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51,859</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(350)</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256,855</w:t>
            </w:r>
          </w:p>
        </w:tc>
        <w:tc>
          <w:tcPr>
            <w:tcW w:w="6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12,696</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12,696</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160,668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514</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308,303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(106,934)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(3,397)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(3,397)</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335,741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(335,741)</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(493)</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(493)</w:t>
            </w:r>
          </w:p>
        </w:tc>
      </w:tr>
      <w:tr>
        <w:trPr>
          <w:trHeight w:val="20"/>
        </w:trPr>
        <w:tc>
          <w:tcPr>
            <w:tcW w:w="3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92,517,427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19,978,903</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64,555</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(843)</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277,968</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7,131</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7,131</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6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84,796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415</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375,645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(119,009)</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(2,389)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(2,389)</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(3,748)</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Foreign currency translation adjustment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6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June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92,862,607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19,975,155</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224,418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71,686</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(362)</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295,855</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32,563</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32,563</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11,684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11,684</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31,523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335,153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(111,370)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(2,922)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(2,922)</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898,655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(898,655)</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Foreign currency translation adjustment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w:t>
            </w:r>
          </w:p>
        </w:tc>
        <w:tc>
          <w:tcPr>
            <w:tcW w:w="6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September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94,016,568</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7"/>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19,076,500</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1"/>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233,246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104,249</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338,259</w:t>
            </w:r>
          </w:p>
        </w:tc>
        <w:tc>
          <w:tcPr>
            <w:tcW w:w="60" w:type="dxa"/>
            <w:vAlign w:val="bottom"/>
            <w:shd w:val="clear" w:color="auto" w:fill="CFF0FC"/>
          </w:tcPr>
          <w:p>
            <w:pPr>
              <w:spacing w:after="0"/>
              <w:rPr>
                <w:sz w:val="12"/>
                <w:szCs w:val="12"/>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129"/>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89,728,223</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7"/>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1"/>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21</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184,216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9,713</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194,111</w:t>
            </w:r>
          </w:p>
        </w:tc>
        <w:tc>
          <w:tcPr>
            <w:tcW w:w="6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12,584</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12,584</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447,210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697</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297,374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(102,034)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(3,954)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(3,954)</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(424)</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(424)</w:t>
            </w:r>
          </w:p>
        </w:tc>
      </w:tr>
      <w:tr>
        <w:trPr>
          <w:trHeight w:val="20"/>
        </w:trPr>
        <w:tc>
          <w:tcPr>
            <w:tcW w:w="3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Balance at March 31, 2019</w:t>
            </w:r>
          </w:p>
        </w:tc>
        <w:tc>
          <w:tcPr>
            <w:tcW w:w="820" w:type="dxa"/>
            <w:vAlign w:val="bottom"/>
          </w:tcPr>
          <w:p>
            <w:pPr>
              <w:jc w:val="right"/>
              <w:spacing w:after="0"/>
              <w:rPr>
                <w:sz w:val="20"/>
                <w:szCs w:val="20"/>
                <w:color w:val="auto"/>
              </w:rPr>
            </w:pPr>
            <w:r>
              <w:rPr>
                <w:rFonts w:ascii="Arial" w:cs="Arial" w:eastAsia="Arial" w:hAnsi="Arial"/>
                <w:sz w:val="12"/>
                <w:szCs w:val="12"/>
                <w:color w:val="auto"/>
              </w:rPr>
              <w:t>90,370,773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90</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20,702,084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89"/>
              </w:rPr>
              <w:t>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188,954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22,297</w:t>
            </w:r>
          </w:p>
        </w:tc>
        <w:tc>
          <w:tcPr>
            <w:tcW w:w="2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(353)</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211,009</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6,007</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6,007</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9,260</w:t>
            </w:r>
          </w:p>
        </w:tc>
        <w:tc>
          <w:tcPr>
            <w:tcW w:w="6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133,838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w:t>
            </w:r>
          </w:p>
        </w:tc>
        <w:tc>
          <w:tcPr>
            <w:tcW w:w="6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tcPr>
          <w:p>
            <w:pPr>
              <w:jc w:val="right"/>
              <w:spacing w:after="0"/>
              <w:rPr>
                <w:sz w:val="20"/>
                <w:szCs w:val="20"/>
                <w:color w:val="auto"/>
              </w:rPr>
            </w:pPr>
            <w:r>
              <w:rPr>
                <w:rFonts w:ascii="Arial" w:cs="Arial" w:eastAsia="Arial" w:hAnsi="Arial"/>
                <w:sz w:val="12"/>
                <w:szCs w:val="12"/>
                <w:color w:val="auto"/>
              </w:rPr>
              <w:t>362,447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Payment of withholding taxes and option costs on net share</w:t>
            </w: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2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settlement of restricted stock units and stock options</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(122,137)</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(4,637)</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(4,637)</w:t>
            </w: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356</w:t>
            </w:r>
          </w:p>
        </w:tc>
        <w:tc>
          <w:tcPr>
            <w:tcW w:w="60" w:type="dxa"/>
            <w:vAlign w:val="bottom"/>
          </w:tcPr>
          <w:p>
            <w:pPr>
              <w:spacing w:after="0"/>
              <w:rPr>
                <w:sz w:val="12"/>
                <w:szCs w:val="12"/>
                <w:color w:val="auto"/>
              </w:rPr>
            </w:pPr>
          </w:p>
        </w:tc>
      </w:tr>
      <w:tr>
        <w:trPr>
          <w:trHeight w:val="142"/>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June 30, 2019</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90,744,921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24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21</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193,967</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28,304</w:t>
            </w: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222,386</w:t>
            </w: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10,384</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10,384</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9,085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9,085</w:t>
            </w:r>
          </w:p>
        </w:tc>
        <w:tc>
          <w:tcPr>
            <w:tcW w:w="6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144,760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368</w:t>
            </w:r>
          </w:p>
        </w:tc>
        <w:tc>
          <w:tcPr>
            <w:tcW w:w="6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343,909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(120,943)</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(4,192)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(4,192)</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(200,000)</w:t>
            </w:r>
          </w:p>
        </w:tc>
        <w:tc>
          <w:tcPr>
            <w:tcW w:w="6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(929)</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(929)</w:t>
            </w:r>
          </w:p>
        </w:tc>
      </w:tr>
      <w:tr>
        <w:trPr>
          <w:trHeight w:val="20"/>
        </w:trPr>
        <w:tc>
          <w:tcPr>
            <w:tcW w:w="3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September 30, 2019</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91,312,647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47"/>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20,502,084</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1"/>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21</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199,228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38,688</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237,102</w:t>
            </w:r>
          </w:p>
        </w:tc>
        <w:tc>
          <w:tcPr>
            <w:tcW w:w="60" w:type="dxa"/>
            <w:vAlign w:val="bottom"/>
            <w:shd w:val="clear" w:color="auto" w:fill="CFF0FC"/>
          </w:tcPr>
          <w:p>
            <w:pPr>
              <w:spacing w:after="0"/>
              <w:rPr>
                <w:sz w:val="12"/>
                <w:szCs w:val="12"/>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85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52,390</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Deferred taxes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14,769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34,403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8"/>
                <w:szCs w:val="18"/>
                <w:color w:val="auto"/>
              </w:rPr>
              <w:t>Prepaid expenses, prepaid income taxes, and other assets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contract costs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(6,922)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(19,745)</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(497)</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obligations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108,806</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(2,732)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(3,045)</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acquisition, net of cash acquired</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(21,056)</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(134,808)</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8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111,692</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84,859</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Payment of finance lease obligations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restricted stock units and stock options</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(8,708)</w:t>
            </w:r>
          </w:p>
        </w:tc>
        <w:tc>
          <w:tcPr>
            <w:tcW w:w="5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186,095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256,818</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8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Unpaid purchases of property and equipment</w:t>
            </w:r>
          </w:p>
        </w:tc>
        <w:tc>
          <w:tcPr>
            <w:tcW w:w="1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CFF0FC"/>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Capitalized stock-based compensation expense in website development and</w:t>
            </w:r>
          </w:p>
        </w:tc>
        <w:tc>
          <w:tcPr>
            <w:tcW w:w="8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internal-use software costs</w:t>
            </w:r>
          </w:p>
        </w:tc>
        <w:tc>
          <w:tcPr>
            <w:tcW w:w="8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1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7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In addition to the United States, it operates online marketplaces under the CarGurus brand in Canada and the United Kingdom. The Company also operated online marketplaces in Germany, Italy, and Spain until it ceased the operations of each of these marketplaces in the second quarter of 2020. In the United States and the United Kingdom, the Company also operates the Autolist and PistonHeads online marketplaces, respectively, as independent brands. The Company has subsidiaries in the United States, Canada, Ireland, and the United Kingdom. Additionally, the Company has two reportable segments, United States and International. See Note 14 of the Unaudited Condensed Consolidated Financial Statements included elsewhere in this Quarterly Report.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2020 and December 31, 2019, results of operations, comprehensive income, changes in shareholders’ equity for the three and nine months ended September 30, 2020 and 2019 and cash flows for the nine months ended September 30, 2020 and 2019. These interim period results are not necessarily indicative of the results to be expected for any other interim period or the full year.</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2019, filed with the SEC on February 14, 2020 (the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r>
        <w:rPr>
          <w:rFonts w:ascii="Arial" w:cs="Arial" w:eastAsia="Arial" w:hAnsi="Arial"/>
          <w:sz w:val="17"/>
          <w:szCs w:val="17"/>
          <w:color w:val="212529"/>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8"/>
          <w:szCs w:val="18"/>
          <w:color w:val="auto"/>
        </w:rPr>
        <w:t>Significant estimates relied upon in preparing these Unaudited Condensed Consolidated Financial Statements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and the recoverability of the Company’s net deferred tax assets and related valuation allowance. Accordingly, the Company considers these to be its critical accounting policies.</w:t>
      </w:r>
    </w:p>
    <w:p>
      <w:pPr>
        <w:spacing w:after="0" w:line="20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nine months ended September 30, 2020 and 2019, no individual customer accounted for more than 10% of total revenue.</w:t>
      </w:r>
    </w:p>
    <w:p>
      <w:pPr>
        <w:spacing w:after="0" w:line="23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8"/>
          <w:szCs w:val="18"/>
          <w:color w:val="auto"/>
        </w:rPr>
        <w:t>As of September 30, 2020, two customers each accounted for approximately 10% of net accounts receivable. As of December 31, 2019, one customer accounted for approximately 18% of net accounts receivable.</w:t>
      </w:r>
    </w:p>
    <w:p>
      <w:pPr>
        <w:spacing w:after="0" w:line="144"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Included in net accounts receivable at September 30, 2020 and December 31, 2019, are $6,869 and $8,880, respectively, of unbilled accounts receivable primarily related to advertising customers that are generally billed within a quarter subsequent to services being rendered.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September 30, 2020, the Company’s significant accounting policies and estimates, which are detailed in the Annual Report, have not changed, other than those impacted by new accounting standards as described below. These changes were not material.</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is exposed to credit losses primarily through its trade accounts receivable. The Company determines the required allowance for expected credit losses using information such as historical loss trends, current conditions, and reasonable and supportable forecasts of economic conditions such as the impacts of the novel strain of coronavirus that surfaced in Wuhan, China in December 2019 and was subsequently declared a pandemic by the World Health Organization (“COVID-19”). Amounts are charged against the allowance when it is determined that expected credit losses may occur.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right="20" w:firstLine="510"/>
        <w:spacing w:after="0" w:line="311" w:lineRule="auto"/>
        <w:rPr>
          <w:sz w:val="20"/>
          <w:szCs w:val="20"/>
          <w:color w:val="auto"/>
        </w:rPr>
      </w:pPr>
      <w:r>
        <w:rPr>
          <w:rFonts w:ascii="Arial" w:cs="Arial" w:eastAsia="Arial" w:hAnsi="Arial"/>
          <w:sz w:val="16"/>
          <w:szCs w:val="16"/>
          <w:color w:val="auto"/>
        </w:rPr>
        <w:t>In light of the COVID-19 pandemic, the Company assessed the implications on accounts receivable and increased its allowance for doubtful accounts to $610 as of September 30, 2020 as compared to $240 as of December 31, 2019. The increase in account delinquencies due to the COVID-19 pandemic resulted in $1,742 of bad debt expense and $1,372 of write offs, net of recoveries for the nine months ended September 30, 2020.</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Below is a summary of the changes in the Company’s allowance for doubtful accounts for the nine months ended September 30, 2020:</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Write–offs,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Net of</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Recoveries</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Nine Months Ended September 30,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 and Intangibles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(“ASU 2017-04”)</w:t>
      </w:r>
      <w:r>
        <w:rPr>
          <w:rFonts w:ascii="Arial" w:cs="Arial" w:eastAsia="Arial" w:hAnsi="Arial"/>
          <w:sz w:val="17"/>
          <w:szCs w:val="17"/>
          <w:i w:val="1"/>
          <w:iCs w:val="1"/>
          <w:color w:val="auto"/>
        </w:rPr>
        <w:t>.</w:t>
      </w:r>
      <w:r>
        <w:rPr>
          <w:rFonts w:ascii="Arial" w:cs="Arial" w:eastAsia="Arial" w:hAnsi="Arial"/>
          <w:sz w:val="17"/>
          <w:szCs w:val="17"/>
          <w:color w:val="auto"/>
        </w:rPr>
        <w:t xml:space="preserve"> ASU 2017-04 simplifies the accounting for goodwill impairment by eliminating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ASU 2017-04, goodwill impairment is recognized based on Step 1 of the goodwill impairment test, which calculates the carrying value in excess of the reporting unit’s fair value. The standard was effective beginning in January 2020, with early adoption permitted. The Company adopted the guidance on January 1, 2020 and applied it on a prospective basis. The adoption did not have a material impact on the Unaudited Condensed Consolidated Financial Statements.</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ASU 2016-13 and its subsequent related updates establish a forward-looking “expected loss model” that requires entities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current expected credit losses on accounts receivable and financial instruments by using all practical and relevant information. ASU 2016-13 and its subsequent related updates were effective for fiscal years beginning after December 15, 2019, including interim periods within those fiscal years, with early adoption permitted. The Company adopted the guidance on January 1, 2020 and applied it on a prospective basis. The adoption did not have a material impact on the Unaudited Condensed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Simplifying the Accounting for Income Taxes</w:t>
      </w:r>
      <w:r>
        <w:rPr>
          <w:rFonts w:ascii="Arial" w:cs="Arial" w:eastAsia="Arial" w:hAnsi="Arial"/>
          <w:sz w:val="18"/>
          <w:szCs w:val="18"/>
          <w:color w:val="auto"/>
        </w:rPr>
        <w:t xml:space="preserve">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is currently assessing the impact that adopting this guidance will have on its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summarizes revenue from contracts with customers by geographical region and by revenue source for the three and nine months ended September 30, 2020 and 2019.</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2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8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121,814</w:t>
            </w:r>
          </w:p>
        </w:tc>
        <w:tc>
          <w:tcPr>
            <w:tcW w:w="2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127,807</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330,295</w:t>
            </w:r>
          </w:p>
        </w:tc>
        <w:tc>
          <w:tcPr>
            <w:tcW w:w="2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365,180</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16,598</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45,869</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41,870</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138,412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376,164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407,050</w:t>
            </w:r>
          </w:p>
        </w:tc>
        <w:tc>
          <w:tcPr>
            <w:tcW w:w="12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21,477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20,301</w:t>
            </w:r>
          </w:p>
        </w:tc>
        <w:tc>
          <w:tcPr>
            <w:tcW w:w="120" w:type="dxa"/>
            <w:vAlign w:val="bottom"/>
          </w:tcPr>
          <w:p>
            <w:pPr>
              <w:spacing w:after="0"/>
              <w:rPr>
                <w:sz w:val="19"/>
                <w:szCs w:val="19"/>
                <w:color w:val="auto"/>
              </w:rPr>
            </w:pPr>
          </w:p>
        </w:tc>
      </w:tr>
      <w:tr>
        <w:trPr>
          <w:trHeight w:val="229"/>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23,734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23,713</w:t>
            </w:r>
          </w:p>
        </w:tc>
        <w:tc>
          <w:tcPr>
            <w:tcW w:w="12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129,953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135,542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351,772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385,481</w:t>
            </w:r>
          </w:p>
        </w:tc>
        <w:tc>
          <w:tcPr>
            <w:tcW w:w="120" w:type="dxa"/>
            <w:vAlign w:val="bottom"/>
          </w:tcPr>
          <w:p>
            <w:pPr>
              <w:spacing w:after="0"/>
              <w:rPr>
                <w:sz w:val="19"/>
                <w:szCs w:val="19"/>
                <w:color w:val="auto"/>
              </w:rPr>
            </w:pPr>
          </w:p>
        </w:tc>
      </w:tr>
      <w:tr>
        <w:trPr>
          <w:trHeight w:val="229"/>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147,472</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399,898</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430,763</w:t>
            </w:r>
          </w:p>
        </w:tc>
        <w:tc>
          <w:tcPr>
            <w:tcW w:w="12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provides disaggregation of revenue based on the United States versus International geographical region classification and based on the marketplace subscription versus advertising and other revenue classification as it believes these categories best depict how the nature, amount, timing and uncertainty of revenue and cash flows are affected by economic factors.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performance obligations that were unsatisfied as of September 30, 2020 was approximately $15.6 million, which the Company expects to recognize over the next 12 months.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September 30, 2020. For performance obligations not satisfied as of September 30, 2020, and to which this expedient applies, the nature of the performance obligations, the variable consideration and any consideration from contracts with customers not included in the transaction price are consistent with performance obligations satisfied as of September 30, 2020.</w:t>
      </w:r>
    </w:p>
    <w:p>
      <w:pPr>
        <w:spacing w:after="0" w:line="188"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Revenue recognized during the three months ended September 30, 2020 and 2019 and nine months ended September 30, 2020 and 2019, from amounts included in deferred revenue at the beginning of the period, was approximately $8,195, $8,479, $9,984 and $8,811, respectively.</w:t>
      </w:r>
    </w:p>
    <w:p>
      <w:pPr>
        <w:spacing w:after="0" w:line="14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These fee reductions materially and adversely impacted revenue for the second quarter of 2020 and had an immaterial impact for the third quarter of 2020.</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4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212529"/>
        </w:rPr>
        <w:t>On January 16, 2020, the Company acquired Autolist, an automotive shopping platform based in San Francisco, California, pursuant to an Agreement and Plan of Merger by and among the Company, Alpine Merger Sub, Inc., a Delaware corporation and wholly-owned subsidiary of the Company (“Merger Sub”), Auto List, Inc., a Delaware corporation (“Target”), and the securityholders’ representative therein, pursuant to which, among other things, the Company acquired Target through the merger of Merger Sub with and into Target (the “Merger”), with Target surviving as a wholly owned subsidiary of the Company.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212529"/>
        </w:rPr>
        <w:t>paid an aggregate of $21.1 million, net of cash acquired, to consummate the Merger. The amount paid includes $2.2 million that is held in escrow to secure post-closing claims. The Merger is intended to both expand the Company’s consumer audience in the United States and enhance its value proposition for subscribing dealers.</w:t>
      </w:r>
    </w:p>
    <w:p>
      <w:pPr>
        <w:spacing w:after="0" w:line="224" w:lineRule="exact"/>
        <w:rPr>
          <w:sz w:val="20"/>
          <w:szCs w:val="20"/>
          <w:color w:val="auto"/>
        </w:rPr>
      </w:pPr>
    </w:p>
    <w:p>
      <w:pPr>
        <w:jc w:val="both"/>
        <w:ind w:firstLine="510"/>
        <w:spacing w:after="0" w:line="280" w:lineRule="auto"/>
        <w:rPr>
          <w:sz w:val="20"/>
          <w:szCs w:val="20"/>
          <w:color w:val="auto"/>
        </w:rPr>
      </w:pPr>
      <w:r>
        <w:rPr>
          <w:rFonts w:ascii="Arial" w:cs="Arial" w:eastAsia="Arial" w:hAnsi="Arial"/>
          <w:sz w:val="17"/>
          <w:szCs w:val="17"/>
          <w:color w:val="auto"/>
        </w:rPr>
        <w:t xml:space="preserve">As of September 30, 2020, the Company incurred total acquisition-related costs of $1.4 million related to the Merger. </w:t>
      </w:r>
      <w:r>
        <w:rPr>
          <w:rFonts w:ascii="Arial" w:cs="Arial" w:eastAsia="Arial" w:hAnsi="Arial"/>
          <w:sz w:val="17"/>
          <w:szCs w:val="17"/>
          <w:color w:val="212529"/>
        </w:rPr>
        <w:t>For the three months ended</w:t>
      </w:r>
      <w:r>
        <w:rPr>
          <w:rFonts w:ascii="Arial" w:cs="Arial" w:eastAsia="Arial" w:hAnsi="Arial"/>
          <w:sz w:val="17"/>
          <w:szCs w:val="17"/>
          <w:color w:val="auto"/>
        </w:rPr>
        <w:t xml:space="preserve"> </w:t>
      </w:r>
      <w:r>
        <w:rPr>
          <w:rFonts w:ascii="Arial" w:cs="Arial" w:eastAsia="Arial" w:hAnsi="Arial"/>
          <w:sz w:val="17"/>
          <w:szCs w:val="17"/>
          <w:color w:val="212529"/>
        </w:rPr>
        <w:t xml:space="preserve">September 30, 2020, the Company incurred no acquisition-related costs. For the nine months ended September 30, 2020, the Company </w:t>
      </w:r>
      <w:r>
        <w:rPr>
          <w:rFonts w:ascii="Arial" w:cs="Arial" w:eastAsia="Arial" w:hAnsi="Arial"/>
          <w:sz w:val="17"/>
          <w:szCs w:val="17"/>
          <w:color w:val="000000"/>
        </w:rPr>
        <w:t>incurred total</w:t>
      </w:r>
      <w:r>
        <w:rPr>
          <w:rFonts w:ascii="Arial" w:cs="Arial" w:eastAsia="Arial" w:hAnsi="Arial"/>
          <w:sz w:val="17"/>
          <w:szCs w:val="17"/>
          <w:color w:val="212529"/>
        </w:rPr>
        <w:t xml:space="preserve"> </w:t>
      </w:r>
      <w:r>
        <w:rPr>
          <w:rFonts w:ascii="Arial" w:cs="Arial" w:eastAsia="Arial" w:hAnsi="Arial"/>
          <w:sz w:val="17"/>
          <w:szCs w:val="17"/>
          <w:color w:val="000000"/>
        </w:rPr>
        <w:t>acquisition-related costs of $1.0 million. Acquisition-related costs were excluded from the purchase price allocation as they were primarily comprised of one-time severance and bonus related expenses. For the nine months ended September 30, 2020, $0.5 million, $0.3 million, and $0.2 million of acquisition-related costs were recorded as operating expense and allocated to product, technology, and development, general and administrative, and sales and marketing, respectively, within the Unaudited Condensed Consolidated Income Statement.</w:t>
      </w:r>
    </w:p>
    <w:p>
      <w:pPr>
        <w:spacing w:after="0" w:line="19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acquired assets and assumed liabilities. The following table presents the adjusted purchase price allocation recorded in the Company’s Unaudited Condensed Consolidated Balance Sheet as of the acquisition date, which is subject to finalization for tax-related items: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Adjusted Fair</w:t>
            </w:r>
          </w:p>
        </w:tc>
      </w:tr>
      <w:tr>
        <w:trPr>
          <w:trHeight w:val="148"/>
        </w:trPr>
        <w:tc>
          <w:tcPr>
            <w:tcW w:w="7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Value at Date</w:t>
            </w:r>
          </w:p>
        </w:tc>
      </w:tr>
      <w:tr>
        <w:trPr>
          <w:trHeight w:val="171"/>
        </w:trPr>
        <w:tc>
          <w:tcPr>
            <w:tcW w:w="7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 xml:space="preserve">of Acquisition </w:t>
            </w:r>
            <w:r>
              <w:rPr>
                <w:rFonts w:ascii="Arial" w:cs="Arial" w:eastAsia="Arial" w:hAnsi="Arial"/>
                <w:sz w:val="12"/>
                <w:szCs w:val="12"/>
                <w:b w:val="1"/>
                <w:bCs w:val="1"/>
                <w:color w:val="auto"/>
                <w:w w:val="92"/>
              </w:rPr>
              <w:t>(4)</w:t>
            </w: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4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19"/>
                <w:szCs w:val="19"/>
                <w:color w:val="auto"/>
              </w:rPr>
            </w:pP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p>
        </w:tc>
        <w:tc>
          <w:tcPr>
            <w:tcW w:w="42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(446)</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420" w:type="dxa"/>
            <w:vAlign w:val="bottom"/>
          </w:tcPr>
          <w:p>
            <w:pPr>
              <w:spacing w:after="0"/>
              <w:rPr>
                <w:sz w:val="19"/>
                <w:szCs w:val="19"/>
                <w:color w:val="auto"/>
              </w:rPr>
            </w:pP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(1,723)</w:t>
            </w: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5"/>
                <w:szCs w:val="15"/>
                <w:color w:val="auto"/>
              </w:rPr>
              <w:t>(3)</w:t>
            </w:r>
          </w:p>
        </w:tc>
        <w:tc>
          <w:tcPr>
            <w:tcW w:w="42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purchase price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880" w:hanging="373"/>
        <w:spacing w:after="0" w:line="26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developed technology, and customer relationships of $5,600, $1,200, and $800, respectively, with estimated useful lives of 9 years, 3 years, and 3 years, respectively, which will be amortized on a straight-line basis over their estimated useful lives. The fair value of the brand has been estimated using the multi-period excess earnings method which is a variation of the income approach. The fair value of the developed technology and customer relationships has been estimated using a cost approach, which assesses the cost to redevelop the app and technology, and relationships, respectively.</w:t>
      </w:r>
    </w:p>
    <w:p>
      <w:pPr>
        <w:spacing w:after="0" w:line="2" w:lineRule="exact"/>
        <w:rPr>
          <w:rFonts w:ascii="Arial" w:cs="Arial" w:eastAsia="Arial" w:hAnsi="Arial"/>
          <w:sz w:val="17"/>
          <w:szCs w:val="17"/>
          <w:color w:val="auto"/>
        </w:rPr>
      </w:pPr>
    </w:p>
    <w:p>
      <w:pPr>
        <w:jc w:val="both"/>
        <w:ind w:left="880" w:hanging="373"/>
        <w:spacing w:after="0" w:line="26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goodwill represents the excess value of the purchase price over net assets acquired. The goodwill in this transaction is primarily attributable to expected consumer traffic growth and shopper connections for dealers across both the CarGurus and Autolist websites, creating additional value for the Company’s premium subscription customers. All goodwill is assigned to the United States reporting segment. The acquisition of Autolist is treated as a stock acquisition for tax purposes and goodwill is not deductible for tax purposes.</w:t>
      </w: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deferred tax liability corresponds to the acquired intangible assets which have no tax basis.</w:t>
      </w:r>
    </w:p>
    <w:p>
      <w:pPr>
        <w:spacing w:after="0" w:line="9" w:lineRule="exact"/>
        <w:rPr>
          <w:rFonts w:ascii="Arial" w:cs="Arial" w:eastAsia="Arial" w:hAnsi="Arial"/>
          <w:sz w:val="18"/>
          <w:szCs w:val="18"/>
          <w:color w:val="auto"/>
        </w:rPr>
      </w:pPr>
    </w:p>
    <w:p>
      <w:pPr>
        <w:ind w:left="880" w:hanging="373"/>
        <w:spacing w:after="0" w:line="26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refined its estimates of the fair value of certain accounts included within the preliminary purchase price allocation, which resulted in an immaterial adjustment to accounts receivable, cash paid, deferred tax liability and goodwill.</w:t>
      </w:r>
    </w:p>
    <w:p>
      <w:pPr>
        <w:spacing w:after="0" w:line="22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Actual and pro forma results for this acquisition have not been presented as the financial impact to the Company’s Unaudited Condensed Consolidated Financial Statements is not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present, for each of the fair value levels, the Company’s assets that are measured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at 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At September 30, 2020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172,427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December 31, 2019 had maturity dates of one year or less.</w:t>
      </w:r>
    </w:p>
    <w:p>
      <w:pPr>
        <w:spacing w:after="0" w:line="2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September 30, 2020 and December 31, 2019.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nine months ended September 30, 2020 or the year ended December 31, 2019.</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held no investments at September 30, 2020. The following is a summary of investments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At December 31, 2019</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14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111,692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7"/>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w:t>
            </w:r>
          </w:p>
        </w:tc>
      </w:t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6,809</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19,507</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46,105</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(25,341)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(18,155)</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Depreciation and amortization expense, excluding amortization of intangible assets, was $1,937, $1,951, $7,367, and $5,173 for the three months ended September 30, 2020 and 2019 and the nine months ended September 30, 2020 and 2019, respectively. Capitalized website development costs increased $4,368 due to continued investment in our product offerings.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 xml:space="preserve">Autolist acquisition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ind w:left="1180"/>
              <w:spacing w:after="0"/>
              <w:rPr>
                <w:sz w:val="20"/>
                <w:szCs w:val="20"/>
                <w:color w:val="auto"/>
              </w:rPr>
            </w:pPr>
            <w:r>
              <w:rPr>
                <w:rFonts w:ascii="Arial" w:cs="Arial" w:eastAsia="Arial" w:hAnsi="Arial"/>
                <w:sz w:val="18"/>
                <w:szCs w:val="18"/>
                <w:color w:val="auto"/>
              </w:rPr>
              <w:t>Balance at September 30, 2020</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9"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Note 4 of the Unaudited Condensed Consolidated Financial Statements included elsewhere in this Quarterly Report.</w:t>
      </w:r>
    </w:p>
    <w:p>
      <w:pPr>
        <w:spacing w:after="0" w:line="23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tests goodwill for impairment at least annually or whenever events or changes in circumstances indicate that the carrying value may not be recoverable. As a result of the COVID-19 pandemic, the Company assessed its goodwill for impairment concluding that there was no impairment as of September 30,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September 30, 2020 and December 31, 2019 consist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At September 30, 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At December 31, 2019</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recorded amortization expense related to intangible assets of $495, $167, $1,412, and $486 for the three months ended September 30, 2020 and 2019 and the nine months ended September 30, 2020, and 2019, respectively.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estimated useful life of the PistonHeads brand and customer relationships is 11 years and 3 years, respectively. The estimated useful life of the Autolist brand, customer relationships and developed technology is 9 years, 3 years, and 3 years, respectively. The Company evaluates the useful lives of these assets on an annual basis and tests for impairment whenever events or changes in circumstances occur that could impact the recoverability of these assets. As a result of the COVID-19 pandemic, the Company assessed its long-lived assets for impairment and concluded that there was no impairment as of September 30, 2020.</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September 30,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Accrued Income Taxes and Other Current Liabilities</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8"/>
          </w:tcPr>
          <w:p>
            <w:pPr>
              <w:jc w:val="right"/>
              <w:ind w:right="1040"/>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commissions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Restructuring</w:t>
      </w:r>
    </w:p>
    <w:p>
      <w:pPr>
        <w:spacing w:after="0" w:line="13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April 13, 2020, the Board of Directors of the Company approved an expense reduction plan to address the impact of the COVID-19 pandemic on the Company’s business (the “Expense Reduction Plan”), pursuant to which the Company initiated a reduction in its workforce of approximately 13%, ceased operation of its Germany, Italy and Spain marketplaces, and halted expansion efforts in any new international markets.</w:t>
      </w:r>
    </w:p>
    <w:p>
      <w:pPr>
        <w:spacing w:after="0" w:line="19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Expense Reduction Plan was completed in the second quarter of 2020 and during such quarter resulted in restructuring charges of $3,248 for employee severance and related benefits expense and $1,019 for write-off of capitalized website development costs and deferred contract costs from international marketplaces.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restructuring accrual activity for employee severance and related benefits expense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Employee</w:t>
            </w: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Severance and</w:t>
            </w:r>
          </w:p>
        </w:tc>
      </w:tr>
      <w:tr>
        <w:trPr>
          <w:trHeight w:val="171"/>
        </w:trPr>
        <w:tc>
          <w:tcPr>
            <w:tcW w:w="548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Related Benefits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Cash disbursements</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(2,581)</w:t>
            </w: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Noncash settlements</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For the three months ended September 30, 2020, no employee severance and related benefits expense was recorded. For the nine months ended September 30, 2020, $2,160, $737, $207, and $144 of employee severance and related benefits expense was recorded as sales and marketing, product, technology, and development, cost of revenue, and general and administrative, respectively, within the Unaudited Condensed Consolidated Income Statement. All of the accrued employee severance and related benefits were paid as of September 30, 2020 and were recorded within accrued expenses, accrued income taxes and other current liabilities on the Unaudited Condensed Consolidated Balance Sheets, prior to payout. For the nine months ended September 30, 2020, $667 of employee severance and related benefits expense was recorded as stock-based compensation expense within the Unaudited Condensed Consolidated Statements of Cash Flows.</w:t>
      </w:r>
    </w:p>
    <w:p>
      <w:pPr>
        <w:spacing w:after="0" w:line="17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For the three months ended September 30, 2020, no write-off of capitalized website development costs or deferred contract costs from international marketplaces was recorded. For the nine months ended September 30, 2020, $844 and $175 of the write-off of capitalized website development costs and deferred contract costs from international marketplaces were recorded as cost of revenue and sales and marketing, respectively, within the Unaudited Condensed Consolidated Income Statement. For the nine months ended September 30, 2020, $844 of the write-off of capitalized website development costs from international marketplaces was recorded as depreciation and amortization within the Unaudited Condensed Consolidated Statements of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All of the Company’s property, equipment, and internal-use software have been purchased with cash with the exception of amounts related to unpaid property and equipment as disclosed in the Unaudited Condensed Consolidated Statements of Cash Flows and immaterial amounts related to obligations under one finance lease as of September 30, 2020. The Company has no material long-term purchase obligations outstanding with any vendor or third party.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The Company’s primary operating lease obligations consist of various leases for office space in: Boston, Massachusetts; Cambridge, Massachusetts; San Francisco, California; and Dublin, Ireland. The Company also has an operating lease obligation for data center space in Needham, Massachusetts.</w:t>
      </w:r>
    </w:p>
    <w:p>
      <w:pPr>
        <w:spacing w:after="0" w:line="12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September 30, 2020, there were no material changes in the Company’s material leases from those disclosed in the Annual Report, other than as discussed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ind w:firstLine="510"/>
        <w:spacing w:after="0" w:line="279" w:lineRule="auto"/>
        <w:rPr>
          <w:sz w:val="20"/>
          <w:szCs w:val="20"/>
          <w:color w:val="auto"/>
        </w:rPr>
      </w:pPr>
      <w:r>
        <w:rPr>
          <w:rFonts w:ascii="Arial" w:cs="Arial" w:eastAsia="Arial" w:hAnsi="Arial"/>
          <w:sz w:val="17"/>
          <w:szCs w:val="17"/>
          <w:color w:val="auto"/>
        </w:rPr>
        <w:t>On June 12, 2020, the Company amended its operating lease agreement in Boston, Massachusetts at 1001 Boylston Street, which was originally entered into on December 19, 2019. Pursuant to this amendment, the Company exercised its right to reduce the amount of office space agreed to under the lease to 225,428 square feet, and the parties agreed to certain other changes to the lease as set forth in the amendment. As the lease has been signed but the lease term has not commenced, there is no impact to the Unaudited Condensed Consolidated Financial Statements.</w:t>
      </w:r>
    </w:p>
    <w:p>
      <w:pPr>
        <w:spacing w:after="0" w:line="17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January 10, 2019, Auto List, Inc., which the Company acquired on January 16, 2020, entered into an operating lease in San Francisco, California at 332 Pine St. for the lease of 6,345 square feet of office space with a non-cancellable lease term through 2024. The lease provides for annual rent increases through the term of the lease.</w:t>
      </w:r>
    </w:p>
    <w:p>
      <w:pPr>
        <w:spacing w:after="0" w:line="18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6"/>
          <w:szCs w:val="16"/>
          <w:color w:val="auto"/>
        </w:rPr>
        <w:t>The Company’s leases in Boston, Massachusetts, Cambridge, Massachusetts and San Francisco, California have associated letters of credit, which are recorded as restricted cash within the Unaudited Condensed Consolidated Balance Sheet. At September 30, 2020 and December 31, 2019, restricted cash was $10,877 and $10,803, respectively, and primarily related to cash held at a financial institution in an interest</w:t>
      </w:r>
      <w:r>
        <w:rPr>
          <w:rFonts w:ascii="MS PGothic" w:cs="MS PGothic" w:eastAsia="MS PGothic" w:hAnsi="MS PGothic"/>
          <w:sz w:val="16"/>
          <w:szCs w:val="16"/>
          <w:color w:val="auto"/>
        </w:rPr>
        <w:t>‑</w:t>
      </w:r>
      <w:r>
        <w:rPr>
          <w:rFonts w:ascii="Arial" w:cs="Arial" w:eastAsia="Arial" w:hAnsi="Arial"/>
          <w:sz w:val="16"/>
          <w:szCs w:val="16"/>
          <w:color w:val="auto"/>
        </w:rPr>
        <w:t>bearing cash account as collateral for the letters of credit related to the contractual provisions for the Company’s building leases. At September 30, 2020 and December 31, 2019, portions of restricted cash were classified as a short-term asset and long</w:t>
      </w:r>
      <w:r>
        <w:rPr>
          <w:rFonts w:ascii="MS PGothic" w:cs="MS PGothic" w:eastAsia="MS PGothic" w:hAnsi="MS PGothic"/>
          <w:sz w:val="16"/>
          <w:szCs w:val="16"/>
          <w:color w:val="auto"/>
        </w:rPr>
        <w:t>‑</w:t>
      </w:r>
      <w:r>
        <w:rPr>
          <w:rFonts w:ascii="Arial" w:cs="Arial" w:eastAsia="Arial" w:hAnsi="Arial"/>
          <w:sz w:val="16"/>
          <w:szCs w:val="16"/>
          <w:color w:val="auto"/>
        </w:rPr>
        <w:t>term asset, as disclosed on the Unaudited Condensed Consolidated Balance Sheet.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7"/>
          <w:szCs w:val="17"/>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September 30, 2020 and December 31, 2019, the Company has not incurred any costs for guarantees or indemnities.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Unaudited Condensed Consolidated Income Statements: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96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25,260</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6"/>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9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7,392</w:t>
            </w:r>
          </w:p>
        </w:tc>
        <w:tc>
          <w:tcPr>
            <w:tcW w:w="80" w:type="dxa"/>
            <w:vAlign w:val="bottom"/>
          </w:tcPr>
          <w:p>
            <w:pPr>
              <w:spacing w:after="0"/>
              <w:rPr>
                <w:sz w:val="19"/>
                <w:szCs w:val="19"/>
                <w:color w:val="auto"/>
              </w:rPr>
            </w:pPr>
          </w:p>
        </w:tc>
      </w:tr>
      <w:tr>
        <w:trPr>
          <w:trHeight w:val="21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80" w:type="dxa"/>
            <w:vAlign w:val="bottom"/>
            <w:shd w:val="clear" w:color="auto" w:fill="CFF0FC"/>
          </w:tcPr>
          <w:p>
            <w:pPr>
              <w:spacing w:after="0"/>
              <w:rPr>
                <w:sz w:val="20"/>
                <w:szCs w:val="20"/>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Excluded from stock-based compensation expense is $656, $324, $1,323, and $950 of capitalized website development and internal-use software costs for the three months ended September 30, 2020 and 2019 and the nine months ended September 30, 2020, and 2019,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ind w:firstLine="510"/>
        <w:spacing w:after="0" w:line="272" w:lineRule="auto"/>
        <w:rPr>
          <w:sz w:val="20"/>
          <w:szCs w:val="20"/>
          <w:color w:val="auto"/>
        </w:rPr>
      </w:pPr>
      <w:r>
        <w:rPr>
          <w:rFonts w:ascii="Arial" w:cs="Arial" w:eastAsia="Arial" w:hAnsi="Arial"/>
          <w:sz w:val="17"/>
          <w:szCs w:val="17"/>
          <w:color w:val="auto"/>
        </w:rPr>
        <w:t>During the three months ended September 30, 2020 and 2019 and the nine months ended September 30, 2020 and 2019, the Company withheld 111,370, 120,943, 337,313, and 345,114 shares of Class A common stock, respectively, to satisfy employee tax withholding requirements and option exercise costs due to net share settlements and cashless exercises of options. The shares withheld return to the authorized, but unissued pool under the Company’s Omnibus Equity Compensation Plan and can be reissued by the Company. Total payments for the employees’ tax obligations to the taxing authorities due to net share settlements and for option exercise costs were $2,922, $4,192, $8,708, and $12,783 for the three months ended September 30, 2020 and 2019 and the nine months ended September 30, 2020, and 2019, respectively, and are reflected as a financing activity within the Unaudited Condensed Consolidated Statements of Cash Flows.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Net income per share for the three and nine months ended September 30, 2020 and 2019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47"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0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During the three months ended September 30, 2020 and 2019, holders of Class B common stock converted 898,655 and 200,000 shares of Class B common stock to Class A common stock, respectively. During the nine months ended September 30, 2020 and 2019, holders of Class B common stock converted 1,238,144 and 200,000 shares of Class B common stock to Class A common stock, respectively.</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and nine months ended September 30, 2020 and 2019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and nine months ended September 30, 2020 and 2019,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per share:</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32,563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52,390</w:t>
            </w: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Weighted-average number of shares of common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attributable to common stockholders — basic</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113,027,995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111,662,949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112,707,003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111,257,271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632,581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1,052,758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701,176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1,232,754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unvested restricted stock units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306,287</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649,068</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324,437</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899,670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number of shares of common</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used in computing net income per share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113,966,863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113,364,775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113,732,616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113,389,695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The following potentially dilutive common stock equivalents have been excluded from the calculation of diluted weighted-average shares outstanding for the three and nine months ended September 30, 2020 and 2019, as their effect would have been anti-dilutive for the periods presented:</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240" w:type="dxa"/>
            <w:vAlign w:val="bottom"/>
          </w:tcPr>
          <w:p>
            <w:pPr>
              <w:spacing w:after="0"/>
              <w:rPr>
                <w:sz w:val="14"/>
                <w:szCs w:val="14"/>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524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2,577,713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1,421,473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2,893,491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1,191,286</w:t>
            </w:r>
          </w:p>
        </w:tc>
        <w:tc>
          <w:tcPr>
            <w:tcW w:w="12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three months ended September 30, 2020, the Company recorded an income tax provision of $11,209, representing an effective tax rate of 25.6%. The effective tax rate for the three months ended September 30, 2020 was higher than the statutory tax rate of 21% principally due to state and local income taxes, partially offset by federal and state research and development tax credits.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three months ended September 30, 2019, the Company recorded income tax provision of $330, representing an effective tax rate of 3.1%. The effective tax rate for the three months ended September 30, 2019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22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7"/>
          <w:szCs w:val="17"/>
          <w:color w:val="auto"/>
        </w:rPr>
        <w:t>During the nine months ended September 30, 2020, the Company recorded an income tax provision of $13,312 representing an effective tax rate of 20.3%. The effective tax rate for the nine months ended September 30, 2020 was lower than the statutory tax rate of 21% principally due to a discrete benefit recognized as a result of the enactment of the CARES Act (as defined below), excess stock deductions from the taxable compensation of stock-based awards and federal and state research and development tax credits, partially offset by state and local income taxes.</w:t>
      </w:r>
    </w:p>
    <w:p>
      <w:pPr>
        <w:spacing w:after="0" w:line="18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During the nine months ended September 30, 2019, the Company recorded an income tax benefit of $4,783, representing an effective tax rate of (19.8)%. The effective tax rate for the nine months ended September 30, 2019 was lower than the statutory tax rate of 21% principally due to the excess stock deductions from the taxable compensation of stock-based awards and federal and state research and development tax credits, partially offset by state and local income taxes.</w:t>
      </w:r>
    </w:p>
    <w:p>
      <w:pPr>
        <w:spacing w:after="0" w:line="22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and its subsidiaries are subject to various United States federal, state, and foreign income taxes. The Company is currently open to examination by the Internal Revenue Service (the “IRS”) and state jurisdictions for the tax years of 2017 and after. The Company is currently open to examination in its foreign jurisdictions for tax years 2017 and after. In 2019, the IRS commenced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8"/>
          <w:szCs w:val="18"/>
          <w:color w:val="auto"/>
        </w:rPr>
        <w:t>federal employment tax audit with respect to the 2016, 2017 and 2018 calendar years, which is still open. In July 2020, the IRS commenced a corporate income tax audit with respect to the 2017 calendar year, which is still open. In August 2020, New York State commenced a sales and use tax audit with respect to 2014 – 2020 sales and use taxes, which is still open.</w:t>
      </w:r>
    </w:p>
    <w:p>
      <w:pPr>
        <w:spacing w:after="0" w:line="16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March 27, 2020, the United States enacted the Coronavirus Aid, Relief, and Economic Security Act (the “CARES Act”). Among other things, the CARES Act includes a net operating loss (“NOL”) carryback provision allowing for NOLs from the 2018, 2019 and 2020 tax years to be used to offset taxable income for the tax years from 2013 to 2017. The Company filed a carryback claim, from which it received a refund of $3,863 during the three months ended September 30, 2020, and will reduce its current gross NOL balance by approximately $18,723 and increase its deferred federal research and development credit by approximately $2,645. The Company does not expect this election to negatively impact its analysis on the valuation allowance for its NOLs or deferred federal research and development credit.</w:t>
      </w:r>
    </w:p>
    <w:p>
      <w:pPr>
        <w:spacing w:after="0" w:line="19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CARES Act also updates the Tax Cuts and Jobs Act of 2017, allowing for the depreciation of leasehold improvements over 15 years, rather than 39 years, and eligibility for bonus depreciation, rather than non-eligibility for bonus depreciation. The Company has made an estimate for the impact as it relates to the 2019 tax year and will file its 2019 return in accordance with the updated guidance in the CARES Act.</w:t>
      </w:r>
    </w:p>
    <w:p>
      <w:pPr>
        <w:spacing w:after="0" w:line="165"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7"/>
          <w:szCs w:val="17"/>
          <w:color w:val="auto"/>
        </w:rPr>
        <w:t>The CARES Act includes other provisions that may be utilized if the Company meets the eligibility requirements. Although the Company continues to review and evaluate the potential impact and benefit of the CARES Act on its entire business, the Company has primarily focused its review on two provisions that affect both income taxes and non-income taxes. First, the CARES Act temporarily removes the 80% limitation on NOLs to offset taxable income for tax years prior to 2021. Second, the CARES Act allows for the deferral of the employer portion of the Social Security Tax for up to two years, with half due by December 31, 2021 and the remainder due by December 31, 2022.</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July 20, 2020, the IRS issued final regulations that provide for a high-tax exception to the Global Intangible Low-Taxed Income (“GILTI”) tax. Specifically, if foreign earnings are subject to a foreign tax rate of at least 90% of the U.S. tax rate, an election can be made to not treat the high-taxed earnings as GILTI income. The final regulations provide the ability for taxpayers to retroactively apply the GILTI high-tax exclusion on an amended return for tax years 2018 and 2019. As a result of the final regulations, the Company is able to exclude certain foreign earnings from its forecasted 2020 GILTI income. With respect to prior tax years, the Company did not have GILTI income in 2018 or 2019 and, therefore, does not have the ability to recognize a benefit by applying the high tax exclusion retroactively.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138,412</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141,637</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376,164</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407,050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23,734</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399,898</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78"/>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46,462</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19,956</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82,061</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51,456</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(17,766)</w:t>
            </w: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(30,769)</w:t>
            </w:r>
          </w:p>
        </w:tc>
      </w:tr>
      <w:tr>
        <w:trPr>
          <w:trHeight w:val="223"/>
        </w:trPr>
        <w:tc>
          <w:tcPr>
            <w:tcW w:w="3620" w:type="dxa"/>
            <w:vAlign w:val="bottom"/>
          </w:tcPr>
          <w:p>
            <w:pPr>
              <w:ind w:left="480"/>
              <w:spacing w:after="0"/>
              <w:rPr>
                <w:sz w:val="20"/>
                <w:szCs w:val="20"/>
                <w:color w:val="auto"/>
              </w:rPr>
            </w:pPr>
            <w:r>
              <w:rPr>
                <w:rFonts w:ascii="Arial" w:cs="Arial" w:eastAsia="Arial" w:hAnsi="Arial"/>
                <w:sz w:val="18"/>
                <w:szCs w:val="18"/>
                <w:color w:val="auto"/>
              </w:rPr>
              <w:t>Total income from operations</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64,295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20,687</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212529"/>
        </w:rPr>
        <w:t>For the three months ended September 30, 2020, no employee severance and related benefits expense was recorded. For the nine months ended September 30, 2020, employee severance and related benefits expense attributable to the United States and International segments were $2,492 and $756, respectively. For the three months ended September 30, 2020, no write-off of capitalized website development costs or deferred contract costs from international marketplaces was recorded. For the nine months ended September 30, 2020, the entirety of the write-off of capitalized website development costs and deferred contract costs from international marketplaces was attributable to the International segment. The Company ceased the operations of the International segment online marketplaces in Germany, Italy, and Spain in the second quarter of 2020.</w:t>
      </w:r>
    </w:p>
    <w:p>
      <w:pPr>
        <w:spacing w:after="0" w:line="20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As of September 30, 2020, total assets held outside of the United States were $31,627, primarily attributable to $15,880 of goodwill and $3,577 of intangible assets. </w:t>
      </w:r>
      <w:r>
        <w:rPr>
          <w:rFonts w:ascii="Arial" w:cs="Arial" w:eastAsia="Arial" w:hAnsi="Arial"/>
          <w:sz w:val="18"/>
          <w:szCs w:val="18"/>
          <w:color w:val="212529"/>
        </w:rPr>
        <w:t>As of</w:t>
      </w:r>
      <w:r>
        <w:rPr>
          <w:rFonts w:ascii="Arial" w:cs="Arial" w:eastAsia="Arial" w:hAnsi="Arial"/>
          <w:sz w:val="18"/>
          <w:szCs w:val="18"/>
          <w:color w:val="auto"/>
        </w:rPr>
        <w:t xml:space="preserve"> December 31, 2019</w:t>
      </w:r>
      <w:r>
        <w:rPr>
          <w:rFonts w:ascii="Arial" w:cs="Arial" w:eastAsia="Arial" w:hAnsi="Arial"/>
          <w:sz w:val="18"/>
          <w:szCs w:val="18"/>
          <w:color w:val="212529"/>
        </w:rPr>
        <w:t>, total assets held outside of the United States were $32,528, primarily attributable to $15,207 of goodwill and</w:t>
      </w:r>
      <w:r>
        <w:rPr>
          <w:rFonts w:ascii="Arial" w:cs="Arial" w:eastAsia="Arial" w:hAnsi="Arial"/>
          <w:sz w:val="18"/>
          <w:szCs w:val="18"/>
          <w:color w:val="auto"/>
        </w:rPr>
        <w:t xml:space="preserve"> </w:t>
      </w:r>
      <w:r>
        <w:rPr>
          <w:rFonts w:ascii="Arial" w:cs="Arial" w:eastAsia="Arial" w:hAnsi="Arial"/>
          <w:sz w:val="18"/>
          <w:szCs w:val="18"/>
          <w:color w:val="212529"/>
        </w:rPr>
        <w:t>$3,920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2019, filed with the Securities and Exchange Commission, or SEC, on February 14, 2020,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w:t>
      </w:r>
    </w:p>
    <w:p>
      <w:pPr>
        <w:spacing w:after="0" w:line="20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addition to the United States, we operate online marketplaces under the CarGurus brand in Canada and the United Kingdom. We also operated online marketplaces in Germany, Italy, and Spain until we ceased the operations of each of these marketplaces in the second quarter of 2020. </w:t>
      </w:r>
      <w:r>
        <w:rPr>
          <w:rFonts w:ascii="Arial" w:cs="Arial" w:eastAsia="Arial" w:hAnsi="Arial"/>
          <w:sz w:val="17"/>
          <w:szCs w:val="17"/>
          <w:color w:val="212529"/>
        </w:rPr>
        <w:t>In the United</w:t>
      </w:r>
      <w:r>
        <w:rPr>
          <w:rFonts w:ascii="Arial" w:cs="Arial" w:eastAsia="Arial" w:hAnsi="Arial"/>
          <w:sz w:val="17"/>
          <w:szCs w:val="17"/>
          <w:color w:val="auto"/>
        </w:rPr>
        <w:t xml:space="preserve"> </w:t>
      </w:r>
      <w:r>
        <w:rPr>
          <w:rFonts w:ascii="Arial" w:cs="Arial" w:eastAsia="Arial" w:hAnsi="Arial"/>
          <w:sz w:val="17"/>
          <w:szCs w:val="17"/>
          <w:color w:val="212529"/>
        </w:rPr>
        <w:t xml:space="preserve">States and the United Kingdom, we also operate the Autolist and PistonHeads online marketplaces, respectively, as independent brands. </w:t>
      </w:r>
      <w:r>
        <w:rPr>
          <w:rFonts w:ascii="Arial" w:cs="Arial" w:eastAsia="Arial" w:hAnsi="Arial"/>
          <w:sz w:val="17"/>
          <w:szCs w:val="17"/>
          <w:color w:val="000000"/>
        </w:rPr>
        <w:t>We have</w:t>
      </w:r>
      <w:r>
        <w:rPr>
          <w:rFonts w:ascii="Arial" w:cs="Arial" w:eastAsia="Arial" w:hAnsi="Arial"/>
          <w:sz w:val="17"/>
          <w:szCs w:val="17"/>
          <w:color w:val="212529"/>
        </w:rPr>
        <w:t xml:space="preserve"> </w:t>
      </w:r>
      <w:r>
        <w:rPr>
          <w:rFonts w:ascii="Arial" w:cs="Arial" w:eastAsia="Arial" w:hAnsi="Arial"/>
          <w:sz w:val="17"/>
          <w:szCs w:val="17"/>
          <w:color w:val="000000"/>
        </w:rPr>
        <w:t>subsidiaries in the United States, Canada, Ireland, and the United Kingdom. Additionally, we have two reportable segments, United States and International. See Note 14 of our Unaudited Condensed Consolidated Financial Statements included elsewhere in this Quarterly Report.</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and advertising and other revenue from automobile manufacturers and other auto-related brand advertisers as well as partnerships with financing services companies. We generated revenue of $147.5 million in the three months ended September 30, 2020, a 2% decrease from $150.5 million of revenue in the three months ended September 30, 2019. Our revenue for the nine months ended September 30, 2020 was $399.9 million, a 7% decrease from $430.8 million of revenue in the nine months ended September 30, 2019.</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For the three months ended September 30, 2020, we generated net income of $32.6 million and our Adjusted EBITDA was $57.0 million, compared to net income of $10.4 million and Adjusted EBITDA of $20.6 million, for the three months ended September 30, 2019. For the nine months ended September 30, 2020, we generated net income of $52.4 million and our Adjusted EBITDA was $112.2 million, compared to net income of $29.0 million and Adjusted EBITDA of $51.9 million for the nine months ended September 30, 2019. See “Adjusted EBITDA” below for more information regarding our use of Adjusted EBITDA, a non-GAAP financial measure, and a reconciliation of Adjusted EBITDA to our net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December 2019, a novel strain of coronavirus, now referred to as COVID-19, surfaced in Wuhan, China. The virus was declared a pandemic by the World Health Organization and has spread globally. This pandemic has caused an international health crisis and resulted in significant disruptions to the global economy as well as businesses and capital markets around the world.</w:t>
      </w:r>
    </w:p>
    <w:p>
      <w:pPr>
        <w:spacing w:after="0" w:line="18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The COVID-19 pandemic and its adverse effects have become widespread in the locations where we, and our customers, suppliers and third-party business partners conduct business and as a result, we have experienced disruptions in our operations. For example, in March, we closed all of our offices (including our corporate headquarters) and began requiring our employees to work remotely until further notice. In addition, in an effort to limit the spread of COVID-19, many countries, as well as states in the United States, implemented or mandated and continue to implement or mandate significant restrictions on travel and commerce, shelter-in-place or stay-at-home orders, and business closures. Many of these orders resulted in restrictions on the ability of consumers to buy and sell automobiles by restricting operations at dealerships and/or by closing or reducing the services provided by the agencies that process the registration of automotive titles. While certain jurisdictions, including many within the United States, have implemented or are implementing policies with the goal of re-opening these markets, restrictions may be re-imposed in these markets due to increases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in COVID-19 cases. In addition, these restrictions and concerns about the spread of the disease have impacted car shopping by consumers and disrupted the operations of car dealerships, which has adversely affected the market for automobile purchases. While consumer demand has improved since the initial impact of the COVID-19 pandemic, the automotive industry is experiencing, and may continue to experience, inventory supply problems, especially resulting from wholesale used-car auction closures and escalating auction prices, which have adversely affected the level of used-car inventory held by our paying dealers and displayed on our websites.</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financial condition and results of operations. We also experienced an increase in account delinquencies from dealer customers challenged by the COVID-19 pandemic that failed to pay us on time or at all.</w:t>
      </w:r>
    </w:p>
    <w:p>
      <w:pPr>
        <w:spacing w:after="0" w:line="18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Further, because of the significant financial challenges that dealerships have faced and continue to face as a result of the COVID-19 pandemic, we took measures to help our paying dealers maintain their business health during the COVID-19 pandemic. We proactively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we calculated the remaining transaction price and allocated the consideration over the remaining performance obligations. These fee reductions materially and adversely impacted revenue for the second quarter of 2020 and had an immaterial impact for the third quarter of 2020.</w:t>
      </w:r>
    </w:p>
    <w:p>
      <w:pPr>
        <w:spacing w:after="0" w:line="17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These effects from the COVID-19 pandemic on our revenue caused us to implement certain cost-savings measures across our business. For example, during the second quarter of 2020, we initiated a cost-savings initiative that included a reduction in our workforce of approximately 13%, restricted future hiring, and limited discretionary spend across our business, including by eliminating, reducing or pausing certain vendor relationships and ceasing certain international operations and expansion efforts.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We also reduced consumer marketing across both algorithmic traffic acquisition and brand spend during the second and third quarters of 2020 in comparison to the second and third quarters of 2019 in an effort to reduce expenses and as a result of suppressed dealer inventory and the resulting reduced demand for leads by dealers.</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May, cancellations by paying dealers began to stabilize, which we believe resulted from the resumption of consumer activity as well as the fee reductions that we provided to our customers. In July, we returned to normal contractual billings in all markets. Additionally, as consumer activity increased and governments began to implement phased re-opening policies, we sequentially increased our consumer marketing expenses each month during the second and third quarters of 2020.</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in 2020. However, we cannot at this time accurately predict what effects these conditions will ultimately have on our revenue and operations. See the “Risk Factors” section of this Quarterly Report for further discussion of the impacts of the COVID-19 pandemic on our business.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38,655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48,249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9"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Autolist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94,288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112,562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36"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sessions from the Autolist website.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ind w:left="660"/>
              <w:spacing w:after="0"/>
              <w:rPr>
                <w:sz w:val="20"/>
                <w:szCs w:val="20"/>
                <w:color w:val="auto"/>
              </w:rPr>
            </w:pPr>
            <w:r>
              <w:rPr>
                <w:rFonts w:ascii="Arial" w:cs="Arial" w:eastAsia="Arial" w:hAnsi="Arial"/>
                <w:sz w:val="14"/>
                <w:szCs w:val="14"/>
                <w:b w:val="1"/>
                <w:bCs w:val="1"/>
                <w:color w:val="auto"/>
              </w:rPr>
              <w:t>At September 30,</w:t>
            </w:r>
          </w:p>
        </w:tc>
      </w:tr>
      <w:tr>
        <w:trPr>
          <w:trHeight w:val="20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06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80" w:type="dxa"/>
            <w:vAlign w:val="bottom"/>
          </w:tcPr>
          <w:p>
            <w:pPr>
              <w:spacing w:after="0"/>
              <w:rPr>
                <w:sz w:val="18"/>
                <w:szCs w:val="18"/>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80" w:type="dxa"/>
            <w:vAlign w:val="bottom"/>
            <w:tcBorders>
              <w:bottom w:val="single" w:sz="8" w:color="CFF0FC"/>
            </w:tcBorders>
          </w:tcPr>
          <w:p>
            <w:pPr>
              <w:spacing w:after="0"/>
              <w:rPr>
                <w:sz w:val="19"/>
                <w:szCs w:val="19"/>
                <w:color w:val="auto"/>
              </w:rPr>
            </w:pPr>
          </w:p>
        </w:tc>
      </w:tr>
      <w:tr>
        <w:trPr>
          <w:trHeight w:val="223"/>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33,086</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6" w:lineRule="exact"/>
        <w:rPr>
          <w:sz w:val="20"/>
          <w:szCs w:val="20"/>
          <w:color w:val="auto"/>
        </w:rPr>
      </w:pPr>
    </w:p>
    <w:p>
      <w:pPr>
        <w:jc w:val="both"/>
        <w:ind w:left="880" w:hanging="373"/>
        <w:spacing w:after="0" w:line="275"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our Quarterly Report on Form 10-Q for the quarter ended June 30, 2020, filed with the SEC on August 6, 2020, we announced that we had modified our method for calculating paying dealers to align our data with an enterprise system upgrade, or the Internal System Upgrade, and had replaced our Average Annual Revenue per Subscribing Dealer key metric with Quarterly Average Revenue per Subscribing Dealer, or QARSD. As a result of the Internal System Upgrade, and to provide consistency in our year-to-year comparisons, we have recast our paying dealer calculation as of September 30, 2019 to reflect the updated calculation methodology.</w:t>
      </w: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paying dealers from the Autolist website.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define QARSD, which is measured at the end of a fiscal quarter, as the marketplace subscription revenue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At September 30,</w:t>
            </w:r>
          </w:p>
        </w:tc>
        <w:tc>
          <w:tcPr>
            <w:tcW w:w="0" w:type="dxa"/>
            <w:vAlign w:val="bottom"/>
          </w:tcPr>
          <w:p>
            <w:pPr>
              <w:spacing w:after="0"/>
              <w:rPr>
                <w:sz w:val="1"/>
                <w:szCs w:val="1"/>
                <w:color w:val="auto"/>
              </w:rPr>
            </w:pPr>
          </w:p>
        </w:tc>
      </w:tr>
      <w:tr>
        <w:trPr>
          <w:trHeight w:val="155"/>
        </w:trPr>
        <w:tc>
          <w:tcPr>
            <w:tcW w:w="4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International</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jc w:val="both"/>
        <w:ind w:left="880" w:hanging="373"/>
        <w:spacing w:after="0" w:line="303"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a result of the Internal System Upgrade, we are unable to provide QARSD as of September 30, 2019 because we are unable to provide the number of paying dealers for the end of the period prior to the quarter ended September 30, 2019, which is necessary to calculate the average number of paying dealers for the period, and therefore are unable to calculate QARSD as of September 30, 2019.</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United States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6"/>
          <w:szCs w:val="16"/>
          <w:color w:val="auto"/>
        </w:rPr>
        <w:t>We define Adjusted EBITDA as net income, adjusted to exclude: depreciation and amortization,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acquisition-related expenses, restructuring expenses, other income, net, and the provision for (benefit from) income taxes.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510"/>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6" w:lineRule="exact"/>
        <w:rPr>
          <w:sz w:val="20"/>
          <w:szCs w:val="20"/>
          <w:color w:val="auto"/>
        </w:rPr>
      </w:pPr>
    </w:p>
    <w:p>
      <w:pPr>
        <w:ind w:left="880" w:right="20" w:hanging="373"/>
        <w:spacing w:after="0" w:line="223"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4" w:lineRule="exact"/>
        <w:rPr>
          <w:rFonts w:ascii="Arial" w:cs="Arial" w:eastAsia="Arial" w:hAnsi="Arial"/>
          <w:sz w:val="18"/>
          <w:szCs w:val="18"/>
          <w:color w:val="auto"/>
        </w:rPr>
      </w:pPr>
    </w:p>
    <w:p>
      <w:pPr>
        <w:ind w:left="880" w:hanging="373"/>
        <w:spacing w:after="0" w:line="223"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4"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restructuring expenses incurred by us during a reporting period, which may not be reflective of our operational performance during such period;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other income, net which primarily includes interest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the provision for (benefit from) income taxes;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measure calculated in accordance with GAAP, for each of the periods presented.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32,563</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(1,407)</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57,029</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112,190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880" w:hanging="373"/>
        <w:spacing w:after="0" w:line="255"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color w:val="212529"/>
        </w:rPr>
        <w:t>December 2019, we revised our definition of Adjusted EBITDA to exclude the impact of acquisition-related expenses. This revised</w:t>
      </w:r>
      <w:r>
        <w:rPr>
          <w:rFonts w:ascii="Arial" w:cs="Arial" w:eastAsia="Arial" w:hAnsi="Arial"/>
          <w:sz w:val="18"/>
          <w:szCs w:val="18"/>
          <w:color w:val="auto"/>
        </w:rPr>
        <w:t xml:space="preserve"> </w:t>
      </w:r>
      <w:r>
        <w:rPr>
          <w:rFonts w:ascii="Arial" w:cs="Arial" w:eastAsia="Arial" w:hAnsi="Arial"/>
          <w:sz w:val="18"/>
          <w:szCs w:val="18"/>
          <w:color w:val="212529"/>
        </w:rPr>
        <w:t>definition more accurately reflects management’s view of our business and financial performance. Adjusted EBITDA for the three and nine months ended September 30, 2019 has been restated for comparison purposes.</w:t>
      </w:r>
    </w:p>
    <w:p>
      <w:pPr>
        <w:spacing w:after="0" w:line="2" w:lineRule="exact"/>
        <w:rPr>
          <w:rFonts w:ascii="Arial" w:cs="Arial" w:eastAsia="Arial" w:hAnsi="Arial"/>
          <w:sz w:val="18"/>
          <w:szCs w:val="18"/>
          <w:color w:val="auto"/>
        </w:rPr>
      </w:pPr>
    </w:p>
    <w:p>
      <w:pPr>
        <w:jc w:val="both"/>
        <w:ind w:left="880" w:hanging="373"/>
        <w:spacing w:after="0" w:line="30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stock-based compensation expense of $753 for the nine months ended September 30, 2020 related to the expense reduction plan approved by our Board of Directors on April 13, 2020 to address the impact of the COVID-19 pandemic on our business, or the Expense Reduction Plan, as the amount is already included within the stock-based compensation line item in the Reconciliation of Adjusted EBITDA.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35"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We derive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offer multiple types of marketplace Listings packages to our dealers through our platform: Restricted Listings (formerly referred to as Basic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at the end of the committed term, although during the second quarter of 2020 we did not require dealers to provide 30 days’ advance notice of termination for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also have access to the Pricing Tool and Market Analysis tool.</w:t>
      </w:r>
    </w:p>
    <w:p>
      <w:pPr>
        <w:spacing w:after="0" w:line="16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those marketed under our Real-time Performance Marketing suite, such as Dealer Display.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user relevant vehicles from a dealer’s inventory that the user has not yet discovered on our marketplace), and a number of other targeting factors, allowing dealers to increase their visibility with in-market consumers and drive qualified traffic for dealers.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result of the COVID-19 pandemic, we experienced a material adverse impact on our marketplace revenue as paying dealers cancelled their subscriptions with us (including, in some cases, with our permission prior to the end of the applicable contract term and notice period) and due to the fee reductions provided to customers in April, May and June in response to the COVID-19 pandemic, which resulted in reductions in the overall transaction price that were spread over the remaining contract term. In May, cancellations by paying dealers began to stabilize, which we believe resulted from the resumption of consumer activity as well as the fee reductions that we provided to our customers. In July 2020, we returned to normal contractual billings in all markets.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we enable eligible consumers on our United States website to pre-qualify for financing on cars from dealerships that offer financing through such companies. Our revenues from these financing partnerships are based on a funded-loan basis.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a result of the COVID-19 pandemic, we experienced a material adverse impact on our advertising revenue as some advertisers cancelled or reduced their advertising with us (including, in certain cases, with our permission prior to the end of the applicable contract term). In May, cancellations by advertising customers began to stabilize, which we believe resulted from the resumption of consumer activity.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510"/>
        <w:spacing w:after="0" w:line="259" w:lineRule="auto"/>
        <w:rPr>
          <w:sz w:val="20"/>
          <w:szCs w:val="20"/>
          <w:color w:val="auto"/>
        </w:rPr>
      </w:pPr>
      <w:r>
        <w:rPr>
          <w:rFonts w:ascii="Arial" w:cs="Arial" w:eastAsia="Arial" w:hAnsi="Arial"/>
          <w:sz w:val="18"/>
          <w:szCs w:val="18"/>
          <w:color w:val="auto"/>
        </w:rPr>
        <w:t>In addition, a reduction in consumer visits to our sites during the COVID-19 pandemic resulted in the delivery of fewer impressions for our advertising customers than anticipated, which caused an adverse impact on our advertising revenue. This impact was partially offset by the increase in consumer visits over the course of the second and third quarters to our sites as we increased our consumer marketing expenses in response to the recovery in consumer and car shopping activity.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from partnerships with financing services companies was not adversely impacted by the COVID-19 pandemic.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Cost of revenue primarily consists of costs related to supporting and hosting our product offerings. These costs include salaries, benefits, incentive compensation, and stock-based compensation for our customer support team and third-party service provider costs such as data center and networking expenses, allocated overhead costs, depreciation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Despite our implementation of several cost saving initiatives associated with the COVID-19 pandemic, we expect these expenses to increase as we continue to scale our business and introduce new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changes in the competitive landscape around our consumer audience and our brand awareness, which will impact our quarterly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Despite our implementation of several cost saving initiatives associated with the COVID-19 pandemic, we expect product, technology, and development expenses to increase as we invest in additional engineering resourcing to develop new solutions and make improvements to our existing platform.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General and administrative expenses consist primarily of personnel and related expenses for our executive, finance, legal, human resources,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incurred. Despite our implementation of several cost saving initiatives associated with the COVID-19 pandemic, we expect general and administrative expenses to increase as we continue to scale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sublease income and net foreign exchange gains and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recognized a provision for income taxes for the three months ended September 30, 2020 and 2019. We have recognized a provision for income taxes for the nine months ended September 30, 2020 and a benefit from income taxes for the nine months ended September 30, 2019.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 against our net deferred tax assets as of September 30, 2020 and December 31, 2019 was immaterial.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7"/>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8"/>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129,953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135,542</w:t>
            </w:r>
          </w:p>
        </w:tc>
        <w:tc>
          <w:tcPr>
            <w:tcW w:w="1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351,772</w:t>
            </w:r>
          </w:p>
        </w:tc>
        <w:tc>
          <w:tcPr>
            <w:tcW w:w="120" w:type="dxa"/>
            <w:vAlign w:val="bottom"/>
          </w:tcPr>
          <w:p>
            <w:pPr>
              <w:spacing w:after="0"/>
              <w:rPr>
                <w:sz w:val="19"/>
                <w:szCs w:val="19"/>
                <w:color w:val="auto"/>
              </w:rPr>
            </w:pPr>
          </w:p>
        </w:tc>
        <w:tc>
          <w:tcPr>
            <w:tcW w:w="44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385,481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48,126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45,282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147,472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150,462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399,898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430,763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25,740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137,710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141,070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368,646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405,023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100,133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189,796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293,238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65,729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51,063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12,322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44,297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36,622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94,143</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131,366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304,351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384,336</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64,295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20,687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65,702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24,192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(4,783)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6"/>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7"/>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4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138,412</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141,637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376,164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9,060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23,734</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147,472</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150,462</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399,898</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430,763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4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46,462</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(10,252)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(17,766)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(30,769)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Marketplace subscription</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Advertising and other</w:t>
            </w: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Product, technology,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Total other income, net</w:t>
            </w: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40" w:type="dxa"/>
            <w:vAlign w:val="bottom"/>
          </w:tcPr>
          <w:p>
            <w:pPr>
              <w:spacing w:after="0"/>
              <w:rPr>
                <w:sz w:val="24"/>
                <w:szCs w:val="2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82" w:right="55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129,953</w:t>
            </w:r>
          </w:p>
        </w:tc>
        <w:tc>
          <w:tcPr>
            <w:tcW w:w="3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135,542</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147,472</w:t>
            </w:r>
          </w:p>
        </w:tc>
        <w:tc>
          <w:tcPr>
            <w:tcW w:w="300" w:type="dxa"/>
            <w:vAlign w:val="bottom"/>
          </w:tcPr>
          <w:p>
            <w:pPr>
              <w:spacing w:after="0"/>
              <w:rPr>
                <w:sz w:val="22"/>
                <w:szCs w:val="22"/>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150,462</w:t>
            </w:r>
          </w:p>
        </w:tc>
        <w:tc>
          <w:tcPr>
            <w:tcW w:w="30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212529"/>
        </w:rPr>
        <w:t>Overall revenue decreased by $3.0 million, or 2%, in the three months ended September 30, 2020 compared to the three months ended September 30, 2019. Marketplace subscription revenue decreased by 4%, while advertising and other revenue increased by 17%.</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212529"/>
        </w:rPr>
        <w:t xml:space="preserve">Marketplace subscription revenue decreased by $5.6 million in the three months ended September 30, 2020 compared to the three months ended September 30, 2019 and represented 88% of total revenue for the three months ended September 30, 2020 and 90% of total revenue for the three months ended September 30, 2019. </w:t>
      </w:r>
      <w:r>
        <w:rPr>
          <w:rFonts w:ascii="Arial" w:cs="Arial" w:eastAsia="Arial" w:hAnsi="Arial"/>
          <w:sz w:val="16"/>
          <w:szCs w:val="16"/>
          <w:color w:val="000000"/>
        </w:rPr>
        <w:t>The decrease was due primarily to a 9% decrease in the number of paying dealers to 30,162 at September 30, 2020 from 33,086</w:t>
      </w:r>
      <w:r>
        <w:rPr>
          <w:rFonts w:ascii="Arial" w:cs="Arial" w:eastAsia="Arial" w:hAnsi="Arial"/>
          <w:sz w:val="16"/>
          <w:szCs w:val="16"/>
          <w:color w:val="212529"/>
        </w:rPr>
        <w:t xml:space="preserve"> </w:t>
      </w:r>
      <w:r>
        <w:rPr>
          <w:rFonts w:ascii="Arial" w:cs="Arial" w:eastAsia="Arial" w:hAnsi="Arial"/>
          <w:sz w:val="16"/>
          <w:szCs w:val="16"/>
          <w:color w:val="000000"/>
        </w:rPr>
        <w:t>at September 30, 2019 as paying dealers cancelled their subscriptions with us as a result of the impact of the COVID-19 pandemic.</w:t>
      </w:r>
    </w:p>
    <w:p>
      <w:pPr>
        <w:spacing w:after="0" w:line="15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212529"/>
        </w:rPr>
        <w:t>Advertising and other revenue increased by $2.6 million in the three months ended September 30, 2020 compared to the three months ended September 30, 2019 and represented 12% of total revenue for the three months ended September 30, 2020 and 10% of total revenue for the three months ended September 30, 2019. The increase was due primarily to a $2.9 million increase in other revenue primarily due to revenue from partnerships with financing services companies</w:t>
      </w:r>
      <w:r>
        <w:rPr>
          <w:rFonts w:ascii="Arial" w:cs="Arial" w:eastAsia="Arial" w:hAnsi="Arial"/>
          <w:sz w:val="17"/>
          <w:szCs w:val="17"/>
          <w:color w:val="000000"/>
        </w:rPr>
        <w:t>. The increase in advertising and other revenue was offset by a $0.3 million decrease in advertising revenue as some</w:t>
      </w:r>
      <w:r>
        <w:rPr>
          <w:rFonts w:ascii="Arial" w:cs="Arial" w:eastAsia="Arial" w:hAnsi="Arial"/>
          <w:sz w:val="17"/>
          <w:szCs w:val="17"/>
          <w:color w:val="212529"/>
        </w:rPr>
        <w:t xml:space="preserve"> </w:t>
      </w:r>
      <w:r>
        <w:rPr>
          <w:rFonts w:ascii="Arial" w:cs="Arial" w:eastAsia="Arial" w:hAnsi="Arial"/>
          <w:sz w:val="17"/>
          <w:szCs w:val="17"/>
          <w:color w:val="000000"/>
        </w:rPr>
        <w:t>advertisers cancelled or reduced their advertising with us as a result of the impact of the COVID-19 pandemic. The increase for the three months ended September 30, 2020 is inclusive of advertising and other revenue associated with Autolist of $1.3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138,412</w:t>
            </w:r>
          </w:p>
        </w:tc>
        <w:tc>
          <w:tcPr>
            <w:tcW w:w="3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141,637</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(3,225)</w:t>
            </w: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147,472</w:t>
            </w:r>
          </w:p>
        </w:tc>
        <w:tc>
          <w:tcPr>
            <w:tcW w:w="300" w:type="dxa"/>
            <w:vAlign w:val="bottom"/>
          </w:tcPr>
          <w:p>
            <w:pPr>
              <w:spacing w:after="0"/>
              <w:rPr>
                <w:sz w:val="22"/>
                <w:szCs w:val="22"/>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150,462</w:t>
            </w:r>
          </w:p>
        </w:tc>
        <w:tc>
          <w:tcPr>
            <w:tcW w:w="30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United States revenue decreased $3.2 million, or 2%, in the </w:t>
      </w:r>
      <w:r>
        <w:rPr>
          <w:rFonts w:ascii="Arial" w:cs="Arial" w:eastAsia="Arial" w:hAnsi="Arial"/>
          <w:sz w:val="18"/>
          <w:szCs w:val="18"/>
          <w:color w:val="212529"/>
        </w:rPr>
        <w:t>three months ended September 30, 2020</w:t>
      </w:r>
      <w:r>
        <w:rPr>
          <w:rFonts w:ascii="Arial" w:cs="Arial" w:eastAsia="Arial" w:hAnsi="Arial"/>
          <w:sz w:val="18"/>
          <w:szCs w:val="18"/>
          <w:color w:val="auto"/>
        </w:rPr>
        <w:t xml:space="preserve"> compared to the </w:t>
      </w:r>
      <w:r>
        <w:rPr>
          <w:rFonts w:ascii="Arial" w:cs="Arial" w:eastAsia="Arial" w:hAnsi="Arial"/>
          <w:sz w:val="18"/>
          <w:szCs w:val="18"/>
          <w:color w:val="212529"/>
        </w:rPr>
        <w:t>three months ended</w:t>
      </w:r>
      <w:r>
        <w:rPr>
          <w:rFonts w:ascii="Arial" w:cs="Arial" w:eastAsia="Arial" w:hAnsi="Arial"/>
          <w:sz w:val="18"/>
          <w:szCs w:val="18"/>
          <w:color w:val="auto"/>
        </w:rPr>
        <w:t xml:space="preserve"> </w:t>
      </w:r>
      <w:r>
        <w:rPr>
          <w:rFonts w:ascii="Arial" w:cs="Arial" w:eastAsia="Arial" w:hAnsi="Arial"/>
          <w:sz w:val="18"/>
          <w:szCs w:val="18"/>
          <w:color w:val="212529"/>
        </w:rPr>
        <w:t>September 30, 2019</w:t>
      </w:r>
      <w:r>
        <w:rPr>
          <w:rFonts w:ascii="Arial" w:cs="Arial" w:eastAsia="Arial" w:hAnsi="Arial"/>
          <w:sz w:val="18"/>
          <w:szCs w:val="18"/>
          <w:color w:val="000000"/>
        </w:rPr>
        <w:t>, due primarily to a 10% decrease in United States paying dealers as paying dealers cancelled their subscriptions with us as a result of</w:t>
      </w:r>
      <w:r>
        <w:rPr>
          <w:rFonts w:ascii="Arial" w:cs="Arial" w:eastAsia="Arial" w:hAnsi="Arial"/>
          <w:sz w:val="18"/>
          <w:szCs w:val="18"/>
          <w:color w:val="212529"/>
        </w:rPr>
        <w:t xml:space="preserve"> </w:t>
      </w:r>
      <w:r>
        <w:rPr>
          <w:rFonts w:ascii="Arial" w:cs="Arial" w:eastAsia="Arial" w:hAnsi="Arial"/>
          <w:sz w:val="18"/>
          <w:szCs w:val="18"/>
          <w:color w:val="000000"/>
        </w:rPr>
        <w:t>the impact of the COVID-19 pandemic.</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International revenue stayed relatively consistent in the three months ended September 30, 2020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12529"/>
        </w:rPr>
        <w:t>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9,762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370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212529"/>
        </w:rPr>
        <w:t xml:space="preserve">Cost of revenue increased $0.4 million, or 4%, in the three months ended September 30, 2020 compared to the three months ended September 30, 2019. </w:t>
      </w:r>
      <w:r>
        <w:rPr>
          <w:rFonts w:ascii="Arial" w:cs="Arial" w:eastAsia="Arial" w:hAnsi="Arial"/>
          <w:sz w:val="18"/>
          <w:szCs w:val="18"/>
          <w:color w:val="000000"/>
        </w:rPr>
        <w:t>The increase was due primarily to a $0.9 million increase in fees related to provisioning advertising campaigns on our websites and a $0.5 million</w:t>
      </w:r>
      <w:r>
        <w:rPr>
          <w:rFonts w:ascii="Arial" w:cs="Arial" w:eastAsia="Arial" w:hAnsi="Arial"/>
          <w:sz w:val="18"/>
          <w:szCs w:val="18"/>
          <w:color w:val="212529"/>
        </w:rPr>
        <w:t xml:space="preserve"> </w:t>
      </w:r>
      <w:r>
        <w:rPr>
          <w:rFonts w:ascii="Arial" w:cs="Arial" w:eastAsia="Arial" w:hAnsi="Arial"/>
          <w:sz w:val="18"/>
          <w:szCs w:val="18"/>
          <w:color w:val="000000"/>
        </w:rPr>
        <w:t xml:space="preserve">increase in data center and hosting costs. </w:t>
      </w:r>
      <w:r>
        <w:rPr>
          <w:rFonts w:ascii="Arial" w:cs="Arial" w:eastAsia="Arial" w:hAnsi="Arial"/>
          <w:sz w:val="18"/>
          <w:szCs w:val="18"/>
          <w:color w:val="212529"/>
        </w:rPr>
        <w:t>These increases were offset in part by a $0.7 million decrease in salaries and employee-related costs due to a 47%</w:t>
      </w:r>
      <w:r>
        <w:rPr>
          <w:rFonts w:ascii="Arial" w:cs="Arial" w:eastAsia="Arial" w:hAnsi="Arial"/>
          <w:sz w:val="18"/>
          <w:szCs w:val="18"/>
          <w:color w:val="000000"/>
        </w:rPr>
        <w:t xml:space="preserve"> </w:t>
      </w:r>
      <w:r>
        <w:rPr>
          <w:rFonts w:ascii="Arial" w:cs="Arial" w:eastAsia="Arial" w:hAnsi="Arial"/>
          <w:sz w:val="18"/>
          <w:szCs w:val="18"/>
          <w:color w:val="212529"/>
        </w:rPr>
        <w:t xml:space="preserve">decrease in headcount primarily in connection with the Expense Reduction Plan </w:t>
      </w:r>
      <w:r>
        <w:rPr>
          <w:rFonts w:ascii="Arial" w:cs="Arial" w:eastAsia="Arial" w:hAnsi="Arial"/>
          <w:sz w:val="18"/>
          <w:szCs w:val="18"/>
          <w:color w:val="000000"/>
        </w:rPr>
        <w:t>and a $0.3 million decrease in costs for content on our websites due to</w:t>
      </w:r>
      <w:r>
        <w:rPr>
          <w:rFonts w:ascii="Arial" w:cs="Arial" w:eastAsia="Arial" w:hAnsi="Arial"/>
          <w:sz w:val="18"/>
          <w:szCs w:val="18"/>
          <w:color w:val="212529"/>
        </w:rPr>
        <w:t xml:space="preserve"> </w:t>
      </w:r>
      <w:r>
        <w:rPr>
          <w:rFonts w:ascii="Arial" w:cs="Arial" w:eastAsia="Arial" w:hAnsi="Arial"/>
          <w:sz w:val="18"/>
          <w:szCs w:val="18"/>
          <w:color w:val="000000"/>
        </w:rPr>
        <w:t>ceasing operations in certain international markets. The increase for the three months ended September 30, 2020 is inclusive of cost of revenue associated with Autolist of $0.3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57,618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100,133</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(42,515)</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212529"/>
        </w:rPr>
        <w:t xml:space="preserve">Sales and marketing expenses decreased $42.5 million, or 42%, in the three months ended September 30, 2020 compared to the three months ended September 30, 2019. </w:t>
      </w:r>
      <w:r>
        <w:rPr>
          <w:rFonts w:ascii="Arial" w:cs="Arial" w:eastAsia="Arial" w:hAnsi="Arial"/>
          <w:sz w:val="16"/>
          <w:szCs w:val="16"/>
          <w:color w:val="000000"/>
        </w:rPr>
        <w:t>The decrease was due primarily to a $40.8 million decrease in advertising costs, a $0.7 million decrease in travel expenses and a $0.6</w:t>
      </w:r>
      <w:r>
        <w:rPr>
          <w:rFonts w:ascii="Arial" w:cs="Arial" w:eastAsia="Arial" w:hAnsi="Arial"/>
          <w:sz w:val="16"/>
          <w:szCs w:val="16"/>
          <w:color w:val="212529"/>
        </w:rPr>
        <w:t xml:space="preserve"> </w:t>
      </w:r>
      <w:r>
        <w:rPr>
          <w:rFonts w:ascii="Arial" w:cs="Arial" w:eastAsia="Arial" w:hAnsi="Arial"/>
          <w:sz w:val="16"/>
          <w:szCs w:val="16"/>
          <w:color w:val="000000"/>
        </w:rPr>
        <w:t>million decrease in consulting expenses, as a result of cost-savings efforts we implemented in response to the COVID-19 pandemic.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20,758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3,013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212529"/>
        </w:rPr>
        <w:t xml:space="preserve">Product, technology, and development expenses increased $3.0 million, or 17%, in the three months ended September 30, 2020 compared to the </w:t>
      </w:r>
      <w:r>
        <w:rPr>
          <w:rFonts w:ascii="Arial" w:cs="Arial" w:eastAsia="Arial" w:hAnsi="Arial"/>
          <w:sz w:val="16"/>
          <w:szCs w:val="16"/>
          <w:color w:val="000000"/>
        </w:rPr>
        <w:t>three months ended September 30, 2019</w:t>
      </w:r>
      <w:r>
        <w:rPr>
          <w:rFonts w:ascii="Arial" w:cs="Arial" w:eastAsia="Arial" w:hAnsi="Arial"/>
          <w:sz w:val="16"/>
          <w:szCs w:val="16"/>
          <w:color w:val="212529"/>
        </w:rPr>
        <w:t>. The increase was due primarily to a $2.8 million increase in salaries and employee-related costs, exclusive of</w:t>
      </w:r>
      <w:r>
        <w:rPr>
          <w:rFonts w:ascii="Arial" w:cs="Arial" w:eastAsia="Arial" w:hAnsi="Arial"/>
          <w:sz w:val="16"/>
          <w:szCs w:val="16"/>
          <w:color w:val="000000"/>
        </w:rPr>
        <w:t xml:space="preserve"> </w:t>
      </w:r>
      <w:r>
        <w:rPr>
          <w:rFonts w:ascii="Arial" w:cs="Arial" w:eastAsia="Arial" w:hAnsi="Arial"/>
          <w:sz w:val="16"/>
          <w:szCs w:val="16"/>
          <w:color w:val="212529"/>
        </w:rPr>
        <w:t xml:space="preserve">stock-based compensation expense, which increased $1.2 million. The increase in salaries and employee-related costs and stock-based compensation expense was due primarily to a 9% increase in headcount to support our growth plans and product innovations as well as an increase in promotions. The increase in salaries and employee-related costs was also due to merit increases. The increase in product, technology, and development expenses was also due in part to a $0.5 million increase in rent costs due to additional office space at 55 Cambridge Parkway, in Cambridge, Massachusetts. These increases were offset in part by a $0.3 million decrease in consulting and recruiting expenses and a decrease in other product, technology, and development </w:t>
      </w:r>
      <w:r>
        <w:rPr>
          <w:rFonts w:ascii="Arial" w:cs="Arial" w:eastAsia="Arial" w:hAnsi="Arial"/>
          <w:sz w:val="16"/>
          <w:szCs w:val="16"/>
          <w:color w:val="000000"/>
        </w:rPr>
        <w:t>expenses</w:t>
      </w:r>
      <w:r>
        <w:rPr>
          <w:rFonts w:ascii="Arial" w:cs="Arial" w:eastAsia="Arial" w:hAnsi="Arial"/>
          <w:sz w:val="16"/>
          <w:szCs w:val="16"/>
          <w:color w:val="212529"/>
        </w:rPr>
        <w:t xml:space="preserve"> </w:t>
      </w:r>
      <w:r>
        <w:rPr>
          <w:rFonts w:ascii="Arial" w:cs="Arial" w:eastAsia="Arial" w:hAnsi="Arial"/>
          <w:sz w:val="16"/>
          <w:szCs w:val="16"/>
          <w:color w:val="000000"/>
        </w:rPr>
        <w:t>as a result of cost-savings efforts we implemented in response to the COVID-19 pandemic. The increase for the three months ended September 30, 2020 is inclusive of product, technology, and development expenses associated with the integration and development of Autolist technology of $1.3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14,279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1,957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212529"/>
        </w:rPr>
        <w:t>General and administrative expenses increased $2.0 million, or 16%, in the three months ended September 30, 2020 compared to the three months ended September 30, 2019. The increase was due primarily to a $0.8 million increase in salaries and employee-related costs, exclusive of stock-based compensation expense, which increased $1.2 million. The increase in salaries and employee-related costs and stock-based compensation expense was due to the transfer of certain personnel between departments and an increase in promotions. The increase in salaries and employee-related costs was also due to merit increases.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1,488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 xml:space="preserve">Depreciation and amortization expenses increased $0.3 million, or 28%, in the </w:t>
      </w:r>
      <w:r>
        <w:rPr>
          <w:rFonts w:ascii="Arial" w:cs="Arial" w:eastAsia="Arial" w:hAnsi="Arial"/>
          <w:sz w:val="16"/>
          <w:szCs w:val="16"/>
          <w:color w:val="212529"/>
        </w:rPr>
        <w:t>three months ended September 30, 2020</w:t>
      </w:r>
      <w:r>
        <w:rPr>
          <w:rFonts w:ascii="Arial" w:cs="Arial" w:eastAsia="Arial" w:hAnsi="Arial"/>
          <w:sz w:val="16"/>
          <w:szCs w:val="16"/>
          <w:color w:val="auto"/>
        </w:rPr>
        <w:t xml:space="preserve"> compared to the </w:t>
      </w:r>
      <w:r>
        <w:rPr>
          <w:rFonts w:ascii="Arial" w:cs="Arial" w:eastAsia="Arial" w:hAnsi="Arial"/>
          <w:sz w:val="16"/>
          <w:szCs w:val="16"/>
          <w:color w:val="212529"/>
        </w:rPr>
        <w:t>three</w:t>
      </w:r>
      <w:r>
        <w:rPr>
          <w:rFonts w:ascii="Arial" w:cs="Arial" w:eastAsia="Arial" w:hAnsi="Arial"/>
          <w:sz w:val="16"/>
          <w:szCs w:val="16"/>
          <w:color w:val="auto"/>
        </w:rPr>
        <w:t xml:space="preserve"> </w:t>
      </w:r>
      <w:r>
        <w:rPr>
          <w:rFonts w:ascii="Arial" w:cs="Arial" w:eastAsia="Arial" w:hAnsi="Arial"/>
          <w:sz w:val="16"/>
          <w:szCs w:val="16"/>
          <w:color w:val="212529"/>
        </w:rPr>
        <w:t>months ended September 30, 2019</w:t>
      </w:r>
      <w:r>
        <w:rPr>
          <w:rFonts w:ascii="Arial" w:cs="Arial" w:eastAsia="Arial" w:hAnsi="Arial"/>
          <w:sz w:val="16"/>
          <w:szCs w:val="16"/>
          <w:color w:val="000000"/>
        </w:rPr>
        <w:t>, due primarily to an increase in amortization of intangible assets related to the acquired intangible assets from Autolist.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9"/>
                <w:szCs w:val="19"/>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6"/>
              </w:rPr>
              <w:t>(805)</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5"/>
              </w:rPr>
              <w:t>(80)%</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Total other income, net decreased $0.8 million, or 80%, in the </w:t>
      </w:r>
      <w:r>
        <w:rPr>
          <w:rFonts w:ascii="Arial" w:cs="Arial" w:eastAsia="Arial" w:hAnsi="Arial"/>
          <w:sz w:val="18"/>
          <w:szCs w:val="18"/>
          <w:color w:val="212529"/>
        </w:rPr>
        <w:t>three months ended September 30, 2020</w:t>
      </w:r>
      <w:r>
        <w:rPr>
          <w:rFonts w:ascii="Arial" w:cs="Arial" w:eastAsia="Arial" w:hAnsi="Arial"/>
          <w:sz w:val="18"/>
          <w:szCs w:val="18"/>
          <w:color w:val="auto"/>
        </w:rPr>
        <w:t xml:space="preserve"> compared to the </w:t>
      </w:r>
      <w:r>
        <w:rPr>
          <w:rFonts w:ascii="Arial" w:cs="Arial" w:eastAsia="Arial" w:hAnsi="Arial"/>
          <w:sz w:val="18"/>
          <w:szCs w:val="18"/>
          <w:color w:val="212529"/>
        </w:rPr>
        <w:t>three months ended</w:t>
      </w:r>
      <w:r>
        <w:rPr>
          <w:rFonts w:ascii="Arial" w:cs="Arial" w:eastAsia="Arial" w:hAnsi="Arial"/>
          <w:sz w:val="18"/>
          <w:szCs w:val="18"/>
          <w:color w:val="auto"/>
        </w:rPr>
        <w:t xml:space="preserve"> </w:t>
      </w:r>
      <w:r>
        <w:rPr>
          <w:rFonts w:ascii="Arial" w:cs="Arial" w:eastAsia="Arial" w:hAnsi="Arial"/>
          <w:sz w:val="18"/>
          <w:szCs w:val="18"/>
          <w:color w:val="212529"/>
        </w:rPr>
        <w:t>September 30, 2019</w:t>
      </w:r>
      <w:r>
        <w:rPr>
          <w:rFonts w:ascii="Arial" w:cs="Arial" w:eastAsia="Arial" w:hAnsi="Arial"/>
          <w:sz w:val="18"/>
          <w:szCs w:val="18"/>
          <w:color w:val="000000"/>
        </w:rPr>
        <w:t>. The $0.6 million decrease in interest income was due primarily to lower investments in certificates of deposit during the three months</w:t>
      </w:r>
      <w:r>
        <w:rPr>
          <w:rFonts w:ascii="Arial" w:cs="Arial" w:eastAsia="Arial" w:hAnsi="Arial"/>
          <w:sz w:val="18"/>
          <w:szCs w:val="18"/>
          <w:color w:val="212529"/>
        </w:rPr>
        <w:t xml:space="preserve"> </w:t>
      </w:r>
      <w:r>
        <w:rPr>
          <w:rFonts w:ascii="Arial" w:cs="Arial" w:eastAsia="Arial" w:hAnsi="Arial"/>
          <w:sz w:val="18"/>
          <w:szCs w:val="18"/>
          <w:color w:val="000000"/>
        </w:rPr>
        <w:t>ended September 30, 2020 as all investments matured during the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11,209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10,879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912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ind w:firstLine="510"/>
        <w:spacing w:after="0" w:line="257" w:lineRule="auto"/>
        <w:rPr>
          <w:sz w:val="20"/>
          <w:szCs w:val="20"/>
          <w:color w:val="auto"/>
        </w:rPr>
      </w:pPr>
      <w:r>
        <w:rPr>
          <w:rFonts w:ascii="Arial" w:cs="Arial" w:eastAsia="Arial" w:hAnsi="Arial"/>
          <w:sz w:val="18"/>
          <w:szCs w:val="18"/>
          <w:color w:val="212529"/>
        </w:rPr>
        <w:t>The provision for income taxes recorded increased $10.9 million during the three months ended September 30, 2020 compared to the provision for income taxes recorded during the three months ended September 30, 2019. This increase was principally due to increased profitability year-over-year. Additionally, there was $0.2 million of tax expense related to shortfalls on the taxable compensation of share-based awards recorded during the three months ended September 30, 2020, compared to $1.9 million of tax benefit related to excess stock-based compensation deductions recorded during the three months ended September 30,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46,462</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43,567</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 xml:space="preserve">United States income from operations increased $26.5 million, or 133%, in the </w:t>
      </w:r>
      <w:r>
        <w:rPr>
          <w:rFonts w:ascii="Arial" w:cs="Arial" w:eastAsia="Arial" w:hAnsi="Arial"/>
          <w:sz w:val="17"/>
          <w:szCs w:val="17"/>
          <w:color w:val="212529"/>
        </w:rPr>
        <w:t>three months ended September 30, 2020</w:t>
      </w:r>
      <w:r>
        <w:rPr>
          <w:rFonts w:ascii="Arial" w:cs="Arial" w:eastAsia="Arial" w:hAnsi="Arial"/>
          <w:sz w:val="17"/>
          <w:szCs w:val="17"/>
          <w:color w:val="auto"/>
        </w:rPr>
        <w:t xml:space="preserve"> compared to the </w:t>
      </w:r>
      <w:r>
        <w:rPr>
          <w:rFonts w:ascii="Arial" w:cs="Arial" w:eastAsia="Arial" w:hAnsi="Arial"/>
          <w:sz w:val="17"/>
          <w:szCs w:val="17"/>
          <w:color w:val="212529"/>
        </w:rPr>
        <w:t>three</w:t>
      </w:r>
      <w:r>
        <w:rPr>
          <w:rFonts w:ascii="Arial" w:cs="Arial" w:eastAsia="Arial" w:hAnsi="Arial"/>
          <w:sz w:val="17"/>
          <w:szCs w:val="17"/>
          <w:color w:val="auto"/>
        </w:rPr>
        <w:t xml:space="preserve"> </w:t>
      </w:r>
      <w:r>
        <w:rPr>
          <w:rFonts w:ascii="Arial" w:cs="Arial" w:eastAsia="Arial" w:hAnsi="Arial"/>
          <w:sz w:val="17"/>
          <w:szCs w:val="17"/>
          <w:color w:val="212529"/>
        </w:rPr>
        <w:t>months ended September 30, 2019</w:t>
      </w:r>
      <w:r>
        <w:rPr>
          <w:rFonts w:ascii="Arial" w:cs="Arial" w:eastAsia="Arial" w:hAnsi="Arial"/>
          <w:sz w:val="17"/>
          <w:szCs w:val="17"/>
          <w:color w:val="000000"/>
        </w:rPr>
        <w:t>. This increase was due to decreases in operating expenses of $30.7 million related to cost savings efforts in connection</w:t>
      </w:r>
      <w:r>
        <w:rPr>
          <w:rFonts w:ascii="Arial" w:cs="Arial" w:eastAsia="Arial" w:hAnsi="Arial"/>
          <w:sz w:val="17"/>
          <w:szCs w:val="17"/>
          <w:color w:val="212529"/>
        </w:rPr>
        <w:t xml:space="preserve"> </w:t>
      </w:r>
      <w:r>
        <w:rPr>
          <w:rFonts w:ascii="Arial" w:cs="Arial" w:eastAsia="Arial" w:hAnsi="Arial"/>
          <w:sz w:val="17"/>
          <w:szCs w:val="17"/>
          <w:color w:val="000000"/>
        </w:rPr>
        <w:t>with the COVID-19 pandemic, offset by decreases in revenue of $3.2 million and increases in cost of revenue of $1.0 million.</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212529"/>
        </w:rPr>
        <w:t xml:space="preserve">International loss from operations decreased $7.4 million, or 72%, in the three months ended September 30, 2020 compared to the three months ended September 30, 2019. </w:t>
      </w:r>
      <w:r>
        <w:rPr>
          <w:rFonts w:ascii="Arial" w:cs="Arial" w:eastAsia="Arial" w:hAnsi="Arial"/>
          <w:sz w:val="18"/>
          <w:szCs w:val="18"/>
          <w:color w:val="000000"/>
        </w:rPr>
        <w:t>The decrease was due to decreases in operating expenses of $6.5 million due to ceasing of operations in certain markets and</w:t>
      </w:r>
      <w:r>
        <w:rPr>
          <w:rFonts w:ascii="Arial" w:cs="Arial" w:eastAsia="Arial" w:hAnsi="Arial"/>
          <w:sz w:val="18"/>
          <w:szCs w:val="18"/>
          <w:color w:val="212529"/>
        </w:rPr>
        <w:t xml:space="preserve"> </w:t>
      </w:r>
      <w:r>
        <w:rPr>
          <w:rFonts w:ascii="Arial" w:cs="Arial" w:eastAsia="Arial" w:hAnsi="Arial"/>
          <w:sz w:val="18"/>
          <w:szCs w:val="18"/>
          <w:color w:val="000000"/>
        </w:rPr>
        <w:t>cost savings efforts in connection with the COVID-19 pandemic, as well as an increase in revenue of $0.2 million and a decrease in cost of revenue of $0.7 million.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351,772</w:t>
            </w:r>
          </w:p>
        </w:tc>
        <w:tc>
          <w:tcPr>
            <w:tcW w:w="220" w:type="dxa"/>
            <w:vAlign w:val="bottom"/>
          </w:tcPr>
          <w:p>
            <w:pPr>
              <w:spacing w:after="0"/>
              <w:rPr>
                <w:sz w:val="19"/>
                <w:szCs w:val="19"/>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385,481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(33,709)</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399,898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430,763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(30,865)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Overall revenue decreased by $30.9 million, or 7%, in the nine months ended September 30, 2020 compared to the nine months ended September 30, 2019. Marketplace subscription revenue decreased by 9%, while advertising and other revenue increased by 6%.</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Marketplace subscription revenue decreased by $33.7 million in the nine months ended September 30, 2020 compared to the nine months ended September 30, 2019 and represented 88% of total revenue for the nine months ended September 30, 2020 and 89% of total revenue for the nine months ended September 30, 2019. The decrease was due primarily to a 9% decrease in the number of paying dealers to 30,162 at September 30, 2020 from 33,086 at September 30, 2019 as paying dealers cancelled their subscriptions with us (including, in some cases, with our permission prior to the end of the applicable contract term and notice period) as a result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the impact of the COVID-19 pandemic, and due to the fee reductions provided to customers in April, May and June in response to the COVID-19 pandemic, which resulted in reductions in the overall transaction price that were spread over the remaining contract term.</w:t>
      </w:r>
    </w:p>
    <w:p>
      <w:pPr>
        <w:spacing w:after="0" w:line="21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Advertising and other revenue increased by $2.8 million in the nine months ended September 30, 2020 compared to the nine months ended September 30, 2019 and represented 12% of total revenue for the nine months ended September 30, 2020 and 11% of total revenue for the nine months ended September 30, 2019. The increase was due primarily to a $6.8 million increase in other revenue primarily due to revenue from partnerships with financing services companies. The increase in advertising and other revenue was offset by a $4.0 million decrease in advertising revenue as some advertisers cancelled or reduced their advertising with us (including, in some cases, with our permission prior to the end of the applicable contract term) as a result of the impact of the COVID-19 pandemic. The increase for the nine months ended September 30, 2020 is inclusive of advertising and other revenue associated with Autolist of $3.4 million.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376,164</w:t>
            </w:r>
          </w:p>
        </w:tc>
        <w:tc>
          <w:tcPr>
            <w:tcW w:w="220" w:type="dxa"/>
            <w:vAlign w:val="bottom"/>
          </w:tcPr>
          <w:p>
            <w:pPr>
              <w:spacing w:after="0"/>
              <w:rPr>
                <w:sz w:val="19"/>
                <w:szCs w:val="19"/>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407,050</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(30,886)</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399,898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430,763</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(30,865)</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United States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United States revenue decreased $30.9 million, or 8%, in the nine months ended September 30, 2020 compared to the nine months ended September 30, 2019, due primarily to a 10% decrease in United States paying dealers as paying dealers cancelled their subscriptions with us (including, in certain cases, with our permission prior to the end of the applicable contract term and notice period) as a result of the impact of the COVID-19 pandemic, and due to the fee reductions provided to customers in April, May and June in response to the COVID-19 pandemic which resulted in reductions in the overall transaction price that were spread over the remaining contract term.</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International revenue stayed relatively consistent in the nine months ended September 30, 2020 compared to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31,252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5,512</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Cost of revenue increased $5.5 million, or 21%, in the nine months ended September 30, 2020 compared to the nine months ended September 30, 2019. The increase was due primarily to a $2.2 million increase in fees related to provisioning advertising campaigns on our websites, a $1.6 million increase in amortization due to the write-off of international websites in connection with the Expense Reduction Plan and amortization of website development costs, a $1.5 million increase in data center and hosting costs and a $1.2 million increase in costs primarily related to a reduction of vendor rebates. These increases were offset in part by a $1.0 million decrease in salaries and employee-related costs due to a 47% decrease in headcount primarily in connection with the Expense Reduction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189,796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293,238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(103,442)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Sales and marketing expenses decreased $103.4 million, or 35%, in the nine months ended September 30, 2020 compared to the nine months ended September 30, 2019. The decrease was due primarily to a $101.1 million decrease in advertising costs, a $1.6 million decrease in travel related expenses, a $1.5 million decrease in consulting and recruiting expenses, a $1.2 million decrease in marketing costs related to events and research expenses, and a decrease in other sales and marketing expense as a result of cost-savings efforts we implemented in response to the COVID-19 pandemic. These decreases were offset in part by an increase of $0.9 million in salaries and employee-related costs, exclusive of employee severance and related benefits expense and stock-based compensation expense, which increased $1.5 million and $0.8 million, respectively. The increase in salaries and employee-related costs and stock-based compensation expense was due to an increase in promotions. The increase in salaries and employee-related costs was also due to merit increases. The increase in employee severance and related benefits expense was related to the Expense Reduction Plan.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65,729</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14,666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Product, technology, and development expenses increased $14.7 million, or 29%, in the nine months ended September 30, 2020 compared to the nine months ended September 30, 2019. The increase was due primarily to a $10.4 million increase in salaries and employee-related costs, exclusive of stock-based compensation expense, which increased $4.7 million. The increase in salaries and employee-related costs and stock-based compensation expense was due primarily to a 9% increase in headcount to support our growth plans and product innovations as well as an increase in promotions. The increase in salaries and employee-related costs was also due to merit increases. The increase in product, technology, and development expenses for the nine months ended September 30, 2020 was also due in part to a $1.7 million increase in rent costs due to additional office space at 55 Cambridge Parkway, in Cambridge, Massachusetts. These increases were offset in part by a $0.8 million decrease in consulting and recruiting expenses and a decrease in other product, technology, and development expenses as a result of cost-savings efforts we implemented in response to the COVID-19 pandemic. The increase for the nine months ended September 30, 2020 is inclusive of product, technology, and development expenses associated with the integration and development of Autolist technology of $4.1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44,297</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7,675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jc w:val="both"/>
        <w:ind w:firstLine="510"/>
        <w:spacing w:after="0" w:line="271" w:lineRule="auto"/>
        <w:rPr>
          <w:sz w:val="20"/>
          <w:szCs w:val="20"/>
          <w:color w:val="auto"/>
        </w:rPr>
      </w:pPr>
      <w:r>
        <w:rPr>
          <w:rFonts w:ascii="Arial" w:cs="Arial" w:eastAsia="Arial" w:hAnsi="Arial"/>
          <w:sz w:val="17"/>
          <w:szCs w:val="17"/>
          <w:color w:val="auto"/>
        </w:rPr>
        <w:t>General and administrative expenses increased $7.7 million, or 21%, in the nine months ended September 30, 2020 compared to the nine months ended September 30, 2019. The increase was due primarily to a $2.4 million increase in salaries and employee-related costs, exclusive of stock-based compensation expense, which increased $3.7 million. The increase in salaries and employee-related costs and stock-based compensation expense was due to the transfer of certain personnel between departments and an increase in promotions. The increase in salaries and employee-related costs was also due to merit increases. The increase in general and administrative expenses was also due in part to a $1.0 million increase in bad debt expense as a result of increasing our allowance for doubtful accounts as a result of the COVID-19 pandemic and $0.7 million increase in taxes. The increase for the nine months ended September 30, 2020 was offset in part by a decrease in various general and administrative expenses as a result of cost-savings efforts we implemented in response to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4,529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1,116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Depreciation and amortization expenses increased $1.1 million, or 33%, in the nine months ended September 30, 2020 compared to the nine months ended September 30, 2019, due primarily to an increase in amortization of intangible assets related to the acquired intangible assets from Autolist and an increase in depreciation related to the leasehold improvements associated with additional office space leased at 55 Cambridge Parkway in Cambridge, Massachusetts.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7"/>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36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other income, net</w:t>
            </w:r>
          </w:p>
        </w:tc>
        <w:tc>
          <w:tcPr>
            <w:tcW w:w="14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160"/>
              <w:spacing w:after="0"/>
              <w:rPr>
                <w:sz w:val="20"/>
                <w:szCs w:val="20"/>
                <w:color w:val="auto"/>
              </w:rPr>
            </w:pPr>
            <w:r>
              <w:rPr>
                <w:rFonts w:ascii="Arial" w:cs="Arial" w:eastAsia="Arial" w:hAnsi="Arial"/>
                <w:sz w:val="18"/>
                <w:szCs w:val="18"/>
                <w:color w:val="auto"/>
              </w:rPr>
              <w:t>Total other income, net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Total other income, net decreased $2.1 million, or 60%, in the nine months ended September 30, 2020 compared to the nine months ended September 30, 2019. The $1.2 million decrease in interest income was due primarily to lower investments in certificates of deposit during the nine months ended September 30, 2020 as all investments matured during the quarter. The $0.9 million decrease in other income, net was primarily due to a $0.8 million decrease in unrealized gain. In the nine months ended September 30, 2019, we had an unrealized gain associated with an intercompany receivable related to the acquisition of PistonHeads.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3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2"/>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20" w:type="dxa"/>
            <w:vAlign w:val="bottom"/>
            <w:gridSpan w:val="4"/>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13,312</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(4,783)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62"/>
              <w:spacing w:after="0"/>
              <w:rPr>
                <w:sz w:val="20"/>
                <w:szCs w:val="20"/>
                <w:color w:val="auto"/>
              </w:rPr>
            </w:pPr>
            <w:r>
              <w:rPr>
                <w:rFonts w:ascii="Arial" w:cs="Arial" w:eastAsia="Arial" w:hAnsi="Arial"/>
                <w:sz w:val="18"/>
                <w:szCs w:val="18"/>
                <w:color w:val="auto"/>
              </w:rPr>
              <w:t>18,095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jc w:val="both"/>
        <w:ind w:firstLine="510"/>
        <w:spacing w:after="0" w:line="301" w:lineRule="auto"/>
        <w:rPr>
          <w:sz w:val="20"/>
          <w:szCs w:val="20"/>
          <w:color w:val="auto"/>
        </w:rPr>
      </w:pPr>
      <w:r>
        <w:rPr>
          <w:rFonts w:ascii="Arial" w:cs="Arial" w:eastAsia="Arial" w:hAnsi="Arial"/>
          <w:sz w:val="16"/>
          <w:szCs w:val="16"/>
          <w:color w:val="auto"/>
        </w:rPr>
        <w:t>The provision for income taxes recorded during the nine months ended September 30, 2020 compared to the benefit from income taxes recorded during the nine months ended September 30, 2019 was principally due to increased profitability year-over-year. Additionally, there was a $0.3 million tax benefit related to excess stock-based compensation deductions recorded during the nine months ended September 30, 2020, compared to $9.6 million recorded during the nine months ended September 30, 2019, partially offset by the benefit recognized as a result of the CARES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82,061</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(17,766)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(30,769)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20,687</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United States income from operations increased $30.6 million, or 59%, in the nine months ended September 30, 2020 compared to the nine months ended September 30, 2019. This increase was due to decreases in operating expenses of $66.7 million related to cost savings efforts in connection with the COVID-19 pandemic, offset by decreases in revenue of $30.9 million and increases in cost of revenue of $5.2 million.</w:t>
      </w:r>
    </w:p>
    <w:p>
      <w:pPr>
        <w:spacing w:after="0" w:line="16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International loss from operations decreased $13.0 million, or 42%, in the nine months ended September 30, 2020 compared to the nine months ended September 30, 2019. The decrease was due to decreases in operating expenses of $13.3 million due to ceasing of operations in certain markets and cost savings efforts in connection with the COVID-19 pandemic, offset in part by an increase in cost of revenue of $0.3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September 30, 2020 and December 31, 2019, our principal sources of liquidity were cash and cash equivalents of $245.9 million and $59.9 million, respectively, and investments in certificates of deposit with terms of greater than 90 days but less than one year of $111.7 million at December 31, 2019. There were no investments in certificates of deposit at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5"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Nine Months Ended</w:t>
      </w:r>
    </w:p>
    <w:p>
      <w:pPr>
        <w:jc w:val="center"/>
        <w:ind w:left="52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5"/>
        </w:trPr>
        <w:tc>
          <w:tcPr>
            <w:tcW w:w="5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49,551</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(43,986)</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(7,741)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(11,348)</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Our operations have been financed primarily from operating activities and our initial public offering. We generated cash from operating activities of $108.8 million during the nine months ended September 30, 2020, and $49.6 million during the nine months ended September 30, 2019.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jc w:val="both"/>
        <w:ind w:firstLine="510"/>
        <w:spacing w:after="0" w:line="270"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During the second quarter of 2020 in connection with the COVID-19 pandemic, we implemented the Expense Reduction Plan, pursuant to which we reduced our workforce, ceased operation of certain international marketplaces, halted expansion efforts in any new international markets, and implemented targeted reductions in sales and marketing expenses, including across both algorithmic traffic acquisition and brand spend, and discretionary operating expenses. Our future capital requirements will depend on many factors, including the further impact of the COVID-19 pandemic, our revenue, costs associated with our sales and marketing activities and the support of our product, technology, and development efforts, our investments in international markets, and the timing and extent of our cost savings related to the Expense Reduction Plan. Cash from operations could also be affected by various risks and uncertainties, including, but not limited to, the effects of the COVID-19 pandemic and other risks detailed in the “Risk Factors” section of this Quarterly Report.</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 including due to increased volatility in the capital markets attributable to the COVID-19 pandemic.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 xml:space="preserve">Cash provided by operating activities of $108.8 million during the nine months ended September 30, 2020 was due primarily to net income of $52.4 million, adjusted for $34.4 million of stock-based compensation expense for equity classified awards, $14.8 million of deferred taxes, $8.8 million of depreciation and amortization, $8.6 million of amortization of deferred contract costs, and $1.7 million of provision for doubtful accounts. Cash provided by operating activities was also attributable to a $7.1 decrease in </w:t>
      </w:r>
      <w:r>
        <w:rPr>
          <w:rFonts w:ascii="Arial" w:cs="Arial" w:eastAsia="Arial" w:hAnsi="Arial"/>
          <w:sz w:val="18"/>
          <w:szCs w:val="18"/>
          <w:color w:val="212529"/>
        </w:rPr>
        <w:t>prepaid expenses, prepaid income taxes, and other assets,</w:t>
      </w:r>
      <w:r>
        <w:rPr>
          <w:rFonts w:ascii="Arial" w:cs="Arial" w:eastAsia="Arial" w:hAnsi="Arial"/>
          <w:sz w:val="18"/>
          <w:szCs w:val="18"/>
          <w:color w:val="auto"/>
        </w:rPr>
        <w:t xml:space="preserve"> $6.0 million decrease in accounts receivable, and a $2.2 million increase in other non-current liabilities. The increases in cash flow from operations were partially offset by a $19.7 million decrease in accounts payable, a $6.9 million increase in deferred contract costs, and a $0.5 million decrease in accrued expenses, accrued income taxes, and other current liabilities.</w:t>
      </w:r>
    </w:p>
    <w:p>
      <w:pPr>
        <w:spacing w:after="0" w:line="19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Cash provided by operating activities of $49.6 million during the nine months ended September 30, 2019 was due primarily to net income of $29.0 million, adjusted for $25.4 million of stock-based compensation expense, $5.8 million of amortization of deferred contract costs and $5.7 million of depreciation and amortization, partially offset by $5.0 million of deferred taxes. Cash provided by operating activities was also attributable to a $10.7 million increase in accounts payable, partially offset by an $11.4 million increase in deferred contract costs, a $5.0 million increase in accounts receivable, a $2.0 million decrease in accrued expenses, accrued income taxes, and other current liabilities, a $1.9 million decrease in lease obligations, and a $1.0 million decrease in deferred revenue</w:t>
      </w:r>
      <w:r>
        <w:rPr>
          <w:rFonts w:ascii="Arial" w:cs="Arial" w:eastAsia="Arial" w:hAnsi="Arial"/>
          <w:sz w:val="18"/>
          <w:szCs w:val="18"/>
          <w:color w:val="212529"/>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investing activities of $84.9 million during the nine months ended September 30, 2020 was due to maturities of certificates of deposit of $111.7 million, offset in part by $21.1 million of cash paid for an acquisition, net of cash acquired, $3.0 million related to the capitalization of website development costs, and $2.7 million of purchases of property and equipment.</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of $44.0 million during the nine months ended September 30, 2019 was due to $134.8 million of investments in certificates of deposit, net of maturities of certificates of deposit of $122.8 million, $19.1 million of cash paid for acquisition, $10.8 million of purchases of property and equipment and $2.1 million related to the capitalization of website development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$7.7 million during the nine months ended September 30, 2020 was due primarily to the payment of withholding taxes on net share settlements of restricted stock units of $8.7 million, partially offset by $1.0 million related to the proceeds from the issuance of common stock related to the exercise of vested stock options.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$11.3 million during the nine months ended September 30, 2019 was due primarily to the payment of withholding taxes and option costs on net share settlements of restricted stock units and stock options of $12.8 million, partially offset by $1.5 million related to the proceeds from the issuance of common stock related to the exercise of vested stock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 of September 30, 2020,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September 30, 2020 and December 31, 2019, we did not have any off-balance sheet arrangements, other than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Significant estimates relied upon in preparing the Unaudited Condensed Consolidated Financial Statements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internal-use software, and the recoverability of our net deferred tax assets and related valuation allowance. Accordingly, we consider these to be our critical accounting policies.</w:t>
      </w:r>
    </w:p>
    <w:p>
      <w:pPr>
        <w:spacing w:after="0" w:line="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For a detailed explanation of the judgments made in these areas, refer to “Management’s Discussion and Analysis of Financial Condition and Results of Operations” in our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September 30, 2020 or at December 31, 2019.</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had cash and cash equivalents of $245.9 million at September 30, 2020, which consisted of bank deposits and money market funds. We had cash, cash equivalents, and investments of $171.6 million at December 31, 2019, which consisted of bank deposits, money market funds, and certificates of deposit with maturity dates ranging from six to nine months.</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September 30, 2020 and December 31, 2019, we had foreign currency exposures in the British pound, the Euro and the Canadian dollar, although such exposure is not significant.</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Long-term intercompany accounts are recorded at their historical rates.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have been, and we expect them to continue to be, adversely affected by the ongoing novel coronavirus disease 2019, or COVID-19, outbreak.</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December 2019, a novel strain of coronavirus, now referred to as COVID-19, surfaced in Wuhan, China. The virus was declared a pandemic by the World Health Organization and has spread globally. This pandemic has caused an international health crisis and resulted in significant disruptions to the global economy as well as businesses and capital markets around the world.</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operations have been materially adversely affected by a range of factors related to the COVID-19 pandemic. In March, we closed all of our offices (including our corporate headquarters) and began requiring our employees to work remotely until further notice, which has disrupted and may continue to disrupt how we operate our business. In addition, in an effort to limit the spread of COVID-19, many countries, as well as states in the United States, implemented or mandated and continue to implement or mandate significant restrictions on travel and commerce, shelter-in-place or stay-at-home orders, and business closures. Many of these orders resulted in restrictions on the ability of consumers to buy and sell automobiles by restricting operations at dealerships and/or by closing or reducing the services provided by the agencies that process the registration of automotive titles. While certain jurisdictions, including many within the United States, have implemented or are implementing policies with the goal of re-opening these markets, restrictions may be re-imposed in these markets due to increases in COVID-19 cases. In addition, these restrictions and concerns about the spread of the disease have impacted car shopping by consumers and disrupted the operations of car dealerships, which has adversely affected and may continue to adversely affect the market for automobile purchases.</w:t>
      </w:r>
    </w:p>
    <w:p>
      <w:pPr>
        <w:spacing w:after="0" w:line="7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While consumer demand has improved since the initial impact of the COVID-19 pandemic, the automotive industry is also facing inventory supply problems, especially for used vehicles. The industry has experienced, and may continue to experience, a decline in used-car inventory for a number of reasons attributable to the COVID-19 pandemic, including: (i) fewer trade-ins from diminished vehicle sales; (ii) lease extensions on vehicles that consumers would have otherwise returned to the dealership; and (iii) the closure of or restrictions on the operations of wholesale auctions limiting dealers’ ability to source stock and/or replenish inventory. Further, these auction closures and the limited supply of inventory has led to an increase in bids per vehicle and corresponding increases to wholesale auction prices. As the price of restocking inventory through wholesale auctions increases, dealers have increased, and may continue to increase, the prices they charge consumers. A high volume of price increases on vehicle sales at a rapid rate could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It may also impede our ability to add new paying dealers or increase our fees with dealers if dealers perceive they have less of a need for our products and services because of their limited inventory. Inventory challenges in the automotive industry have adversely impacted, and could continue to adversely impact, the amount of inventory on our websites, which could contribute to a decline in the number of consumer visits to our site and/or the number of connections between consumers and dealers through our marketplaces. These inventory-related issues resulting from the COVID-19 pandemic may materially and adversely impact our business, financial condition and results of operations.</w:t>
      </w:r>
    </w:p>
    <w:p>
      <w:pPr>
        <w:spacing w:after="0" w:line="6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financial condition and results of operations. Additionally, in response to the increasing cancelations and the drop in consumer demand at the beginning of the COVID-19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pandemic, we reduced our spending on brand advertising and traffic acquisition, which resulted in fewer consumers using our platform during the second quarter of 2020 and have since restored only a portion of that historical consumer spend, which in turn has, and may continue to, materially and adversely affect our business, financial condition and results of operations.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8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Further, because of the significant financial challenges that dealerships have faced and continue to face as a result of the COVID-19 pandemic, we took measures to help our paying dealers maintain their business health during the COVID-19 pandemic. We proactively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As a result, the level of fees we received from paying dealers materially decreased during this period, resulting in a material decline in our revenue and a material adverse effect to our business, financial condition and results of operations. In addition, despite our proactive fee reductions during the second quarter of 2020, we experienced increased customer cancellation rates and slowed paying dealer additions during such period, which materially and adversely affected our business, financial condition and results of operations. While we returned to normal contractual billings in all markets for the July 2020 service period, we have continued to, and may in the future, experience slowed paying dealer additions and as a result may decide to re-institute billings relief in the future as we continue assess the effects of the COVID-19 pandemic on our paying dealers and business operations. During the COVID-19 pandemic, we have also experienced, and may continue to experience, increased account delinquencies from dealer customers challenged by the COVID-19 pandemic that failed to pay us on time or at all.</w:t>
      </w:r>
    </w:p>
    <w:p>
      <w:pPr>
        <w:spacing w:after="0" w:line="7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These effects from the COVID-19 pandemic on our revenue caused us to implement certain cost-savings measures across our business, which have disrupted, and may continue to disrupt, our business and operations. For example, during the second quarter of 2020, we initiated a cost-savings initiative that included a reduction in our workforce of approximately 13%, restricted future hiring, and limited discretionary spend across our business, including by eliminating, reducing or pausing certain vendor relationships and ceasing certain international operations and expansion efforts. We also reduced consumer marketing across both algorithmic traffic acquisition and brand spend during the second and third quarters of 2020 in comparison to the second and third quarters of 2019 in an effort to reduce expenses and as a result of suppressed dealer inventory and resulting reduced demand for leads from dealers. Despite these measures, we may not achieve the costs savings or attract consumer visits at the levels we expect, which would adversely impact our cash flows and financial condition. These expense reduction activities, and any future cost savings actions that we may take, may yield unintended consequences and costs, such as loss of key employees, undesired attrition, and the risk that we may not achieve the anticipated cost savings at the levels we expect, any of which may have a material adverse effect on our results of operations and/or financial condition. If our cash flows fail to stabilize as a result of the effects from the COVID-19 pandemic or our revenues fail to increase, we may also decide that additional disruptive measures are necessary to reduce our operating expenses.</w:t>
      </w:r>
    </w:p>
    <w:p>
      <w:pPr>
        <w:spacing w:after="0" w:line="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global nature of the COVID-19 pandemic has also had, and will continue to have, a significant impact on our international businesses. The crisis has halted our growth in existing markets and our expansion into additional markets.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markets, however, would materially and adversely affect our business and potential growth.</w:t>
      </w:r>
    </w:p>
    <w:p>
      <w:pPr>
        <w:spacing w:after="0" w:line="8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in 2020. However, we cannot at this time accurately predict what effects these conditions will ultimately have on our operations due to uncertainties relating to the duration of the pandemic, and the length or severity of the travel and commerce restrictions imposed on federal and state levels, as well as by the governments of impacted countries. Nor can we predict the adverse impact on the global economies and financial markets in which we operate, which may have a significant negative impact on our business, financial condition and results of operations.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at the end of the committed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As a result of the COVID-19 pandemic, many paying dealers cancelled their subscriptions with us (including, in some cases, with our permission prior to the end of the applicable contract term and notice period), which has caused a material adverse impact on our revenues, and it is possible that additional dealers will cancel their subscriptions as they continue to experience the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at the conclusion of the committed term. If we fail to maintain or expand our base of paying dealers or fail to maintain or increase the level of fees that we receive from them, our business and financial results would be materially and adversely affected.</w:t>
      </w:r>
    </w:p>
    <w:p>
      <w:pPr>
        <w:spacing w:after="0" w:line="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such as capping the number of leads that non-paying dealers in the U.S. may receive within a 30-day period,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retain consumers, and cause non-paying dealers to receive fewer leads and connections, which may make it more difficult to convert such dealers to paying dealers. If dealers do not subscribe to our paid offerings at the rates we expect, our business and financial results would be materially and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dealers or other advertisers reduce their advertising spending with us and we are unable to attract new advertisers, our business would be harmed.</w:t>
      </w:r>
    </w:p>
    <w:p>
      <w:pPr>
        <w:spacing w:after="0" w:line="15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 significant amount of our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our ability to compete effectively for advertising spending with other online automotive marketplaces; our ability to continue to develop our advertising products; our ability to keep pace with changes in technology and the practices and offerings of our competitors; and our ability to offer an attractive ROI to our advertisers for their advertising spend with us.</w:t>
      </w:r>
    </w:p>
    <w:p>
      <w:pPr>
        <w:spacing w:after="0" w:line="6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COVID-19 pandemic, some advertisers have cancelled or reduced their advertising with us, which has caused a material adverse impact on our revenues, and it is possible that advertising customers will continue to cancel or reduce their advertising with us as they continue to experience the effects of the COVID-19 pandemic. In addition, a reduction in consumer visits to our sites during the COVID-19 pandemic resulted in the delivery of fewer impressions for our advertising customers than anticipated, which has caused, and may continue to cause, an adverse impact on our advertising revenues.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1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93" w:lineRule="auto"/>
        <w:rPr>
          <w:sz w:val="20"/>
          <w:szCs w:val="20"/>
          <w:color w:val="auto"/>
        </w:rPr>
      </w:pPr>
      <w:r>
        <w:rPr>
          <w:rFonts w:ascii="Arial" w:cs="Arial" w:eastAsia="Arial" w:hAnsi="Arial"/>
          <w:sz w:val="16"/>
          <w:szCs w:val="16"/>
          <w:color w:val="auto"/>
        </w:rPr>
        <w:t>through mobile devices, is subject to a number of factors, including: our ability to maintain attractive marketplaces for consumers and dealers, including on mobile platforms; our ability to continue to innovate and introduce products for our marketplaces on mobile platforms; our ability to launch new products that are effective and have a high degree of consumer engagement; our ability to display a wide variety of automobile inventory to attract more consumers to our websites; our ability to provide mobile applications that engage consumers; our ability to maintain the compatibility of our mobile applications with operating systems, such as iOS and Android, and with popular mobile devices running such operating systems; and our ability to access and analyze a sufficient amount of data to enable us to provide relevant information to consumers, including pricing information and accurate vehicle details.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if our competitors’ internet search engine optimization efforts are more successful than ours, our ability to attract a large consumer audience could diminish and our traffic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We anticipate that over time we may reach a point when investments in our current products are less productive and the growth of our revenue will require more focus on developing new products for consumers and dealers. These new products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impact of the COVID-19 pandemic and our cost-savings initiatives on our business. These product, technology, and development expenses may include costs of hiring additional personnel, engaging third-party service providers and conducting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become dissatisfied and instead use our competitors’ websites and mobile applications.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marketplaces could be negatively affected if any current provider terminates its relationship with us or our service from any provider is interrupted. If there is a material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as a result of suppressed dealer inventory and resulting reduced demand for leads by dealers since the onset of the COVID-19 pandemic, we reduced our brand spend and we may decide to continue to suppress our brand spend in the future depending on the continued impact of the COVID-19 pandemic.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8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revenue increased to $588.9 million for the year ended December 31, 2019 from $454.1 million for the year ended December 31, 2018, representing a 30% increase between such periods, and decreased to $399.9 million for the nine months ended September 30, 2020 from $430.8 million for the nine months ended September 30, 2019, representing a 7% decrease between such periods, primarily due to COVID-19-related effects. We expect further year-over-year revenue declines in 2020 as a result of the COVID-19 pandemic, and the continued impact of the COVID-19 pandemic also makes our future revenue beyond 2020 uncertain.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further or fails to grow, investors’ perceptions of our business may be adversely affected and the market price of our Class A common stock could decline.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w:t>
      </w:r>
    </w:p>
    <w:p>
      <w:pPr>
        <w:spacing w:after="0" w:line="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If we fail to grow effectively in our existing markets, our revenue, business, and financial results will be harmed.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as we have in the past, to incur significant losses in the United Kingdom and Canada, and face various other challenges, such as obtaining and maintaining access to data, competition for consumers and dealers using our products, new and different competitors, monetizing dealers and other customers, other regulatory environments and laws, and different consumer behavior than we are familiar with. Our operation of several marketplaces requires significant resources and management attention. Furthermore, operations in international markets may not yield results similar to those we have achieved in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involve risks that are different from, or in addition to, the risks we may experience as a result of our domestic operations.</w:t>
      </w:r>
    </w:p>
    <w:p>
      <w:pPr>
        <w:spacing w:after="0" w:line="1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international markets, which could affect our business and potential growth.</w:t>
      </w:r>
    </w:p>
    <w:p>
      <w:pPr>
        <w:spacing w:after="0" w:line="80"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political and economic instability in some countries; adverse changes in trade relationships among foreign countries and/or between the United States and such countries; double taxation of our international earnings and potentially adverse tax consequences arising from the tax laws of the United States or the foreign jurisdictions in which we operate; and higher costs of doing business internationally.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and we expect this has occurred and will continue to occur as a result of the COVID-19 pandemic.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materially and adversely affected.</w:t>
      </w:r>
    </w:p>
    <w:p>
      <w:pPr>
        <w:spacing w:after="0" w:line="62"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and we may become less competitive in attracting and retaining employees as a result of our recent expense reduction efforts due to the COVID-19 pandemic. In addition, the loss of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many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marketplaces and could result in legal disputes.</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marketplaces and related products and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7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 Telephone Consumer Protection Act, or the TCPA, as interpreted and implemented by the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including class actions. Furthermore, several provisions of the TCPA, as well as applicable rules and orders, are open to multiple interpretations, and compliance may involve fact-specific analyses.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Laws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Antitrust and competition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8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business is subject to risks related to the larger automotive industry ecosystem, including consumer demand, global supply chain challenges, trade relations between the United States and other countries and other macroeconomic issues, including the ongoing effects of the COVID-19 pandemic, which could have a material adverse effect on our business, revenue, results of operations, and financial condition.</w:t>
      </w:r>
    </w:p>
    <w:p>
      <w:pPr>
        <w:spacing w:after="0" w:line="4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and we expect that we have entered such a period as a result of the COVID-19 pandemic.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Further, in recent years the market for motor vehicles has experienced rapid changes in technology and consumer demands. Self-driving technology, ride sharing, transportation networks, and other fundamental changes in transportation including those arising as a result of the COVID-19 pandemic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The consequences we may face from the exit of the United Kingdom from the European Union could have a material adverse effect on our business, revenue, results of operations, and financial condition.</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United Kingdom’s exit from the European Union, or the EU, commonly referred to as “Brexit”, could adversely affect European and global economic or market conditions, contribute to instability in global financial markets</w:t>
      </w:r>
      <w:r>
        <w:rPr>
          <w:rFonts w:ascii="Arial" w:cs="Arial" w:eastAsia="Arial" w:hAnsi="Arial"/>
          <w:sz w:val="17"/>
          <w:szCs w:val="17"/>
          <w:color w:val="212529"/>
        </w:rPr>
        <w:t>, create uncertainty in the wider commercial, legal, and regulatory</w:t>
      </w:r>
      <w:r>
        <w:rPr>
          <w:rFonts w:ascii="Arial" w:cs="Arial" w:eastAsia="Arial" w:hAnsi="Arial"/>
          <w:sz w:val="17"/>
          <w:szCs w:val="17"/>
          <w:color w:val="auto"/>
        </w:rPr>
        <w:t xml:space="preserve"> </w:t>
      </w:r>
      <w:r>
        <w:rPr>
          <w:rFonts w:ascii="Arial" w:cs="Arial" w:eastAsia="Arial" w:hAnsi="Arial"/>
          <w:sz w:val="17"/>
          <w:szCs w:val="17"/>
          <w:color w:val="212529"/>
        </w:rPr>
        <w:t>environment</w:t>
      </w:r>
      <w:r>
        <w:rPr>
          <w:rFonts w:ascii="Arial" w:cs="Arial" w:eastAsia="Arial" w:hAnsi="Arial"/>
          <w:sz w:val="17"/>
          <w:szCs w:val="17"/>
          <w:color w:val="000000"/>
        </w:rPr>
        <w:t>, and cause disruptions to our business and operations in the United Kingdom and between our corporate entities</w:t>
      </w:r>
      <w:r>
        <w:rPr>
          <w:rFonts w:ascii="Arial" w:cs="Arial" w:eastAsia="Arial" w:hAnsi="Arial"/>
          <w:sz w:val="17"/>
          <w:szCs w:val="17"/>
          <w:color w:val="212529"/>
        </w:rPr>
        <w:t xml:space="preserve">, including with respect to our employees, customers, suppliers, and consumers in the United Kingdom. As a result of this economic uncertainty, our dealer customers in particular may be unwilling to subscribe to our websites or renew or increase their existing subscriptions, as applicable. We may also face new regulatory costs and challenges that could have an adverse effect on our operations. Brexit has created economic uncertainty and its consequences </w:t>
      </w:r>
      <w:r>
        <w:rPr>
          <w:rFonts w:ascii="Arial" w:cs="Arial" w:eastAsia="Arial" w:hAnsi="Arial"/>
          <w:sz w:val="17"/>
          <w:szCs w:val="17"/>
          <w:color w:val="000000"/>
        </w:rPr>
        <w:t>could have a material adverse</w:t>
      </w:r>
      <w:r>
        <w:rPr>
          <w:rFonts w:ascii="Arial" w:cs="Arial" w:eastAsia="Arial" w:hAnsi="Arial"/>
          <w:sz w:val="17"/>
          <w:szCs w:val="17"/>
          <w:color w:val="212529"/>
        </w:rPr>
        <w:t xml:space="preserve"> </w:t>
      </w:r>
      <w:r>
        <w:rPr>
          <w:rFonts w:ascii="Arial" w:cs="Arial" w:eastAsia="Arial" w:hAnsi="Arial"/>
          <w:sz w:val="17"/>
          <w:szCs w:val="17"/>
          <w:color w:val="000000"/>
        </w:rPr>
        <w:t>effect on our business, revenue, results of operations, and financial condition.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marketplaces may cause us to forgo short-term gains in pursuit of potential but uncertain long-term growth.</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marketplaces, even if such decisions negatively impact our results of operations in the short term. For example, we recently provided paying dealers with reduced marketplace subscriptions for the April, May and June 2020 service periods in an effort to help our paying dealers maintain their business health during the COVID-19 pandemic. However, such strategies may not result in the long-term benefits that we expect, in which case our user traffic and engagement, business, and financial results could be harmed.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or physical or electronic break-ins,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United States near Boston, Massachusetts, and internationally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We are planning a migration of our European data center to a different provider. We do not maintain redundant systems or facilities for some of the services hosted in our current environment. In the event the migration results in disruption to one or more of these systems, we may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6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8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1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63"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5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marketplaces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6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63"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California Consumer Privacy Act, or the CCPA, which went into effect on January 1, 2020. The GDPR and CCPA in particular have already required, and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or CCPA requirements.</w:t>
      </w:r>
    </w:p>
    <w:p>
      <w:pPr>
        <w:spacing w:after="0" w:line="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301" w:lineRule="auto"/>
        <w:rPr>
          <w:sz w:val="20"/>
          <w:szCs w:val="20"/>
          <w:color w:val="auto"/>
        </w:rPr>
      </w:pPr>
      <w:r>
        <w:rPr>
          <w:rFonts w:ascii="Arial" w:cs="Arial" w:eastAsia="Arial" w:hAnsi="Arial"/>
          <w:sz w:val="16"/>
          <w:szCs w:val="16"/>
          <w:color w:val="auto"/>
        </w:rPr>
        <w:t>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attract consumers to our own websites and for our customers depends on the collection of consumer data from various sources, which may be restricted by consumer choice, privacy restrictions imposed by advertising partners, web browsers or other software, and developments in laws, regulations and industry standards.</w:t>
      </w:r>
    </w:p>
    <w:p>
      <w:pPr>
        <w:spacing w:after="0" w:line="76"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and CCPA;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5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49"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58"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w:t>
      </w:r>
    </w:p>
    <w:p>
      <w:pPr>
        <w:spacing w:after="0" w:line="5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ind w:firstLine="510"/>
        <w:spacing w:after="0" w:line="275" w:lineRule="auto"/>
        <w:rPr>
          <w:sz w:val="20"/>
          <w:szCs w:val="20"/>
          <w:color w:val="auto"/>
        </w:rPr>
      </w:pPr>
      <w:r>
        <w:rPr>
          <w:rFonts w:ascii="Arial" w:cs="Arial" w:eastAsia="Arial" w:hAnsi="Arial"/>
          <w:sz w:val="17"/>
          <w:szCs w:val="17"/>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our trademarks. While we have registered the CARGURUS and CG logos in the U.S. Canada, the EU and the United Kingdom, as well as the word-mark CARGURUS in the U.S., Canada, the United Kingdom and, for a subset of services, Ireland, we were not able to register the word-mark CARGURUS in the EU as the mark was deemed to be non-distinctive, and thus not registerable.</w:t>
      </w:r>
    </w:p>
    <w:p>
      <w:pPr>
        <w:spacing w:after="0" w:line="6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In addition, reduction of our marketing spend in response to COVID-19-related expense management and shifts in demand from dealers and consumers could impact the efficiency of our marketing spend. For example, a larger portion of our advertising may run during peak holiday seasonality for retail advertisers, inflating our media costs. As our growth rates moderate or cease, the impact of these seasonality trends and other influences on our results of operations could become more pronounced.</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7"/>
          <w:szCs w:val="17"/>
          <w:color w:val="auto"/>
        </w:rPr>
        <w:t>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COVID-19 pandemic.</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face significant competition from companies that provide listings, car-shopping information, lead generation, marketing, and car-buying services designed to help consumers shop for cars and to enable dealers to reach these consumers. Our competitors include online automotive marketplaces and websites, internet search engines, digital marketing providers, peer to peer marketplaces, sites operated by automobile dealers, and online dealerships.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industry with competing marketplaces, products, and services, and that existing competitors will expand to offer competing products or services, which could have an adverse effect on our business and financial results.</w:t>
      </w:r>
    </w:p>
    <w:p>
      <w:pPr>
        <w:spacing w:after="0" w:line="73"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5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Our success depends upon our relationships with third parties, including, among others, our payment processor, our data center hosts, our information technology providers and our data providers for inventory and vehicle information.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6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evaluation and testing process, if we identify and fail to remediate one or more material weaknesses in our internal control over financial reporting, we will be unable to assert that our internal controls are effective.</w:t>
      </w:r>
    </w:p>
    <w:p>
      <w:pPr>
        <w:spacing w:after="0" w:line="6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53"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could precipitate reactions by legislators, regulators and courts that could adversely increase our tax administrative costs and tax risk, and negatively affect our overall business, results of operations, financial condition and cash flows.</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also regularly subject to audits by tax authorities. For example, we are currently under audit by the Internal Revenue Service with respect to our 2016, 2017 and 2018 federal employment taxes and our 2017 corporate income taxes as well as by New York State for our 2014 – 2020 sales and use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518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File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Filing</w:t>
            </w: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tcPr>
          <w:p>
            <w:pP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180" w:type="dxa"/>
            <w:vAlign w:val="bottom"/>
            <w:tcBorders>
              <w:bottom w:val="single" w:sz="8" w:color="auto"/>
            </w:tcBorders>
            <w:gridSpan w:val="1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2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7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Third Amendment to Lease, dated as of July 1, 2020, between 55</w:t>
              </w:r>
            </w:hyperlink>
          </w:p>
        </w:tc>
        <w:tc>
          <w:tcPr>
            <w:tcW w:w="58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Cambridge Parkway, LLC and the Registrant.</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First Amendment to Lease, dated as of October 27, 2015, between</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BCSP Cambridge Two Property, LLC and the Registrant.</w:t>
              </w:r>
            </w:hyperlink>
          </w:p>
        </w:tc>
        <w:tc>
          <w:tcPr>
            <w:tcW w:w="520" w:type="dxa"/>
            <w:vAlign w:val="bottom"/>
            <w:gridSpan w:val="9"/>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1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Second Amendment to Lease, dated as of September 28, 2020, between</w:t>
              </w:r>
            </w:hyperlink>
          </w:p>
        </w:tc>
        <w:tc>
          <w:tcPr>
            <w:tcW w:w="1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Two Canal Park Massachusetts, LLC, as successor-in-interest to BCSP</w:t>
              </w:r>
            </w:hyperlink>
          </w:p>
        </w:tc>
        <w:tc>
          <w:tcPr>
            <w:tcW w:w="1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1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Cambridge Two Property, LLC, and the Registrant.</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Principal Executive Officer Pursuant to Rules 13a-</w:t>
              </w:r>
            </w:hyperlink>
          </w:p>
        </w:tc>
        <w:tc>
          <w:tcPr>
            <w:tcW w:w="48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17"/>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14(a) and 15d-14(a) under the Securities Exchange Act of 1934, as</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17"/>
          </w:tcPr>
          <w:p>
            <w:pPr>
              <w:spacing w:after="0"/>
              <w:rPr>
                <w:rFonts w:ascii="Arial" w:cs="Arial" w:eastAsia="Arial" w:hAnsi="Arial"/>
                <w:sz w:val="18"/>
                <w:szCs w:val="18"/>
                <w:u w:val="single" w:color="auto"/>
                <w:color w:val="0000EE"/>
                <w:w w:val="95"/>
              </w:rPr>
            </w:pPr>
            <w:hyperlink w:anchor="page68">
              <w:r>
                <w:rPr>
                  <w:rFonts w:ascii="Arial" w:cs="Arial" w:eastAsia="Arial" w:hAnsi="Arial"/>
                  <w:sz w:val="18"/>
                  <w:szCs w:val="18"/>
                  <w:u w:val="single" w:color="auto"/>
                  <w:color w:val="0000EE"/>
                  <w:w w:val="95"/>
                </w:rPr>
                <w:t>Adopted Pursuant to Section 302 of the Sarbanes-Oxley Act of 2002.</w:t>
              </w:r>
            </w:hyperlink>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9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Certification of Principal Financial Officer and Principal Accounting</w:t>
              </w:r>
            </w:hyperlink>
          </w:p>
        </w:tc>
        <w:tc>
          <w:tcPr>
            <w:tcW w:w="30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1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Officer Pursuant to Rules 13a-14(a) and 15d-14(a) under the Securities</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Exchange Act of 1934, as Adopted Pursuant to Section 302 of the</w:t>
              </w:r>
            </w:hyperlink>
          </w:p>
        </w:tc>
        <w:tc>
          <w:tcPr>
            <w:tcW w:w="360" w:type="dxa"/>
            <w:vAlign w:val="bottom"/>
            <w:tcBorders>
              <w:top w:val="single" w:sz="8" w:color="0000EE"/>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Sarbanes-Oxley Act of 2002.</w:t>
              </w:r>
            </w:hyperlink>
          </w:p>
        </w:tc>
        <w:tc>
          <w:tcPr>
            <w:tcW w:w="318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Executive Officer Pursuant to 18 U.S.C.</w:t>
              </w:r>
            </w:hyperlink>
          </w:p>
        </w:tc>
        <w:tc>
          <w:tcPr>
            <w:tcW w:w="54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Section 1350, as Adopted Pursuant to Section 906 of the Sarbanes-</w:t>
              </w:r>
            </w:hyperlink>
          </w:p>
        </w:tc>
        <w:tc>
          <w:tcPr>
            <w:tcW w:w="46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Oxley Act of 2002.</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Certification of Principal Financial Officer and Principal Accounting</w:t>
              </w:r>
            </w:hyperlink>
          </w:p>
        </w:tc>
        <w:tc>
          <w:tcPr>
            <w:tcW w:w="32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Officer Pursuant to 18 U.S.C. Section 1350, as Adopted Pursuant to</w:t>
              </w:r>
            </w:hyperlink>
          </w:p>
        </w:tc>
        <w:tc>
          <w:tcPr>
            <w:tcW w:w="4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Section 906 of the Sarbanes-Oxley Act of 2002.</w:t>
              </w:r>
            </w:hyperlink>
          </w:p>
        </w:tc>
        <w:tc>
          <w:tcPr>
            <w:tcW w:w="182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280" w:type="dxa"/>
            <w:vAlign w:val="bottom"/>
            <w:gridSpan w:val="17"/>
          </w:tcPr>
          <w:p>
            <w:pPr>
              <w:spacing w:after="0"/>
              <w:rPr>
                <w:sz w:val="20"/>
                <w:szCs w:val="20"/>
                <w:color w:val="auto"/>
              </w:rPr>
            </w:pPr>
            <w:r>
              <w:rPr>
                <w:rFonts w:ascii="Arial" w:cs="Arial" w:eastAsia="Arial" w:hAnsi="Arial"/>
                <w:sz w:val="18"/>
                <w:szCs w:val="18"/>
                <w:color w:val="auto"/>
                <w:w w:val="99"/>
              </w:rPr>
              <w:t>Inline XBRL Instance Document – the instance document does not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rPr>
              <w:t>embedded with the Inline XBRL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2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28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2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17"/>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w w:val="95"/>
              </w:rPr>
              <w:t>The cover page from the Registrant’s Quarterly Report on Form 10-Q</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w w:val="96"/>
              </w:rPr>
              <w:t>for the quarter ended September 30, 2020, formatted in Inline XBRL.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63"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Langley Steinert</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Jason Trevisan</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48"/>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56</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(55 Cambridge Parkway, Cambridge, Massachusetts – CarGurus, Inc.)</w:t>
      </w:r>
    </w:p>
    <w:p>
      <w:pPr>
        <w:spacing w:after="0" w:line="18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55 CAMBRIDGE PARKWAY, LLC, </w:t>
      </w:r>
      <w:r>
        <w:rPr>
          <w:rFonts w:ascii="Arial" w:cs="Arial" w:eastAsia="Arial" w:hAnsi="Arial"/>
          <w:sz w:val="22"/>
          <w:szCs w:val="22"/>
          <w:color w:val="auto"/>
        </w:rPr>
        <w:t>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CARGURUS, INC.</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 enter into this Third Amendment To Lease (this “</w:t>
      </w:r>
      <w:r>
        <w:rPr>
          <w:rFonts w:ascii="Arial" w:cs="Arial" w:eastAsia="Arial" w:hAnsi="Arial"/>
          <w:sz w:val="22"/>
          <w:szCs w:val="22"/>
          <w:u w:val="single" w:color="auto"/>
          <w:color w:val="auto"/>
        </w:rPr>
        <w:t>Amendment</w:t>
      </w:r>
      <w:r>
        <w:rPr>
          <w:rFonts w:ascii="Arial" w:cs="Arial" w:eastAsia="Arial" w:hAnsi="Arial"/>
          <w:sz w:val="22"/>
          <w:szCs w:val="22"/>
          <w:color w:val="auto"/>
        </w:rPr>
        <w:t>”) effective as of the 1</w:t>
      </w:r>
      <w:r>
        <w:rPr>
          <w:rFonts w:ascii="Arial" w:cs="Arial" w:eastAsia="Arial" w:hAnsi="Arial"/>
          <w:sz w:val="18"/>
          <w:szCs w:val="18"/>
          <w:color w:val="auto"/>
        </w:rPr>
        <w:t>st</w:t>
      </w:r>
      <w:r>
        <w:rPr>
          <w:rFonts w:ascii="Arial" w:cs="Arial" w:eastAsia="Arial" w:hAnsi="Arial"/>
          <w:sz w:val="22"/>
          <w:szCs w:val="22"/>
          <w:color w:val="auto"/>
        </w:rPr>
        <w:t xml:space="preserve"> day of July, 2020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9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WHEREAS, Landlord and Tenant entered into that certain Office Lease Agreement dated as of March 11, 2016 (the “Original Lease”), as affected by that certain First Amendment of Lease dated as of July 30, 2016 (the “First Amendment”) and that Second Amendment To Lease dated as of August 30, 2019 (collectively, the “</w:t>
      </w:r>
      <w:r>
        <w:rPr>
          <w:rFonts w:ascii="Arial" w:cs="Arial" w:eastAsia="Arial" w:hAnsi="Arial"/>
          <w:sz w:val="22"/>
          <w:szCs w:val="22"/>
          <w:u w:val="single" w:color="auto"/>
          <w:color w:val="auto"/>
        </w:rPr>
        <w:t>Lease</w:t>
      </w:r>
      <w:r>
        <w:rPr>
          <w:rFonts w:ascii="Arial" w:cs="Arial" w:eastAsia="Arial" w:hAnsi="Arial"/>
          <w:sz w:val="22"/>
          <w:szCs w:val="22"/>
          <w:color w:val="auto"/>
        </w:rPr>
        <w:t>”), for leasing of certain premises in the building located at 55 Cambridge Parkway, Cambridge, Massachusetts, more particularly described in the Lease (the “</w:t>
      </w:r>
      <w:r>
        <w:rPr>
          <w:rFonts w:ascii="Arial" w:cs="Arial" w:eastAsia="Arial" w:hAnsi="Arial"/>
          <w:sz w:val="22"/>
          <w:szCs w:val="22"/>
          <w:u w:val="single" w:color="auto"/>
          <w:color w:val="auto"/>
        </w:rPr>
        <w:t>Premises</w:t>
      </w:r>
      <w:r>
        <w:rPr>
          <w:rFonts w:ascii="Arial" w:cs="Arial" w:eastAsia="Arial" w:hAnsi="Arial"/>
          <w:sz w:val="22"/>
          <w:szCs w:val="22"/>
          <w:color w:val="auto"/>
        </w:rPr>
        <w:t>”);</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WHEREAS, Landlord and Tenant desire to amend the Lease in accordance with the terms of this Amendment;</w:t>
      </w:r>
    </w:p>
    <w:p>
      <w:pPr>
        <w:spacing w:after="0" w:line="21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NOW THEREFORE, in exchange for good and valuable consideration, the receipt and sufficiency of which is accepted, Landlord and Tenant agree as follows:</w:t>
      </w:r>
    </w:p>
    <w:p>
      <w:pPr>
        <w:spacing w:after="0" w:line="200" w:lineRule="exact"/>
        <w:rPr>
          <w:sz w:val="20"/>
          <w:szCs w:val="20"/>
          <w:color w:val="auto"/>
        </w:rPr>
      </w:pPr>
    </w:p>
    <w:p>
      <w:pPr>
        <w:ind w:firstLine="757"/>
        <w:spacing w:after="0" w:line="238" w:lineRule="auto"/>
        <w:tabs>
          <w:tab w:leader="none" w:pos="157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utilized in this Amendment not otherwise defined shall have the same meaning as ascribed to such terms as set forth in the Lease.</w:t>
      </w:r>
    </w:p>
    <w:p>
      <w:pPr>
        <w:spacing w:after="0" w:line="200" w:lineRule="exact"/>
        <w:rPr>
          <w:rFonts w:ascii="Arial" w:cs="Arial" w:eastAsia="Arial" w:hAnsi="Arial"/>
          <w:sz w:val="22"/>
          <w:szCs w:val="22"/>
          <w:color w:val="auto"/>
        </w:rPr>
      </w:pPr>
    </w:p>
    <w:p>
      <w:pPr>
        <w:jc w:val="both"/>
        <w:ind w:firstLine="757"/>
        <w:spacing w:after="0" w:line="232" w:lineRule="auto"/>
        <w:tabs>
          <w:tab w:leader="none" w:pos="157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Abatement of Parking Charges For July 1, 2020 – September 30, 2020 Period</w:t>
      </w:r>
      <w:r>
        <w:rPr>
          <w:rFonts w:ascii="Arial" w:cs="Arial" w:eastAsia="Arial" w:hAnsi="Arial"/>
          <w:sz w:val="22"/>
          <w:szCs w:val="22"/>
          <w:color w:val="auto"/>
        </w:rPr>
        <w:t>. Subject to the terms and conditions of this Amendment, Tenant’s obligations to pay for the Parking Charges under Exhibit I of the Original Lease (as amended) for the months of July, August and September of 2020 (i.e., $52,700 per month for 124 spaces) shall be abated (such total amount of Parking Charges being abated during such three (3) month period [i.e., $158,100 in total] shall be referred to herein as the “Parking Charges Abated Amount”). In the event of (i) an Event of Default under the Lease, or (ii) any breach of Tenant’s confidentiality obligations in Section 5 of this Amendment, then in addition to, and without limiting, all other rights and remedies of Landlord, Landlord shall be entitled to a reimbursement of the then unamortized amount (based on a straight-line amortization over a period beginning on July 1, 2020 and ending on January 31, 2025) of the Parking Charges Abated Amount which shall be due and payable by Tenant within five (5) days following written notice from Landlord.</w:t>
      </w:r>
    </w:p>
    <w:p>
      <w:pPr>
        <w:spacing w:after="0" w:line="200" w:lineRule="exact"/>
        <w:rPr>
          <w:rFonts w:ascii="Arial" w:cs="Arial" w:eastAsia="Arial" w:hAnsi="Arial"/>
          <w:sz w:val="22"/>
          <w:szCs w:val="22"/>
          <w:color w:val="auto"/>
        </w:rPr>
      </w:pPr>
    </w:p>
    <w:p>
      <w:pPr>
        <w:jc w:val="both"/>
        <w:ind w:firstLine="757"/>
        <w:spacing w:after="0" w:line="235" w:lineRule="auto"/>
        <w:tabs>
          <w:tab w:leader="none" w:pos="157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No Impact Upon Other Rent</w:t>
      </w:r>
      <w:r>
        <w:rPr>
          <w:rFonts w:ascii="Arial" w:cs="Arial" w:eastAsia="Arial" w:hAnsi="Arial"/>
          <w:sz w:val="22"/>
          <w:szCs w:val="22"/>
          <w:color w:val="auto"/>
        </w:rPr>
        <w:t>. Nothing as set forth in this Amendment shall defer or abate any payment of Rent (including, without limitation, Base Rent, Additional Rent, Taxes, Insurance, electrical charges or Parking Charges) other than the abatement of the Parking Charges Abated Amount set forth above.</w:t>
      </w:r>
    </w:p>
    <w:p>
      <w:pPr>
        <w:spacing w:after="0" w:line="201" w:lineRule="exact"/>
        <w:rPr>
          <w:rFonts w:ascii="Arial" w:cs="Arial" w:eastAsia="Arial" w:hAnsi="Arial"/>
          <w:sz w:val="22"/>
          <w:szCs w:val="22"/>
          <w:color w:val="auto"/>
        </w:rPr>
      </w:pPr>
    </w:p>
    <w:p>
      <w:pPr>
        <w:jc w:val="both"/>
        <w:ind w:firstLine="757"/>
        <w:spacing w:after="0" w:line="234" w:lineRule="auto"/>
        <w:tabs>
          <w:tab w:leader="none" w:pos="157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Extension of Reimbursement Request Deadline For Landlord’s Sixth Floor East Wing Premises Allowance</w:t>
      </w:r>
      <w:r>
        <w:rPr>
          <w:rFonts w:ascii="Arial" w:cs="Arial" w:eastAsia="Arial" w:hAnsi="Arial"/>
          <w:sz w:val="22"/>
          <w:szCs w:val="22"/>
          <w:color w:val="auto"/>
        </w:rPr>
        <w:t>. Notwithstanding the provisions of Section 3.2(c) of Exhibit B of the Second Amendment, with respect to the disbursement of Landlord’s Sixth Floor East Wing Premises Allowance only, such Section 3.2(c) is hereby revised to state as follows:</w:t>
      </w:r>
    </w:p>
    <w:p>
      <w:pPr>
        <w:spacing w:after="0" w:line="201" w:lineRule="exact"/>
        <w:rPr>
          <w:sz w:val="20"/>
          <w:szCs w:val="20"/>
          <w:color w:val="auto"/>
        </w:rPr>
      </w:pPr>
    </w:p>
    <w:p>
      <w:pPr>
        <w:ind w:left="1620"/>
        <w:spacing w:after="0" w:line="238" w:lineRule="auto"/>
        <w:rPr>
          <w:sz w:val="20"/>
          <w:szCs w:val="20"/>
          <w:color w:val="auto"/>
        </w:rPr>
      </w:pPr>
      <w:r>
        <w:rPr>
          <w:rFonts w:ascii="Arial" w:cs="Arial" w:eastAsia="Arial" w:hAnsi="Arial"/>
          <w:sz w:val="22"/>
          <w:szCs w:val="22"/>
          <w:color w:val="auto"/>
        </w:rPr>
        <w:t>“In no event shall Landlord be obligated to reimburse any portion of the Landlord’s Sixth Floor East Wing Premises Allowance that Tenant requests after October 1,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757"/>
        <w:spacing w:after="0" w:line="232" w:lineRule="auto"/>
        <w:tabs>
          <w:tab w:leader="none" w:pos="157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Tenant expressly acknowledges and agrees that the terms and provisions of this Amendment, including without limitation, any negotiations or discussions, written or oral, concerning or relating to this Amendment and matters addressed herein (the “</w:t>
      </w:r>
      <w:r>
        <w:rPr>
          <w:rFonts w:ascii="Arial" w:cs="Arial" w:eastAsia="Arial" w:hAnsi="Arial"/>
          <w:sz w:val="22"/>
          <w:szCs w:val="22"/>
          <w:u w:val="single" w:color="auto"/>
          <w:color w:val="auto"/>
        </w:rPr>
        <w:t>Confidential Matters</w:t>
      </w:r>
      <w:r>
        <w:rPr>
          <w:rFonts w:ascii="Arial" w:cs="Arial" w:eastAsia="Arial" w:hAnsi="Arial"/>
          <w:sz w:val="22"/>
          <w:szCs w:val="22"/>
          <w:color w:val="auto"/>
        </w:rPr>
        <w:t>”), are strictly confidential. Accordingly, Tenant shall not disclose any of the Confidential Matters to any third party except in any public filing, and any breach by Tenant of this provision automatically shall constitute an Event of Default under the Lease, entitling Landlord to exercise its rights and remedies under the Lease (as amended by this Amendment) and available at law and in equity, including without limitation, injunctive relief.</w:t>
      </w:r>
    </w:p>
    <w:p>
      <w:pPr>
        <w:spacing w:after="0" w:line="205" w:lineRule="exact"/>
        <w:rPr>
          <w:rFonts w:ascii="Arial" w:cs="Arial" w:eastAsia="Arial" w:hAnsi="Arial"/>
          <w:sz w:val="22"/>
          <w:szCs w:val="22"/>
          <w:color w:val="auto"/>
        </w:rPr>
      </w:pPr>
    </w:p>
    <w:p>
      <w:pPr>
        <w:jc w:val="both"/>
        <w:ind w:firstLine="757"/>
        <w:spacing w:after="0" w:line="233" w:lineRule="auto"/>
        <w:tabs>
          <w:tab w:leader="none" w:pos="157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As a material inducement to Landlord’s agreement to enter into this Amendment, Tenant expressly acknowledges that, to its knowledge, as of the Amendment Effective Date, Landlord is in full compliance with all terms and conditions of the Lease. Tenant expressly releases Landlord and the Landlord Entities from all claims for the abatement, setoff, deduction, non-payment or deferral of Rent under the Lease on account of the COVID-19 pandemic and the business interruption caused thereby for all periods up to and including July 31, 2020.</w:t>
      </w:r>
    </w:p>
    <w:p>
      <w:pPr>
        <w:spacing w:after="0" w:line="203" w:lineRule="exact"/>
        <w:rPr>
          <w:rFonts w:ascii="Arial" w:cs="Arial" w:eastAsia="Arial" w:hAnsi="Arial"/>
          <w:sz w:val="22"/>
          <w:szCs w:val="22"/>
          <w:color w:val="auto"/>
        </w:rPr>
      </w:pPr>
    </w:p>
    <w:p>
      <w:pPr>
        <w:ind w:firstLine="757"/>
        <w:spacing w:after="0" w:line="238" w:lineRule="auto"/>
        <w:tabs>
          <w:tab w:leader="none" w:pos="157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 Further Modification / Ratification</w:t>
      </w:r>
      <w:r>
        <w:rPr>
          <w:rFonts w:ascii="Arial" w:cs="Arial" w:eastAsia="Arial" w:hAnsi="Arial"/>
          <w:sz w:val="22"/>
          <w:szCs w:val="22"/>
          <w:color w:val="auto"/>
        </w:rPr>
        <w:t>. Except as otherwise expressly modified herein, all terms and conditions of the Lease remain of full force and effect, unmodified.</w:t>
      </w:r>
    </w:p>
    <w:p>
      <w:pPr>
        <w:spacing w:after="0" w:line="200" w:lineRule="exact"/>
        <w:rPr>
          <w:rFonts w:ascii="Arial" w:cs="Arial" w:eastAsia="Arial" w:hAnsi="Arial"/>
          <w:sz w:val="22"/>
          <w:szCs w:val="22"/>
          <w:color w:val="auto"/>
        </w:rPr>
      </w:pPr>
    </w:p>
    <w:p>
      <w:pPr>
        <w:jc w:val="both"/>
        <w:ind w:firstLine="757"/>
        <w:spacing w:after="0" w:line="235" w:lineRule="auto"/>
        <w:tabs>
          <w:tab w:leader="none" w:pos="157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may be assembled so as to constitute one (1) original document. PDF and electronic signatures (including, without limitation, signatures provided via DocuSign) shall constitute originals for purposes of this Amendment.</w:t>
      </w:r>
    </w:p>
    <w:p>
      <w:pPr>
        <w:spacing w:after="0" w:line="201" w:lineRule="exact"/>
        <w:rPr>
          <w:rFonts w:ascii="Arial" w:cs="Arial" w:eastAsia="Arial" w:hAnsi="Arial"/>
          <w:sz w:val="22"/>
          <w:szCs w:val="22"/>
          <w:color w:val="auto"/>
        </w:rPr>
      </w:pPr>
    </w:p>
    <w:p>
      <w:pPr>
        <w:jc w:val="both"/>
        <w:ind w:firstLine="757"/>
        <w:spacing w:after="0" w:line="235" w:lineRule="auto"/>
        <w:tabs>
          <w:tab w:leader="none" w:pos="157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Amendment be deemed invalid or unenforceable by law or a court of competent jurisdiction, the unenforceable provision shall be deemed stricken from this Amendment and the remaining terms and conditions of this Amendment and the Lease shall remain of full force and effect.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TO FOLLOW ON SUCCEEDING PAGE]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1" w:name="page62"/>
    <w:bookmarkEnd w:id="61"/>
    <w:p>
      <w:pPr>
        <w:jc w:val="center"/>
        <w:ind w:right="-1120"/>
        <w:spacing w:after="0"/>
        <w:rPr>
          <w:sz w:val="20"/>
          <w:szCs w:val="20"/>
          <w:color w:val="auto"/>
        </w:rPr>
      </w:pPr>
      <w:r>
        <w:rPr>
          <w:rFonts w:ascii="Arial" w:cs="Arial" w:eastAsia="Arial" w:hAnsi="Arial"/>
          <w:sz w:val="22"/>
          <w:szCs w:val="22"/>
          <w:b w:val="1"/>
          <w:bCs w:val="1"/>
          <w:color w:val="auto"/>
        </w:rPr>
        <w:t>SIGNATURE PAGE TO THIRD AMENDMENT TO LEASE</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(55 Cambridge Parkway, Cambridge, Massachusetts – CarGurus, Inc.)</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 CAMBRIDGE PARKWAY, LLC,</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33" w:lineRule="exact"/>
        <w:rPr>
          <w:sz w:val="20"/>
          <w:szCs w:val="20"/>
          <w:color w:val="auto"/>
        </w:rPr>
      </w:pPr>
    </w:p>
    <w:p>
      <w:pPr>
        <w:ind w:left="680" w:right="4599" w:hanging="679"/>
        <w:spacing w:after="0" w:line="238" w:lineRule="auto"/>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Invesco ICRE Massachusetts REIT Holdings, LLC, its sole member</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Perry Chudnoff</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1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Perry Chudnoff</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1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CARGURUS, INC.,</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30"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Jason Trevisan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51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Jason Trevisan</w:t>
            </w:r>
          </w:p>
        </w:tc>
      </w:tr>
      <w:tr>
        <w:trPr>
          <w:trHeight w:val="237"/>
        </w:trPr>
        <w:tc>
          <w:tcPr>
            <w:tcW w:w="9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51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CFO</w:t>
            </w:r>
          </w:p>
        </w:tc>
      </w:tr>
    </w:tbl>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39"/>
          </w:cols>
          <w:pgMar w:left="320" w:top="337"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b w:val="1"/>
          <w:bCs w:val="1"/>
          <w:color w:val="auto"/>
        </w:rPr>
        <w:t>Exhibit 10.2</w:t>
      </w:r>
    </w:p>
    <w:tbl>
      <w:tblPr>
        <w:tblLayout w:type="fixed"/>
        <w:tblInd w:w="1140" w:type="dxa"/>
        <w:tblCellMar>
          <w:top w:w="0" w:type="dxa"/>
          <w:left w:w="0" w:type="dxa"/>
          <w:bottom w:w="0" w:type="dxa"/>
          <w:right w:w="0" w:type="dxa"/>
        </w:tblCellMar>
      </w:tblPr>
      <w:tr>
        <w:trPr>
          <w:trHeight w:val="242"/>
        </w:trPr>
        <w:tc>
          <w:tcPr>
            <w:tcW w:w="2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300" w:type="dxa"/>
            <w:vAlign w:val="bottom"/>
            <w:gridSpan w:val="4"/>
          </w:tcPr>
          <w:p>
            <w:pPr>
              <w:jc w:val="center"/>
              <w:ind w:right="3260"/>
              <w:spacing w:after="0" w:line="243" w:lineRule="exact"/>
              <w:rPr>
                <w:sz w:val="20"/>
                <w:szCs w:val="20"/>
                <w:color w:val="auto"/>
              </w:rPr>
            </w:pPr>
            <w:r>
              <w:rPr>
                <w:rFonts w:ascii="Arial" w:cs="Arial" w:eastAsia="Arial" w:hAnsi="Arial"/>
                <w:sz w:val="22"/>
                <w:szCs w:val="22"/>
                <w:color w:val="auto"/>
                <w:w w:val="89"/>
              </w:rPr>
              <w:t>Two Canal Park</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6340" w:type="dxa"/>
            <w:vAlign w:val="bottom"/>
            <w:gridSpan w:val="5"/>
          </w:tcPr>
          <w:p>
            <w:pPr>
              <w:jc w:val="center"/>
              <w:ind w:right="2220"/>
              <w:spacing w:after="0" w:line="243" w:lineRule="exact"/>
              <w:rPr>
                <w:sz w:val="20"/>
                <w:szCs w:val="20"/>
                <w:color w:val="auto"/>
              </w:rPr>
            </w:pPr>
            <w:r>
              <w:rPr>
                <w:rFonts w:ascii="Arial" w:cs="Arial" w:eastAsia="Arial" w:hAnsi="Arial"/>
                <w:sz w:val="22"/>
                <w:szCs w:val="22"/>
                <w:color w:val="auto"/>
                <w:w w:val="87"/>
              </w:rPr>
              <w:t>Cambridge, Massachusetts 02141</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00" w:type="dxa"/>
            <w:vAlign w:val="bottom"/>
            <w:gridSpan w:val="4"/>
          </w:tcPr>
          <w:p>
            <w:pPr>
              <w:jc w:val="center"/>
              <w:ind w:right="3260"/>
              <w:spacing w:after="0" w:line="224" w:lineRule="exact"/>
              <w:rPr>
                <w:sz w:val="20"/>
                <w:szCs w:val="20"/>
                <w:color w:val="auto"/>
              </w:rPr>
            </w:pPr>
            <w:r>
              <w:rPr>
                <w:rFonts w:ascii="Arial" w:cs="Arial" w:eastAsia="Arial" w:hAnsi="Arial"/>
                <w:sz w:val="22"/>
                <w:szCs w:val="22"/>
                <w:color w:val="auto"/>
                <w:w w:val="97"/>
              </w:rPr>
              <w:t>(the “Building”)</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00" w:type="dxa"/>
            <w:vAlign w:val="bottom"/>
            <w:gridSpan w:val="4"/>
          </w:tcPr>
          <w:p>
            <w:pPr>
              <w:jc w:val="center"/>
              <w:ind w:right="3260"/>
              <w:spacing w:after="0"/>
              <w:rPr>
                <w:sz w:val="20"/>
                <w:szCs w:val="20"/>
                <w:color w:val="auto"/>
              </w:rPr>
            </w:pPr>
            <w:r>
              <w:rPr>
                <w:rFonts w:ascii="Arial" w:cs="Arial" w:eastAsia="Arial" w:hAnsi="Arial"/>
                <w:sz w:val="22"/>
                <w:szCs w:val="22"/>
                <w:color w:val="auto"/>
                <w:w w:val="96"/>
              </w:rPr>
              <w:t>FIRST AMENDMENT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gridSpan w:val="3"/>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2420" w:type="dxa"/>
            <w:vAlign w:val="bottom"/>
          </w:tcPr>
          <w:p>
            <w:pPr>
              <w:spacing w:after="0"/>
              <w:rPr>
                <w:sz w:val="24"/>
                <w:szCs w:val="24"/>
                <w:color w:val="auto"/>
              </w:rPr>
            </w:pPr>
          </w:p>
        </w:tc>
        <w:tc>
          <w:tcPr>
            <w:tcW w:w="6340" w:type="dxa"/>
            <w:vAlign w:val="bottom"/>
            <w:gridSpan w:val="5"/>
          </w:tcPr>
          <w:p>
            <w:pPr>
              <w:jc w:val="center"/>
              <w:ind w:right="2220"/>
              <w:spacing w:after="0"/>
              <w:rPr>
                <w:sz w:val="20"/>
                <w:szCs w:val="20"/>
                <w:color w:val="auto"/>
              </w:rPr>
            </w:pPr>
            <w:r>
              <w:rPr>
                <w:rFonts w:ascii="Arial" w:cs="Arial" w:eastAsia="Arial" w:hAnsi="Arial"/>
                <w:sz w:val="22"/>
                <w:szCs w:val="22"/>
                <w:color w:val="auto"/>
                <w:w w:val="89"/>
              </w:rPr>
              <w:t>Execution Date: October 27, 2015</w:t>
            </w:r>
          </w:p>
        </w:tc>
        <w:tc>
          <w:tcPr>
            <w:tcW w:w="0" w:type="dxa"/>
            <w:vAlign w:val="bottom"/>
          </w:tcPr>
          <w:p>
            <w:pPr>
              <w:spacing w:after="0"/>
              <w:rPr>
                <w:sz w:val="1"/>
                <w:szCs w:val="1"/>
                <w:color w:val="auto"/>
              </w:rPr>
            </w:pPr>
          </w:p>
        </w:tc>
      </w:tr>
      <w:tr>
        <w:trPr>
          <w:trHeight w:val="476"/>
        </w:trPr>
        <w:tc>
          <w:tcPr>
            <w:tcW w:w="2420" w:type="dxa"/>
            <w:vAlign w:val="bottom"/>
          </w:tcPr>
          <w:p>
            <w:pPr>
              <w:spacing w:after="0"/>
              <w:rPr>
                <w:sz w:val="20"/>
                <w:szCs w:val="20"/>
                <w:color w:val="auto"/>
              </w:rPr>
            </w:pPr>
            <w:r>
              <w:rPr>
                <w:rFonts w:ascii="Arial" w:cs="Arial" w:eastAsia="Arial" w:hAnsi="Arial"/>
                <w:sz w:val="21"/>
                <w:szCs w:val="21"/>
                <w:color w:val="auto"/>
              </w:rPr>
              <w:t>LANDLORD:</w:t>
            </w: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w w:val="94"/>
              </w:rPr>
              <w:t>BCSP Cambridge Two Property LLC, a Delaware limited liability</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rPr>
              <w:t>company</w:t>
            </w:r>
          </w:p>
        </w:tc>
        <w:tc>
          <w:tcPr>
            <w:tcW w:w="0" w:type="dxa"/>
            <w:vAlign w:val="bottom"/>
          </w:tcPr>
          <w:p>
            <w:pPr>
              <w:spacing w:after="0"/>
              <w:rPr>
                <w:sz w:val="1"/>
                <w:szCs w:val="1"/>
                <w:color w:val="auto"/>
              </w:rPr>
            </w:pPr>
          </w:p>
        </w:tc>
      </w:tr>
      <w:tr>
        <w:trPr>
          <w:trHeight w:val="492"/>
        </w:trPr>
        <w:tc>
          <w:tcPr>
            <w:tcW w:w="2420" w:type="dxa"/>
            <w:vAlign w:val="bottom"/>
          </w:tcPr>
          <w:p>
            <w:pPr>
              <w:spacing w:after="0"/>
              <w:rPr>
                <w:sz w:val="20"/>
                <w:szCs w:val="20"/>
                <w:color w:val="auto"/>
              </w:rPr>
            </w:pPr>
            <w:r>
              <w:rPr>
                <w:rFonts w:ascii="Arial" w:cs="Arial" w:eastAsia="Arial" w:hAnsi="Arial"/>
                <w:sz w:val="21"/>
                <w:szCs w:val="21"/>
                <w:color w:val="auto"/>
              </w:rPr>
              <w:t>TENANT:</w:t>
            </w: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w w:val="94"/>
              </w:rPr>
              <w:t>CarGurus, Inc., a Delaware corporation, successor in-interest to</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rPr>
              <w:t>CarGurus LLC, a Massachusetts limited liability company</w:t>
            </w:r>
          </w:p>
        </w:tc>
        <w:tc>
          <w:tcPr>
            <w:tcW w:w="0" w:type="dxa"/>
            <w:vAlign w:val="bottom"/>
          </w:tcPr>
          <w:p>
            <w:pPr>
              <w:spacing w:after="0"/>
              <w:rPr>
                <w:sz w:val="1"/>
                <w:szCs w:val="1"/>
                <w:color w:val="auto"/>
              </w:rPr>
            </w:pPr>
          </w:p>
        </w:tc>
      </w:tr>
      <w:tr>
        <w:trPr>
          <w:trHeight w:val="492"/>
        </w:trPr>
        <w:tc>
          <w:tcPr>
            <w:tcW w:w="2420" w:type="dxa"/>
            <w:vAlign w:val="bottom"/>
          </w:tcPr>
          <w:p>
            <w:pPr>
              <w:spacing w:after="0"/>
              <w:rPr>
                <w:sz w:val="20"/>
                <w:szCs w:val="20"/>
                <w:color w:val="auto"/>
              </w:rPr>
            </w:pPr>
            <w:r>
              <w:rPr>
                <w:rFonts w:ascii="Arial" w:cs="Arial" w:eastAsia="Arial" w:hAnsi="Arial"/>
                <w:sz w:val="21"/>
                <w:szCs w:val="21"/>
                <w:color w:val="auto"/>
              </w:rPr>
              <w:t>PREMISES:</w:t>
            </w: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w w:val="98"/>
              </w:rPr>
              <w:t>The entirety of the fourth (4th) floor of the Building, containing</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w w:val="88"/>
              </w:rPr>
              <w:t>approximately 48,059 rentable square feet, as shown on Exhibit 2 to</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rPr>
              <w:t>the Lease</w:t>
            </w:r>
          </w:p>
        </w:tc>
        <w:tc>
          <w:tcPr>
            <w:tcW w:w="0" w:type="dxa"/>
            <w:vAlign w:val="bottom"/>
          </w:tcPr>
          <w:p>
            <w:pPr>
              <w:spacing w:after="0"/>
              <w:rPr>
                <w:sz w:val="1"/>
                <w:szCs w:val="1"/>
                <w:color w:val="auto"/>
              </w:rPr>
            </w:pPr>
          </w:p>
        </w:tc>
      </w:tr>
      <w:tr>
        <w:trPr>
          <w:trHeight w:val="513"/>
        </w:trPr>
        <w:tc>
          <w:tcPr>
            <w:tcW w:w="2420" w:type="dxa"/>
            <w:vAlign w:val="bottom"/>
          </w:tcPr>
          <w:p>
            <w:pPr>
              <w:spacing w:after="0"/>
              <w:rPr>
                <w:sz w:val="20"/>
                <w:szCs w:val="20"/>
                <w:color w:val="auto"/>
              </w:rPr>
            </w:pPr>
            <w:r>
              <w:rPr>
                <w:rFonts w:ascii="Arial" w:cs="Arial" w:eastAsia="Arial" w:hAnsi="Arial"/>
                <w:sz w:val="21"/>
                <w:szCs w:val="21"/>
                <w:color w:val="auto"/>
              </w:rPr>
              <w:t>DATE OF LEASE:</w:t>
            </w: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rPr>
              <w:t>October 8, 2014</w:t>
            </w:r>
          </w:p>
        </w:tc>
        <w:tc>
          <w:tcPr>
            <w:tcW w:w="0" w:type="dxa"/>
            <w:vAlign w:val="bottom"/>
          </w:tcPr>
          <w:p>
            <w:pPr>
              <w:spacing w:after="0"/>
              <w:rPr>
                <w:sz w:val="1"/>
                <w:szCs w:val="1"/>
                <w:color w:val="auto"/>
              </w:rPr>
            </w:pPr>
          </w:p>
        </w:tc>
      </w:tr>
      <w:tr>
        <w:trPr>
          <w:trHeight w:val="513"/>
        </w:trPr>
        <w:tc>
          <w:tcPr>
            <w:tcW w:w="2420" w:type="dxa"/>
            <w:vAlign w:val="bottom"/>
          </w:tcPr>
          <w:p>
            <w:pPr>
              <w:spacing w:after="0"/>
              <w:rPr>
                <w:sz w:val="20"/>
                <w:szCs w:val="20"/>
                <w:color w:val="auto"/>
              </w:rPr>
            </w:pPr>
            <w:r>
              <w:rPr>
                <w:rFonts w:ascii="Arial" w:cs="Arial" w:eastAsia="Arial" w:hAnsi="Arial"/>
                <w:sz w:val="21"/>
                <w:szCs w:val="21"/>
                <w:color w:val="auto"/>
              </w:rPr>
              <w:t>EXPIRATION DATE:</w:t>
            </w:r>
          </w:p>
        </w:tc>
        <w:tc>
          <w:tcPr>
            <w:tcW w:w="6340" w:type="dxa"/>
            <w:vAlign w:val="bottom"/>
            <w:gridSpan w:val="5"/>
          </w:tcPr>
          <w:p>
            <w:pPr>
              <w:ind w:left="700"/>
              <w:spacing w:after="0"/>
              <w:rPr>
                <w:sz w:val="20"/>
                <w:szCs w:val="20"/>
                <w:color w:val="auto"/>
              </w:rPr>
            </w:pPr>
            <w:r>
              <w:rPr>
                <w:rFonts w:ascii="Arial" w:cs="Arial" w:eastAsia="Arial" w:hAnsi="Arial"/>
                <w:sz w:val="21"/>
                <w:szCs w:val="21"/>
                <w:color w:val="auto"/>
              </w:rPr>
              <w:t>November 30, 2022</w:t>
            </w:r>
          </w:p>
        </w:tc>
        <w:tc>
          <w:tcPr>
            <w:tcW w:w="0" w:type="dxa"/>
            <w:vAlign w:val="bottom"/>
          </w:tcPr>
          <w:p>
            <w:pPr>
              <w:spacing w:after="0"/>
              <w:rPr>
                <w:sz w:val="1"/>
                <w:szCs w:val="1"/>
                <w:color w:val="auto"/>
              </w:rPr>
            </w:pPr>
          </w:p>
        </w:tc>
      </w:tr>
      <w:tr>
        <w:trPr>
          <w:trHeight w:val="492"/>
        </w:trPr>
        <w:tc>
          <w:tcPr>
            <w:tcW w:w="2420" w:type="dxa"/>
            <w:vAlign w:val="bottom"/>
          </w:tcPr>
          <w:p>
            <w:pPr>
              <w:spacing w:after="0"/>
              <w:rPr>
                <w:sz w:val="20"/>
                <w:szCs w:val="20"/>
                <w:color w:val="auto"/>
              </w:rPr>
            </w:pPr>
            <w:r>
              <w:rPr>
                <w:rFonts w:ascii="Arial" w:cs="Arial" w:eastAsia="Arial" w:hAnsi="Arial"/>
                <w:sz w:val="21"/>
                <w:szCs w:val="21"/>
                <w:color w:val="auto"/>
              </w:rPr>
              <w:t>PREVIOUS LEASE</w:t>
            </w:r>
          </w:p>
        </w:tc>
        <w:tc>
          <w:tcPr>
            <w:tcW w:w="6340" w:type="dxa"/>
            <w:vAlign w:val="bottom"/>
            <w:gridSpan w:val="5"/>
            <w:vMerge w:val="restart"/>
          </w:tcPr>
          <w:p>
            <w:pPr>
              <w:ind w:left="700"/>
              <w:spacing w:after="0"/>
              <w:rPr>
                <w:sz w:val="20"/>
                <w:szCs w:val="20"/>
                <w:color w:val="auto"/>
              </w:rPr>
            </w:pPr>
            <w:r>
              <w:rPr>
                <w:rFonts w:ascii="Arial" w:cs="Arial" w:eastAsia="Arial" w:hAnsi="Arial"/>
                <w:sz w:val="21"/>
                <w:szCs w:val="21"/>
                <w:color w:val="auto"/>
              </w:rPr>
              <w:t>None</w:t>
            </w:r>
          </w:p>
        </w:tc>
        <w:tc>
          <w:tcPr>
            <w:tcW w:w="0" w:type="dxa"/>
            <w:vAlign w:val="bottom"/>
          </w:tcPr>
          <w:p>
            <w:pPr>
              <w:spacing w:after="0"/>
              <w:rPr>
                <w:sz w:val="1"/>
                <w:szCs w:val="1"/>
                <w:color w:val="auto"/>
              </w:rPr>
            </w:pPr>
          </w:p>
        </w:tc>
      </w:tr>
      <w:tr>
        <w:trPr>
          <w:trHeight w:val="143"/>
        </w:trPr>
        <w:tc>
          <w:tcPr>
            <w:tcW w:w="2420" w:type="dxa"/>
            <w:vAlign w:val="bottom"/>
            <w:vMerge w:val="restart"/>
          </w:tcPr>
          <w:p>
            <w:pPr>
              <w:spacing w:after="0"/>
              <w:rPr>
                <w:sz w:val="20"/>
                <w:szCs w:val="20"/>
                <w:color w:val="auto"/>
              </w:rPr>
            </w:pPr>
            <w:r>
              <w:rPr>
                <w:rFonts w:ascii="Arial" w:cs="Arial" w:eastAsia="Arial" w:hAnsi="Arial"/>
                <w:sz w:val="21"/>
                <w:szCs w:val="21"/>
                <w:color w:val="auto"/>
              </w:rPr>
              <w:t>AMENDMENTS:</w:t>
            </w:r>
          </w:p>
        </w:tc>
        <w:tc>
          <w:tcPr>
            <w:tcW w:w="63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60" w:firstLine="864"/>
        <w:spacing w:after="0" w:line="317" w:lineRule="auto"/>
        <w:rPr>
          <w:sz w:val="20"/>
          <w:szCs w:val="20"/>
          <w:color w:val="auto"/>
        </w:rPr>
      </w:pPr>
      <w:r>
        <w:rPr>
          <w:rFonts w:ascii="Arial" w:cs="Arial" w:eastAsia="Arial" w:hAnsi="Arial"/>
          <w:sz w:val="19"/>
          <w:szCs w:val="19"/>
          <w:color w:val="auto"/>
        </w:rPr>
        <w:t>WHEREAS, Landlord and Tenant desire to confirm: (i) the agreement between the parties with respect to the Minimum Tenant Funded Cost Excess, and (ii) the amount of Construction Rent due and payable by Tenant under the Lease;</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the parties hereby agree that the above-referenced lease (the “</w:t>
      </w:r>
      <w:r>
        <w:rPr>
          <w:rFonts w:ascii="Arial" w:cs="Arial" w:eastAsia="Arial" w:hAnsi="Arial"/>
          <w:sz w:val="18"/>
          <w:szCs w:val="18"/>
          <w:b w:val="1"/>
          <w:bCs w:val="1"/>
          <w:color w:val="auto"/>
        </w:rPr>
        <w:t>Lease</w:t>
      </w:r>
      <w:r>
        <w:rPr>
          <w:rFonts w:ascii="Arial" w:cs="Arial" w:eastAsia="Arial" w:hAnsi="Arial"/>
          <w:sz w:val="18"/>
          <w:szCs w:val="18"/>
          <w:color w:val="auto"/>
        </w:rPr>
        <w:t>”) is hereby amended as follows:</w:t>
      </w:r>
    </w:p>
    <w:p>
      <w:pPr>
        <w:spacing w:after="0" w:line="245" w:lineRule="exact"/>
        <w:rPr>
          <w:sz w:val="20"/>
          <w:szCs w:val="20"/>
          <w:color w:val="auto"/>
        </w:rPr>
      </w:pPr>
    </w:p>
    <w:p>
      <w:pPr>
        <w:ind w:left="1680" w:hanging="808"/>
        <w:spacing w:after="0"/>
        <w:tabs>
          <w:tab w:leader="none" w:pos="168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LANDLORD'S ADDITIONAL CONTRIBUTION</w:t>
      </w:r>
    </w:p>
    <w:p>
      <w:pPr>
        <w:spacing w:after="0" w:line="191" w:lineRule="exact"/>
        <w:rPr>
          <w:sz w:val="20"/>
          <w:szCs w:val="20"/>
          <w:color w:val="auto"/>
        </w:rPr>
      </w:pPr>
    </w:p>
    <w:p>
      <w:pPr>
        <w:ind w:right="40" w:firstLine="864"/>
        <w:spacing w:after="0" w:line="247" w:lineRule="auto"/>
        <w:rPr>
          <w:sz w:val="20"/>
          <w:szCs w:val="20"/>
          <w:color w:val="auto"/>
        </w:rPr>
      </w:pPr>
      <w:r>
        <w:rPr>
          <w:rFonts w:ascii="Arial" w:cs="Arial" w:eastAsia="Arial" w:hAnsi="Arial"/>
          <w:sz w:val="21"/>
          <w:szCs w:val="21"/>
          <w:color w:val="auto"/>
        </w:rPr>
        <w:t>Whereas, by a letter dated May 26, 2015, Tenant has requested, pursuant to Section 4.14 of the Lease, that Landlord fund Landlord's Additional Contribution in the amount of $416,766.00 which represents the difference between Landlord's TI Work Cost Excess of $1,137,651.00 and the Minimum Tenant Funded Cost Excess of $720,885.00. The parties hereby acknowledge that Landlord has funded Landlord's Additional Contribution to Tenant in such amount, thereby satisfying Landlord's obligations under Section 4.14 of the Lease.</w:t>
      </w:r>
    </w:p>
    <w:p>
      <w:pPr>
        <w:spacing w:after="0" w:line="175" w:lineRule="exact"/>
        <w:rPr>
          <w:sz w:val="20"/>
          <w:szCs w:val="20"/>
          <w:color w:val="auto"/>
        </w:rPr>
      </w:pPr>
    </w:p>
    <w:p>
      <w:pPr>
        <w:ind w:left="1680" w:hanging="808"/>
        <w:spacing w:after="0"/>
        <w:tabs>
          <w:tab w:leader="none" w:pos="16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CONSTRUCTION RENT</w:t>
      </w:r>
    </w:p>
    <w:p>
      <w:pPr>
        <w:spacing w:after="0" w:line="204" w:lineRule="exact"/>
        <w:rPr>
          <w:sz w:val="20"/>
          <w:szCs w:val="20"/>
          <w:color w:val="auto"/>
        </w:rPr>
      </w:pPr>
    </w:p>
    <w:p>
      <w:pPr>
        <w:ind w:right="160" w:firstLine="864"/>
        <w:spacing w:after="0" w:line="252" w:lineRule="auto"/>
        <w:rPr>
          <w:sz w:val="20"/>
          <w:szCs w:val="20"/>
          <w:color w:val="auto"/>
        </w:rPr>
      </w:pPr>
      <w:r>
        <w:rPr>
          <w:rFonts w:ascii="Arial" w:cs="Arial" w:eastAsia="Arial" w:hAnsi="Arial"/>
          <w:sz w:val="21"/>
          <w:szCs w:val="21"/>
          <w:color w:val="auto"/>
        </w:rPr>
        <w:t>Commencing on June 1, 2015, and continuing through November 30, 2022, Tenant shall pay to Landlord, in the manner set forth in Section 4.15 of the Lease, Construction Rent in the amount of $5,965.37 per month, based upon the funded amount of Landlord's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3" w:name="page64"/>
    <w:bookmarkEnd w:id="63"/>
    <w:p>
      <w:pPr>
        <w:ind w:right="60"/>
        <w:spacing w:after="0" w:line="252" w:lineRule="auto"/>
        <w:rPr>
          <w:sz w:val="20"/>
          <w:szCs w:val="20"/>
          <w:color w:val="auto"/>
        </w:rPr>
      </w:pPr>
      <w:r>
        <w:rPr>
          <w:rFonts w:ascii="Arial" w:cs="Arial" w:eastAsia="Arial" w:hAnsi="Arial"/>
          <w:sz w:val="21"/>
          <w:szCs w:val="21"/>
          <w:color w:val="auto"/>
        </w:rPr>
        <w:t>Contribution. The parties acknowledge that Tenant shall, at the time that Tenant executes and delivers this First Amendment to Landlord, pay to Landlord the amount of $29,826.85 which represents payments of Construction Rent due and owing by Tenant for the period from June 1, 2015, through and including October 31, 2015.</w:t>
      </w:r>
    </w:p>
    <w:p>
      <w:pPr>
        <w:spacing w:after="0" w:line="157" w:lineRule="exact"/>
        <w:rPr>
          <w:sz w:val="20"/>
          <w:szCs w:val="20"/>
          <w:color w:val="auto"/>
        </w:rPr>
      </w:pPr>
    </w:p>
    <w:p>
      <w:pPr>
        <w:ind w:left="1680" w:hanging="808"/>
        <w:spacing w:after="0"/>
        <w:tabs>
          <w:tab w:leader="none" w:pos="168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CONFLICT</w:t>
      </w:r>
    </w:p>
    <w:p>
      <w:pPr>
        <w:spacing w:after="0" w:line="204" w:lineRule="exact"/>
        <w:rPr>
          <w:sz w:val="20"/>
          <w:szCs w:val="20"/>
          <w:color w:val="auto"/>
        </w:rPr>
      </w:pPr>
    </w:p>
    <w:p>
      <w:pPr>
        <w:ind w:right="940" w:firstLine="864"/>
        <w:spacing w:after="0" w:line="264" w:lineRule="auto"/>
        <w:rPr>
          <w:sz w:val="20"/>
          <w:szCs w:val="20"/>
          <w:color w:val="auto"/>
        </w:rPr>
      </w:pPr>
      <w:r>
        <w:rPr>
          <w:rFonts w:ascii="Arial" w:cs="Arial" w:eastAsia="Arial" w:hAnsi="Arial"/>
          <w:sz w:val="21"/>
          <w:szCs w:val="21"/>
          <w:color w:val="auto"/>
        </w:rPr>
        <w:t>In the event that any of the provisions of the Lease are inconsistent with this First Amendment or the state of facts contemplated hereby, the provisions of this First Amendment shall control.</w:t>
      </w:r>
    </w:p>
    <w:p>
      <w:pPr>
        <w:spacing w:after="0" w:line="157" w:lineRule="exact"/>
        <w:rPr>
          <w:sz w:val="20"/>
          <w:szCs w:val="20"/>
          <w:color w:val="auto"/>
        </w:rPr>
      </w:pPr>
    </w:p>
    <w:p>
      <w:pPr>
        <w:ind w:left="1680" w:hanging="808"/>
        <w:spacing w:after="0"/>
        <w:tabs>
          <w:tab w:leader="none" w:pos="168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RATIFICATION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As hereby amended, the Lease is ratified, approved and confirmed in all respects.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EXECUTED UNDER SEAL as of the date first above written.</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LANDLORD: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BCSP CAMBRIDGE TWO PROPERTY LLC,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Arial" w:cs="Arial" w:eastAsia="Arial" w:hAnsi="Arial"/>
                <w:sz w:val="21"/>
                <w:szCs w:val="21"/>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Philip J. Brannigan, Jr.</w:t>
            </w:r>
          </w:p>
        </w:tc>
      </w:tr>
      <w:tr>
        <w:trPr>
          <w:trHeight w:val="237"/>
        </w:trPr>
        <w:tc>
          <w:tcPr>
            <w:tcW w:w="900" w:type="dxa"/>
            <w:vAlign w:val="bottom"/>
          </w:tcPr>
          <w:p>
            <w:pPr>
              <w:spacing w:after="0" w:line="237" w:lineRule="exact"/>
              <w:rPr>
                <w:sz w:val="20"/>
                <w:szCs w:val="20"/>
                <w:color w:val="auto"/>
              </w:rPr>
            </w:pPr>
            <w:r>
              <w:rPr>
                <w:rFonts w:ascii="Arial" w:cs="Arial" w:eastAsia="Arial" w:hAnsi="Arial"/>
                <w:sz w:val="21"/>
                <w:szCs w:val="21"/>
                <w:color w:val="auto"/>
              </w:rPr>
              <w:t>Name:</w:t>
            </w:r>
          </w:p>
        </w:tc>
        <w:tc>
          <w:tcPr>
            <w:tcW w:w="4720" w:type="dxa"/>
            <w:vAlign w:val="bottom"/>
            <w:tcBorders>
              <w:bottom w:val="single" w:sz="8" w:color="auto"/>
            </w:tcBorders>
          </w:tcPr>
          <w:p>
            <w:pPr>
              <w:spacing w:after="0" w:line="237" w:lineRule="exact"/>
              <w:rPr>
                <w:sz w:val="20"/>
                <w:szCs w:val="20"/>
                <w:color w:val="auto"/>
              </w:rPr>
            </w:pPr>
            <w:r>
              <w:rPr>
                <w:rFonts w:ascii="Arial" w:cs="Arial" w:eastAsia="Arial" w:hAnsi="Arial"/>
                <w:sz w:val="21"/>
                <w:szCs w:val="21"/>
                <w:color w:val="auto"/>
              </w:rPr>
              <w:t>Philip J. Brannigan, Jr.</w:t>
            </w:r>
          </w:p>
        </w:tc>
      </w:tr>
      <w:tr>
        <w:trPr>
          <w:trHeight w:val="237"/>
        </w:trPr>
        <w:tc>
          <w:tcPr>
            <w:tcW w:w="900" w:type="dxa"/>
            <w:vAlign w:val="bottom"/>
          </w:tcPr>
          <w:p>
            <w:pPr>
              <w:spacing w:after="0" w:line="237" w:lineRule="exact"/>
              <w:rPr>
                <w:sz w:val="20"/>
                <w:szCs w:val="20"/>
                <w:color w:val="auto"/>
              </w:rPr>
            </w:pPr>
            <w:r>
              <w:rPr>
                <w:rFonts w:ascii="Arial" w:cs="Arial" w:eastAsia="Arial" w:hAnsi="Arial"/>
                <w:sz w:val="21"/>
                <w:szCs w:val="21"/>
                <w:color w:val="auto"/>
              </w:rPr>
              <w:t>Title:</w:t>
            </w:r>
          </w:p>
        </w:tc>
        <w:tc>
          <w:tcPr>
            <w:tcW w:w="4720" w:type="dxa"/>
            <w:vAlign w:val="bottom"/>
            <w:tcBorders>
              <w:bottom w:val="single" w:sz="8" w:color="auto"/>
            </w:tcBorders>
          </w:tcPr>
          <w:p>
            <w:pPr>
              <w:spacing w:after="0" w:line="237" w:lineRule="exact"/>
              <w:rPr>
                <w:sz w:val="20"/>
                <w:szCs w:val="20"/>
                <w:color w:val="auto"/>
              </w:rPr>
            </w:pPr>
            <w:r>
              <w:rPr>
                <w:rFonts w:ascii="Arial" w:cs="Arial" w:eastAsia="Arial" w:hAnsi="Arial"/>
                <w:sz w:val="21"/>
                <w:szCs w:val="21"/>
                <w:color w:val="auto"/>
              </w:rPr>
              <w:t>Managing Director</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TENANT:</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CARGURUS,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Arial" w:cs="Arial" w:eastAsia="Arial" w:hAnsi="Arial"/>
                <w:sz w:val="21"/>
                <w:szCs w:val="21"/>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Langley Steinert</w:t>
            </w:r>
          </w:p>
        </w:tc>
        <w:tc>
          <w:tcPr>
            <w:tcW w:w="5640" w:type="dxa"/>
            <w:vAlign w:val="bottom"/>
          </w:tcPr>
          <w:p>
            <w:pPr>
              <w:spacing w:after="0"/>
              <w:rPr>
                <w:sz w:val="22"/>
                <w:szCs w:val="22"/>
                <w:color w:val="auto"/>
              </w:rPr>
            </w:pPr>
          </w:p>
        </w:tc>
      </w:tr>
      <w:tr>
        <w:trPr>
          <w:trHeight w:val="236"/>
        </w:trPr>
        <w:tc>
          <w:tcPr>
            <w:tcW w:w="900" w:type="dxa"/>
            <w:vAlign w:val="bottom"/>
          </w:tcPr>
          <w:p>
            <w:pPr>
              <w:spacing w:after="0" w:line="237" w:lineRule="exact"/>
              <w:rPr>
                <w:sz w:val="20"/>
                <w:szCs w:val="20"/>
                <w:color w:val="auto"/>
              </w:rPr>
            </w:pPr>
            <w:r>
              <w:rPr>
                <w:rFonts w:ascii="Arial" w:cs="Arial" w:eastAsia="Arial" w:hAnsi="Arial"/>
                <w:sz w:val="21"/>
                <w:szCs w:val="21"/>
                <w:color w:val="auto"/>
              </w:rPr>
              <w:t>Name:</w:t>
            </w:r>
          </w:p>
        </w:tc>
        <w:tc>
          <w:tcPr>
            <w:tcW w:w="4720" w:type="dxa"/>
            <w:vAlign w:val="bottom"/>
            <w:tcBorders>
              <w:bottom w:val="single" w:sz="8" w:color="auto"/>
            </w:tcBorders>
          </w:tcPr>
          <w:p>
            <w:pPr>
              <w:spacing w:after="0" w:line="237" w:lineRule="exact"/>
              <w:rPr>
                <w:sz w:val="20"/>
                <w:szCs w:val="20"/>
                <w:color w:val="auto"/>
              </w:rPr>
            </w:pPr>
            <w:r>
              <w:rPr>
                <w:rFonts w:ascii="Arial" w:cs="Arial" w:eastAsia="Arial" w:hAnsi="Arial"/>
                <w:sz w:val="21"/>
                <w:szCs w:val="21"/>
                <w:color w:val="auto"/>
              </w:rPr>
              <w:t>Langley Steinert</w:t>
            </w:r>
          </w:p>
        </w:tc>
        <w:tc>
          <w:tcPr>
            <w:tcW w:w="5640" w:type="dxa"/>
            <w:vAlign w:val="bottom"/>
          </w:tcPr>
          <w:p>
            <w:pPr>
              <w:spacing w:after="0"/>
              <w:rPr>
                <w:sz w:val="20"/>
                <w:szCs w:val="20"/>
                <w:color w:val="auto"/>
              </w:rPr>
            </w:pPr>
          </w:p>
        </w:tc>
      </w:tr>
      <w:tr>
        <w:trPr>
          <w:trHeight w:val="237"/>
        </w:trPr>
        <w:tc>
          <w:tcPr>
            <w:tcW w:w="900" w:type="dxa"/>
            <w:vAlign w:val="bottom"/>
          </w:tcPr>
          <w:p>
            <w:pPr>
              <w:spacing w:after="0" w:line="237" w:lineRule="exact"/>
              <w:rPr>
                <w:sz w:val="20"/>
                <w:szCs w:val="20"/>
                <w:color w:val="auto"/>
              </w:rPr>
            </w:pPr>
            <w:r>
              <w:rPr>
                <w:rFonts w:ascii="Arial" w:cs="Arial" w:eastAsia="Arial" w:hAnsi="Arial"/>
                <w:sz w:val="21"/>
                <w:szCs w:val="21"/>
                <w:color w:val="auto"/>
              </w:rPr>
              <w:t>Title:</w:t>
            </w:r>
          </w:p>
        </w:tc>
        <w:tc>
          <w:tcPr>
            <w:tcW w:w="4720" w:type="dxa"/>
            <w:vAlign w:val="bottom"/>
            <w:tcBorders>
              <w:bottom w:val="single" w:sz="8" w:color="auto"/>
            </w:tcBorders>
          </w:tcPr>
          <w:p>
            <w:pPr>
              <w:spacing w:after="0" w:line="237" w:lineRule="exact"/>
              <w:rPr>
                <w:sz w:val="20"/>
                <w:szCs w:val="20"/>
                <w:color w:val="auto"/>
              </w:rPr>
            </w:pPr>
            <w:r>
              <w:rPr>
                <w:rFonts w:ascii="Arial" w:cs="Arial" w:eastAsia="Arial" w:hAnsi="Arial"/>
                <w:sz w:val="21"/>
                <w:szCs w:val="21"/>
                <w:color w:val="auto"/>
              </w:rPr>
              <w:t>CEO and President</w:t>
            </w:r>
          </w:p>
        </w:tc>
        <w:tc>
          <w:tcPr>
            <w:tcW w:w="5640" w:type="dxa"/>
            <w:vAlign w:val="bottom"/>
          </w:tcPr>
          <w:p>
            <w:pPr>
              <w:spacing w:after="0"/>
              <w:rPr>
                <w:sz w:val="20"/>
                <w:szCs w:val="20"/>
                <w:color w:val="auto"/>
              </w:rPr>
            </w:pPr>
          </w:p>
        </w:tc>
      </w:tr>
      <w:tr>
        <w:trPr>
          <w:trHeight w:val="258"/>
        </w:trPr>
        <w:tc>
          <w:tcPr>
            <w:tcW w:w="90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21"/>
                <w:szCs w:val="21"/>
                <w:color w:val="auto"/>
              </w:rPr>
              <w:t>Hereunto Duly Authorized</w:t>
            </w:r>
          </w:p>
        </w:tc>
        <w:tc>
          <w:tcPr>
            <w:tcW w:w="5640" w:type="dxa"/>
            <w:vAlign w:val="bottom"/>
          </w:tcPr>
          <w:p>
            <w:pPr>
              <w:spacing w:after="0"/>
              <w:rPr>
                <w:sz w:val="22"/>
                <w:szCs w:val="22"/>
                <w:color w:val="auto"/>
              </w:rPr>
            </w:pPr>
          </w:p>
        </w:tc>
      </w:tr>
      <w:tr>
        <w:trPr>
          <w:trHeight w:val="580"/>
        </w:trPr>
        <w:tc>
          <w:tcPr>
            <w:tcW w:w="9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SECOND AMENDMENT TO LEASE</w:t>
      </w:r>
    </w:p>
    <w:p>
      <w:pPr>
        <w:spacing w:after="0" w:line="233" w:lineRule="exact"/>
        <w:rPr>
          <w:sz w:val="20"/>
          <w:szCs w:val="20"/>
          <w:color w:val="auto"/>
        </w:rPr>
      </w:pPr>
    </w:p>
    <w:p>
      <w:pPr>
        <w:jc w:val="both"/>
        <w:ind w:right="120"/>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LEASE</w:t>
      </w:r>
      <w:r>
        <w:rPr>
          <w:rFonts w:ascii="Arial" w:cs="Arial" w:eastAsia="Arial" w:hAnsi="Arial"/>
          <w:sz w:val="22"/>
          <w:szCs w:val="22"/>
          <w:color w:val="auto"/>
        </w:rPr>
        <w:t xml:space="preserve"> (the “</w:t>
      </w:r>
      <w:r>
        <w:rPr>
          <w:rFonts w:ascii="Arial" w:cs="Arial" w:eastAsia="Arial" w:hAnsi="Arial"/>
          <w:sz w:val="22"/>
          <w:szCs w:val="22"/>
          <w:b w:val="1"/>
          <w:bCs w:val="1"/>
          <w:color w:val="auto"/>
        </w:rPr>
        <w:t>Amendment</w:t>
      </w:r>
      <w:r>
        <w:rPr>
          <w:rFonts w:ascii="Arial" w:cs="Arial" w:eastAsia="Arial" w:hAnsi="Arial"/>
          <w:sz w:val="22"/>
          <w:szCs w:val="22"/>
          <w:color w:val="auto"/>
        </w:rPr>
        <w:t>”) dated this 28 day of September, 2020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is made by and between</w:t>
      </w:r>
      <w:r>
        <w:rPr>
          <w:rFonts w:ascii="Arial" w:cs="Arial" w:eastAsia="Arial" w:hAnsi="Arial"/>
          <w:sz w:val="22"/>
          <w:szCs w:val="22"/>
          <w:b w:val="1"/>
          <w:bCs w:val="1"/>
          <w:color w:val="auto"/>
        </w:rPr>
        <w:t xml:space="preserve"> TWO CANAL PARK MASSACHUSETTS</w:t>
      </w:r>
      <w:r>
        <w:rPr>
          <w:rFonts w:ascii="Arial" w:cs="Arial" w:eastAsia="Arial" w:hAnsi="Arial"/>
          <w:sz w:val="22"/>
          <w:szCs w:val="22"/>
          <w:color w:val="auto"/>
        </w:rPr>
        <w:t>,</w:t>
      </w:r>
      <w:r>
        <w:rPr>
          <w:rFonts w:ascii="Arial" w:cs="Arial" w:eastAsia="Arial" w:hAnsi="Arial"/>
          <w:sz w:val="22"/>
          <w:szCs w:val="22"/>
          <w:b w:val="1"/>
          <w:bCs w:val="1"/>
          <w:color w:val="auto"/>
        </w:rPr>
        <w:t xml:space="preserve"> LLC</w:t>
      </w:r>
      <w:r>
        <w:rPr>
          <w:rFonts w:ascii="Arial" w:cs="Arial" w:eastAsia="Arial" w:hAnsi="Arial"/>
          <w:sz w:val="22"/>
          <w:szCs w:val="22"/>
          <w:color w:val="auto"/>
        </w:rPr>
        <w:t>, a Delaware limited liability company,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successor-in-interest to </w:t>
      </w:r>
      <w:r>
        <w:rPr>
          <w:rFonts w:ascii="Arial" w:cs="Arial" w:eastAsia="Arial" w:hAnsi="Arial"/>
          <w:sz w:val="22"/>
          <w:szCs w:val="22"/>
          <w:b w:val="1"/>
          <w:bCs w:val="1"/>
          <w:color w:val="auto"/>
        </w:rPr>
        <w:t>BCSP CAMBRIDGE TWO PROPERTY, LLC</w:t>
      </w:r>
      <w:r>
        <w:rPr>
          <w:rFonts w:ascii="Arial" w:cs="Arial" w:eastAsia="Arial" w:hAnsi="Arial"/>
          <w:sz w:val="22"/>
          <w:szCs w:val="22"/>
          <w:color w:val="auto"/>
        </w:rPr>
        <w:t>, a Delaware limited liability company (the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CARGURUS, INC</w:t>
      </w:r>
      <w:r>
        <w:rPr>
          <w:rFonts w:ascii="Arial" w:cs="Arial" w:eastAsia="Arial" w:hAnsi="Arial"/>
          <w:sz w:val="22"/>
          <w:szCs w:val="22"/>
          <w:color w:val="auto"/>
        </w:rPr>
        <w:t>., a Delaware corporation (the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860" w:hanging="852"/>
        <w:spacing w:after="0"/>
        <w:tabs>
          <w:tab w:leader="none" w:pos="8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WHEREAS, Landlord and Tenant entered into that certain Lease dated October 8, 2014 as amended by First</w:t>
      </w:r>
    </w:p>
    <w:p>
      <w:pPr>
        <w:spacing w:after="0" w:line="19" w:lineRule="exact"/>
        <w:rPr>
          <w:rFonts w:ascii="Arial" w:cs="Arial" w:eastAsia="Arial" w:hAnsi="Arial"/>
          <w:sz w:val="21"/>
          <w:szCs w:val="21"/>
          <w:color w:val="auto"/>
        </w:rPr>
      </w:pPr>
    </w:p>
    <w:p>
      <w:pPr>
        <w:jc w:val="both"/>
        <w:ind w:right="140"/>
        <w:spacing w:after="0" w:line="234" w:lineRule="auto"/>
        <w:rPr>
          <w:rFonts w:ascii="Arial" w:cs="Arial" w:eastAsia="Arial" w:hAnsi="Arial"/>
          <w:sz w:val="21"/>
          <w:szCs w:val="21"/>
          <w:color w:val="auto"/>
        </w:rPr>
      </w:pPr>
      <w:r>
        <w:rPr>
          <w:rFonts w:ascii="Arial" w:cs="Arial" w:eastAsia="Arial" w:hAnsi="Arial"/>
          <w:sz w:val="22"/>
          <w:szCs w:val="22"/>
          <w:color w:val="auto"/>
        </w:rPr>
        <w:t>Amendment dated October 27, 2015 (collectively, the “</w:t>
      </w:r>
      <w:r>
        <w:rPr>
          <w:rFonts w:ascii="Arial" w:cs="Arial" w:eastAsia="Arial" w:hAnsi="Arial"/>
          <w:sz w:val="22"/>
          <w:szCs w:val="22"/>
          <w:b w:val="1"/>
          <w:bCs w:val="1"/>
          <w:color w:val="auto"/>
        </w:rPr>
        <w:t>Lease</w:t>
      </w:r>
      <w:r>
        <w:rPr>
          <w:rFonts w:ascii="Arial" w:cs="Arial" w:eastAsia="Arial" w:hAnsi="Arial"/>
          <w:sz w:val="22"/>
          <w:szCs w:val="22"/>
          <w:color w:val="auto"/>
        </w:rPr>
        <w:t>”) pursuant to which Tenant leases approximately 48,059 rentable square feet on the fourth (4th) floor (the “</w:t>
      </w:r>
      <w:r>
        <w:rPr>
          <w:rFonts w:ascii="Arial" w:cs="Arial" w:eastAsia="Arial" w:hAnsi="Arial"/>
          <w:sz w:val="22"/>
          <w:szCs w:val="22"/>
          <w:b w:val="1"/>
          <w:bCs w:val="1"/>
          <w:color w:val="auto"/>
        </w:rPr>
        <w:t>Premises</w:t>
      </w:r>
      <w:r>
        <w:rPr>
          <w:rFonts w:ascii="Arial" w:cs="Arial" w:eastAsia="Arial" w:hAnsi="Arial"/>
          <w:sz w:val="22"/>
          <w:szCs w:val="22"/>
          <w:color w:val="auto"/>
        </w:rPr>
        <w:t>”) of the building located at Two Canal Park, Cambridge, Massachusetts (the “</w:t>
      </w:r>
      <w:r>
        <w:rPr>
          <w:rFonts w:ascii="Arial" w:cs="Arial" w:eastAsia="Arial" w:hAnsi="Arial"/>
          <w:sz w:val="22"/>
          <w:szCs w:val="22"/>
          <w:b w:val="1"/>
          <w:bCs w:val="1"/>
          <w:color w:val="auto"/>
        </w:rPr>
        <w:t>Building</w:t>
      </w:r>
      <w:r>
        <w:rPr>
          <w:rFonts w:ascii="Arial" w:cs="Arial" w:eastAsia="Arial" w:hAnsi="Arial"/>
          <w:sz w:val="22"/>
          <w:szCs w:val="22"/>
          <w:color w:val="auto"/>
        </w:rPr>
        <w:t>”); and</w:t>
      </w:r>
    </w:p>
    <w:p>
      <w:pPr>
        <w:spacing w:after="0" w:line="214" w:lineRule="exact"/>
        <w:rPr>
          <w:rFonts w:ascii="Arial" w:cs="Arial" w:eastAsia="Arial" w:hAnsi="Arial"/>
          <w:sz w:val="21"/>
          <w:szCs w:val="21"/>
          <w:color w:val="auto"/>
        </w:rPr>
      </w:pPr>
    </w:p>
    <w:p>
      <w:pPr>
        <w:ind w:right="260" w:firstLine="7"/>
        <w:spacing w:after="0" w:line="238" w:lineRule="auto"/>
        <w:tabs>
          <w:tab w:leader="none" w:pos="8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WHEREAS, in light of the current circumstances with respect to the Coronavirus pandemic outbreak occurring in or about March 2020 (“</w:t>
      </w:r>
      <w:r>
        <w:rPr>
          <w:rFonts w:ascii="Arial" w:cs="Arial" w:eastAsia="Arial" w:hAnsi="Arial"/>
          <w:sz w:val="22"/>
          <w:szCs w:val="22"/>
          <w:b w:val="1"/>
          <w:bCs w:val="1"/>
          <w:color w:val="auto"/>
        </w:rPr>
        <w:t>Covid-19</w:t>
      </w:r>
      <w:r>
        <w:rPr>
          <w:rFonts w:ascii="Arial" w:cs="Arial" w:eastAsia="Arial" w:hAnsi="Arial"/>
          <w:sz w:val="22"/>
          <w:szCs w:val="22"/>
          <w:color w:val="auto"/>
        </w:rPr>
        <w:t>”) that has had a material impact on Tenant’s business relating to the Premises, Tenant seeks adjustment from Landlord with respect to its obligations under the Lease and Landlord agrees to amend the Lease on the terms and conditions set forth herein.</w:t>
      </w: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NOW THEREFORE, in consideration of the promises contained herein and other good and valuable consideration, the receipt of which is hereby acknowledged, the parties agree as follows:</w:t>
      </w:r>
    </w:p>
    <w:p>
      <w:pPr>
        <w:spacing w:after="0" w:line="202"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Recitals.</w:t>
      </w:r>
      <w:r>
        <w:rPr>
          <w:rFonts w:ascii="Arial" w:cs="Arial" w:eastAsia="Arial" w:hAnsi="Arial"/>
          <w:sz w:val="19"/>
          <w:szCs w:val="19"/>
          <w:color w:val="auto"/>
        </w:rPr>
        <w:t xml:space="preserve"> The recitals set forth above are incorporated herein and made a part of this Amendment as if set forth herein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full.</w:t>
      </w:r>
    </w:p>
    <w:p>
      <w:pPr>
        <w:spacing w:after="0" w:line="215" w:lineRule="exact"/>
        <w:rPr>
          <w:rFonts w:ascii="Arial" w:cs="Arial" w:eastAsia="Arial" w:hAnsi="Arial"/>
          <w:sz w:val="19"/>
          <w:szCs w:val="19"/>
          <w:color w:val="auto"/>
        </w:rPr>
      </w:pPr>
    </w:p>
    <w:p>
      <w:pPr>
        <w:ind w:right="340" w:firstLine="8"/>
        <w:spacing w:after="0" w:line="250" w:lineRule="auto"/>
        <w:tabs>
          <w:tab w:leader="none" w:pos="81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Tenant Representation</w:t>
      </w:r>
      <w:r>
        <w:rPr>
          <w:rFonts w:ascii="Arial" w:cs="Arial" w:eastAsia="Arial" w:hAnsi="Arial"/>
          <w:sz w:val="22"/>
          <w:szCs w:val="22"/>
          <w:color w:val="auto"/>
        </w:rPr>
        <w:t>. Tenant hereby represents that its business income has been materially reduced as a result of Covid-19.</w:t>
      </w:r>
    </w:p>
    <w:p>
      <w:pPr>
        <w:spacing w:after="0" w:line="201" w:lineRule="exact"/>
        <w:rPr>
          <w:rFonts w:ascii="Arial" w:cs="Arial" w:eastAsia="Arial" w:hAnsi="Arial"/>
          <w:sz w:val="22"/>
          <w:szCs w:val="22"/>
          <w:color w:val="auto"/>
        </w:rPr>
      </w:pPr>
    </w:p>
    <w:p>
      <w:pPr>
        <w:ind w:right="140" w:firstLine="7"/>
        <w:spacing w:after="0" w:line="245" w:lineRule="auto"/>
        <w:tabs>
          <w:tab w:leader="none" w:pos="81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Abatement of Parking Charges</w:t>
      </w:r>
      <w:r>
        <w:rPr>
          <w:rFonts w:ascii="Arial" w:cs="Arial" w:eastAsia="Arial" w:hAnsi="Arial"/>
          <w:sz w:val="21"/>
          <w:szCs w:val="21"/>
          <w:color w:val="auto"/>
        </w:rPr>
        <w:t>. Provided Tenant is not then in default in the observance and performance of any of the terms, covenants and conditions of this Lease, the total parking charges set forth in Section 29.12(b) of the Lease that are due with respect to the Premises shall be abated for the period commencing on September 1, 2020 and ending on December 31, 2020 (the “</w:t>
      </w:r>
      <w:r>
        <w:rPr>
          <w:rFonts w:ascii="Arial" w:cs="Arial" w:eastAsia="Arial" w:hAnsi="Arial"/>
          <w:sz w:val="21"/>
          <w:szCs w:val="21"/>
          <w:b w:val="1"/>
          <w:bCs w:val="1"/>
          <w:color w:val="auto"/>
        </w:rPr>
        <w:t>Adjustment Period</w:t>
      </w:r>
      <w:r>
        <w:rPr>
          <w:rFonts w:ascii="Arial" w:cs="Arial" w:eastAsia="Arial" w:hAnsi="Arial"/>
          <w:sz w:val="21"/>
          <w:szCs w:val="21"/>
          <w:color w:val="auto"/>
        </w:rPr>
        <w:t>”) during which the total parking charges shall be reduced by one hundred percent (100%) (the “</w:t>
      </w:r>
      <w:r>
        <w:rPr>
          <w:rFonts w:ascii="Arial" w:cs="Arial" w:eastAsia="Arial" w:hAnsi="Arial"/>
          <w:sz w:val="21"/>
          <w:szCs w:val="21"/>
          <w:b w:val="1"/>
          <w:bCs w:val="1"/>
          <w:color w:val="auto"/>
        </w:rPr>
        <w:t>Adjusted Rent</w:t>
      </w:r>
      <w:r>
        <w:rPr>
          <w:rFonts w:ascii="Arial" w:cs="Arial" w:eastAsia="Arial" w:hAnsi="Arial"/>
          <w:sz w:val="21"/>
          <w:szCs w:val="21"/>
          <w:color w:val="auto"/>
        </w:rPr>
        <w:t>”); provided, however that Tenant shall comply with all of the other terms, covenants and conditions of the Lease, including but not limited to Tenant’s continued payment of one hundred percent (100%) of all other obligations owed to Landlord under the Lease, including but not limited to Yearly Rent, Operating Costs, Taxes, utilities, rent and any other amounts due under the Lease, in accordance with terms and conditions of the Lease. For purposes of confirmation herein, the total Adjusted Rent is $30,400.00.</w:t>
      </w:r>
    </w:p>
    <w:p>
      <w:pPr>
        <w:spacing w:after="0" w:line="200" w:lineRule="exact"/>
        <w:rPr>
          <w:sz w:val="20"/>
          <w:szCs w:val="20"/>
          <w:color w:val="auto"/>
        </w:rPr>
      </w:pPr>
    </w:p>
    <w:p>
      <w:pPr>
        <w:spacing w:after="0" w:line="22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75565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60" w:top="342" w:right="339" w:bottom="1440" w:gutter="0" w:footer="0" w:header="0"/>
        </w:sectPr>
      </w:pPr>
    </w:p>
    <w:bookmarkStart w:id="66" w:name="page67"/>
    <w:bookmarkEnd w:id="66"/>
    <w:p>
      <w:pPr>
        <w:ind w:right="140" w:firstLine="8"/>
        <w:spacing w:after="0" w:line="250" w:lineRule="auto"/>
        <w:tabs>
          <w:tab w:leader="none" w:pos="81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Pursuant to Article 27 of the Lease, the parties agree that Tenant’s notice address for all purposes is hereby amended as follows:</w:t>
      </w:r>
    </w:p>
    <w:p>
      <w:pPr>
        <w:sectPr>
          <w:pgSz w:w="11900" w:h="16838" w:orient="portrait"/>
          <w:cols w:equalWidth="0" w:num="1">
            <w:col w:w="10940"/>
          </w:cols>
          <w:pgMar w:left="460" w:top="510" w:right="499" w:bottom="1440" w:gutter="0" w:footer="0" w:header="0"/>
        </w:sectPr>
      </w:pPr>
    </w:p>
    <w:p>
      <w:pPr>
        <w:spacing w:after="0" w:line="202"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If to Tenant: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CarGurus, Inc. 2</w:t>
      </w:r>
    </w:p>
    <w:p>
      <w:pPr>
        <w:spacing w:after="0" w:line="238" w:lineRule="auto"/>
        <w:rPr>
          <w:sz w:val="20"/>
          <w:szCs w:val="20"/>
          <w:color w:val="auto"/>
        </w:rPr>
      </w:pPr>
      <w:r>
        <w:rPr>
          <w:rFonts w:ascii="Arial" w:cs="Arial" w:eastAsia="Arial" w:hAnsi="Arial"/>
          <w:sz w:val="22"/>
          <w:szCs w:val="22"/>
          <w:color w:val="auto"/>
        </w:rPr>
        <w:t>Canal Park</w:t>
      </w:r>
    </w:p>
    <w:p>
      <w:pPr>
        <w:spacing w:after="0" w:line="230" w:lineRule="auto"/>
        <w:rPr>
          <w:sz w:val="20"/>
          <w:szCs w:val="20"/>
          <w:color w:val="auto"/>
        </w:rPr>
      </w:pPr>
      <w:r>
        <w:rPr>
          <w:rFonts w:ascii="Arial" w:cs="Arial" w:eastAsia="Arial" w:hAnsi="Arial"/>
          <w:sz w:val="22"/>
          <w:szCs w:val="22"/>
          <w:color w:val="auto"/>
        </w:rPr>
        <w:t>Cambridge, MA 02141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Vice President, Finance and Accounting</w:t>
      </w:r>
    </w:p>
    <w:p>
      <w:pPr>
        <w:spacing w:after="0" w:line="200" w:lineRule="exact"/>
        <w:rPr>
          <w:sz w:val="20"/>
          <w:szCs w:val="20"/>
          <w:color w:val="auto"/>
        </w:rPr>
      </w:pPr>
    </w:p>
    <w:p>
      <w:pPr>
        <w:sectPr>
          <w:pgSz w:w="11900" w:h="16838" w:orient="portrait"/>
          <w:cols w:equalWidth="0" w:num="2">
            <w:col w:w="3500" w:space="720"/>
            <w:col w:w="6720"/>
          </w:cols>
          <w:pgMar w:left="460" w:top="510" w:right="499" w:bottom="1440" w:gutter="0" w:footer="0" w:header="0"/>
          <w:type w:val="continuous"/>
        </w:sectPr>
      </w:pPr>
    </w:p>
    <w:p>
      <w:pPr>
        <w:spacing w:after="0" w:line="50"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CarGurus, Inc.</w:t>
      </w:r>
    </w:p>
    <w:p>
      <w:pPr>
        <w:ind w:left="560"/>
        <w:spacing w:after="0" w:line="238" w:lineRule="auto"/>
        <w:rPr>
          <w:sz w:val="20"/>
          <w:szCs w:val="20"/>
          <w:color w:val="auto"/>
        </w:rPr>
      </w:pPr>
      <w:r>
        <w:rPr>
          <w:rFonts w:ascii="Arial" w:cs="Arial" w:eastAsia="Arial" w:hAnsi="Arial"/>
          <w:sz w:val="22"/>
          <w:szCs w:val="22"/>
          <w:color w:val="auto"/>
        </w:rPr>
        <w:t>2 Canal Park</w:t>
      </w:r>
    </w:p>
    <w:p>
      <w:pPr>
        <w:ind w:left="560"/>
        <w:spacing w:after="0"/>
        <w:rPr>
          <w:sz w:val="20"/>
          <w:szCs w:val="20"/>
          <w:color w:val="auto"/>
        </w:rPr>
      </w:pPr>
      <w:r>
        <w:rPr>
          <w:rFonts w:ascii="Arial" w:cs="Arial" w:eastAsia="Arial" w:hAnsi="Arial"/>
          <w:sz w:val="19"/>
          <w:szCs w:val="19"/>
          <w:color w:val="auto"/>
        </w:rPr>
        <w:t>Cambridge, MA 02141 Attention:</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ectPr>
          <w:pgSz w:w="11900" w:h="16838" w:orient="portrait"/>
          <w:cols w:equalWidth="0" w:num="2">
            <w:col w:w="3020" w:space="640"/>
            <w:col w:w="7280"/>
          </w:cols>
          <w:pgMar w:left="460" w:top="510" w:right="499" w:bottom="1440" w:gutter="0" w:footer="0" w:header="0"/>
          <w:type w:val="continuous"/>
        </w:sectPr>
      </w:pPr>
    </w:p>
    <w:p>
      <w:pPr>
        <w:spacing w:after="0" w:line="15" w:lineRule="exact"/>
        <w:rPr>
          <w:sz w:val="20"/>
          <w:szCs w:val="20"/>
          <w:color w:val="auto"/>
        </w:rPr>
      </w:pPr>
    </w:p>
    <w:p>
      <w:pPr>
        <w:ind w:firstLine="8"/>
        <w:spacing w:after="0" w:line="250" w:lineRule="auto"/>
        <w:tabs>
          <w:tab w:leader="none" w:pos="81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Confirmation of Lease.</w:t>
      </w:r>
      <w:r>
        <w:rPr>
          <w:rFonts w:ascii="Arial" w:cs="Arial" w:eastAsia="Arial" w:hAnsi="Arial"/>
          <w:sz w:val="22"/>
          <w:szCs w:val="22"/>
          <w:color w:val="auto"/>
        </w:rPr>
        <w:t xml:space="preserve"> Except as amended by this Amendment, all terms and provisions of the Lease shall remain in full force and effect.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Landlord and Tenant have caused this Amendment to be executed as of the Effective Date.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TWO CANAL PARK MASSACHUSETTS,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b w:val="1"/>
          <w:bCs w:val="1"/>
          <w:color w:val="auto"/>
        </w:rPr>
        <w:t>BAY STATE REIT, LLC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 Delaware limited liability company, its Manager</w:t>
      </w:r>
    </w:p>
    <w:p>
      <w:pPr>
        <w:spacing w:after="0" w:line="20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b w:val="1"/>
          <w:bCs w:val="1"/>
          <w:color w:val="auto"/>
        </w:rPr>
        <w:t>U.S. REAL ESTATE INVESTMENT FUND REIT, INC.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 Delaware corporation, its Manager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Taranto</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720" w:type="dxa"/>
            <w:vAlign w:val="bottom"/>
          </w:tcPr>
          <w:p>
            <w:pPr>
              <w:spacing w:after="0" w:line="216" w:lineRule="exact"/>
              <w:rPr>
                <w:sz w:val="20"/>
                <w:szCs w:val="20"/>
                <w:color w:val="auto"/>
              </w:rPr>
            </w:pPr>
            <w:r>
              <w:rPr>
                <w:rFonts w:ascii="Arial" w:cs="Arial" w:eastAsia="Arial" w:hAnsi="Arial"/>
                <w:sz w:val="22"/>
                <w:szCs w:val="22"/>
                <w:color w:val="auto"/>
              </w:rPr>
              <w:t>Thomas Taranto</w:t>
            </w: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2720" w:type="dxa"/>
            <w:vAlign w:val="bottom"/>
          </w:tcPr>
          <w:p>
            <w:pPr>
              <w:spacing w:after="0"/>
              <w:rPr>
                <w:sz w:val="20"/>
                <w:szCs w:val="20"/>
                <w:color w:val="auto"/>
              </w:rPr>
            </w:pPr>
            <w:r>
              <w:rPr>
                <w:rFonts w:ascii="Arial" w:cs="Arial" w:eastAsia="Arial" w:hAnsi="Arial"/>
                <w:sz w:val="22"/>
                <w:szCs w:val="22"/>
                <w:color w:val="auto"/>
              </w:rPr>
              <w:t>Vice President</w:t>
            </w:r>
          </w:p>
        </w:tc>
      </w:tr>
      <w:tr>
        <w:trPr>
          <w:trHeight w:val="459"/>
        </w:trPr>
        <w:tc>
          <w:tcPr>
            <w:tcW w:w="1060" w:type="dxa"/>
            <w:vAlign w:val="bottom"/>
          </w:tcPr>
          <w:p>
            <w:pPr>
              <w:spacing w:after="0"/>
              <w:rPr>
                <w:sz w:val="20"/>
                <w:szCs w:val="20"/>
                <w:color w:val="auto"/>
              </w:rPr>
            </w:pPr>
            <w:r>
              <w:rPr>
                <w:rFonts w:ascii="Arial" w:cs="Arial" w:eastAsia="Arial" w:hAnsi="Arial"/>
                <w:sz w:val="22"/>
                <w:szCs w:val="22"/>
                <w:b w:val="1"/>
                <w:bCs w:val="1"/>
                <w:color w:val="auto"/>
              </w:rPr>
              <w:t>TENANT:</w:t>
            </w:r>
          </w:p>
        </w:tc>
        <w:tc>
          <w:tcPr>
            <w:tcW w:w="2720" w:type="dxa"/>
            <w:vAlign w:val="bottom"/>
          </w:tcPr>
          <w:p>
            <w:pPr>
              <w:spacing w:after="0"/>
              <w:rPr>
                <w:sz w:val="24"/>
                <w:szCs w:val="24"/>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CARGURUS, INC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Yann Gellot</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720" w:type="dxa"/>
            <w:vAlign w:val="bottom"/>
          </w:tcPr>
          <w:p>
            <w:pPr>
              <w:ind w:left="20"/>
              <w:spacing w:after="0" w:line="216" w:lineRule="exact"/>
              <w:rPr>
                <w:sz w:val="20"/>
                <w:szCs w:val="20"/>
                <w:color w:val="auto"/>
              </w:rPr>
            </w:pPr>
            <w:r>
              <w:rPr>
                <w:rFonts w:ascii="Arial" w:cs="Arial" w:eastAsia="Arial" w:hAnsi="Arial"/>
                <w:sz w:val="22"/>
                <w:szCs w:val="22"/>
                <w:color w:val="auto"/>
              </w:rPr>
              <w:t>Yann Gellot</w:t>
            </w: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2720" w:type="dxa"/>
            <w:vAlign w:val="bottom"/>
          </w:tcPr>
          <w:p>
            <w:pPr>
              <w:ind w:left="20"/>
              <w:spacing w:after="0"/>
              <w:rPr>
                <w:sz w:val="20"/>
                <w:szCs w:val="20"/>
                <w:color w:val="auto"/>
              </w:rPr>
            </w:pPr>
            <w:r>
              <w:rPr>
                <w:rFonts w:ascii="Arial" w:cs="Arial" w:eastAsia="Arial" w:hAnsi="Arial"/>
                <w:sz w:val="22"/>
                <w:szCs w:val="22"/>
                <w:color w:val="auto"/>
              </w:rPr>
              <w:t>VP Finance &amp; Accounting</w:t>
            </w:r>
          </w:p>
        </w:tc>
      </w:tr>
    </w:tbl>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40"/>
          </w:cols>
          <w:pgMar w:left="460" w:top="510" w:right="49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2020</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Langley Steinert</w:t>
            </w:r>
          </w:p>
        </w:tc>
      </w:tr>
      <w:tr>
        <w:trPr>
          <w:trHeight w:val="222"/>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2020</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Jason Trevisan</w:t>
            </w:r>
          </w:p>
        </w:tc>
      </w:tr>
      <w:tr>
        <w:trPr>
          <w:trHeight w:val="222"/>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2020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2020</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Langley Steinert</w:t>
            </w:r>
          </w:p>
        </w:tc>
      </w:tr>
      <w:tr>
        <w:trPr>
          <w:trHeight w:val="222"/>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In connection with the Quarterly Report on Form 10-Q of CarGurus, Inc. (the “Company”) for the period ending September 30, 2020 as filed with the Securities and Exchange Commission on the date hereof (the “Report”), I, Jason Trevisan, Chief Financial Officer and President, International of the Company, certify, pursuant to 18 U.S.C. § 1350, as adopted pursuant to § 906 of the Sarbanes-Oxley Act of 2002, that, based on my knowledge:</w:t>
      </w:r>
    </w:p>
    <w:p>
      <w:pPr>
        <w:spacing w:after="0" w:line="149"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2020</w:t>
            </w: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By: /s/ Jason Trevisan</w:t>
            </w:r>
          </w:p>
        </w:tc>
      </w:tr>
      <w:tr>
        <w:trPr>
          <w:trHeight w:val="222"/>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4"/>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2020-11-05T16:41:01Z</dcterms:created>
  <dcterms:modified xsi:type="dcterms:W3CDTF">2020-11-05T16:41:01Z</dcterms:modified>
</cp:coreProperties>
</file>