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22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8"/>
        </w:trPr>
        <w:tc>
          <w:tcPr>
            <w:tcW w:w="6220" w:type="dxa"/>
            <w:vAlign w:val="bottom"/>
            <w:gridSpan w:val="3"/>
          </w:tcPr>
          <w:p>
            <w:pPr>
              <w:jc w:val="center"/>
              <w:ind w:right="38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gridSpan w:val="3"/>
          </w:tcPr>
          <w:p>
            <w:pPr>
              <w:jc w:val="center"/>
              <w:ind w:right="382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622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93"/>
              </w:rPr>
              <w:t>2 Canal Park, 4th Floor</w:t>
            </w:r>
          </w:p>
        </w:tc>
        <w:tc>
          <w:tcPr>
            <w:tcW w:w="1160" w:type="dxa"/>
            <w:vAlign w:val="bottom"/>
          </w:tcPr>
          <w:p>
            <w:pPr>
              <w:spacing w:after="0"/>
              <w:rPr>
                <w:sz w:val="24"/>
                <w:szCs w:val="24"/>
                <w:color w:val="auto"/>
              </w:rPr>
            </w:pPr>
          </w:p>
        </w:tc>
      </w:tr>
      <w:tr>
        <w:trPr>
          <w:trHeight w:val="212"/>
        </w:trPr>
        <w:tc>
          <w:tcPr>
            <w:tcW w:w="622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9"/>
              </w:rPr>
              <w:t>Cambridge, Massachusetts</w:t>
            </w:r>
          </w:p>
        </w:tc>
        <w:tc>
          <w:tcPr>
            <w:tcW w:w="11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6220" w:type="dxa"/>
            <w:vAlign w:val="bottom"/>
            <w:gridSpan w:val="3"/>
          </w:tcPr>
          <w:p>
            <w:pPr>
              <w:jc w:val="center"/>
              <w:ind w:right="3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6"/>
        </w:trPr>
        <w:tc>
          <w:tcPr>
            <w:tcW w:w="6220" w:type="dxa"/>
            <w:vAlign w:val="bottom"/>
            <w:gridSpan w:val="3"/>
          </w:tcPr>
          <w:p>
            <w:pPr>
              <w:ind w:left="1800"/>
              <w:spacing w:after="0"/>
              <w:rPr>
                <w:sz w:val="20"/>
                <w:szCs w:val="20"/>
                <w:color w:val="auto"/>
              </w:rPr>
            </w:pPr>
            <w:r>
              <w:rPr>
                <w:rFonts w:ascii="Arial" w:cs="Arial" w:eastAsia="Arial" w:hAnsi="Arial"/>
                <w:sz w:val="15"/>
                <w:szCs w:val="15"/>
                <w:b w:val="1"/>
                <w:bCs w:val="1"/>
                <w:color w:val="auto"/>
                <w:w w:val="91"/>
              </w:rPr>
              <w:t>Registrant’s telephone number, including area code: (617) 354-0068</w:t>
            </w:r>
          </w:p>
        </w:tc>
        <w:tc>
          <w:tcPr>
            <w:tcW w:w="1160" w:type="dxa"/>
            <w:vAlign w:val="bottom"/>
          </w:tcPr>
          <w:p>
            <w:pPr>
              <w:spacing w:after="0"/>
              <w:rPr>
                <w:sz w:val="17"/>
                <w:szCs w:val="17"/>
                <w:color w:val="auto"/>
              </w:rPr>
            </w:pPr>
          </w:p>
        </w:tc>
      </w:tr>
      <w:tr>
        <w:trPr>
          <w:trHeight w:val="22"/>
        </w:trPr>
        <w:tc>
          <w:tcPr>
            <w:tcW w:w="28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63"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 w:lineRule="exact"/>
        <w:rPr>
          <w:sz w:val="24"/>
          <w:szCs w:val="24"/>
          <w:color w:val="auto"/>
        </w:rPr>
      </w:pPr>
    </w:p>
    <w:tbl>
      <w:tblPr>
        <w:tblLayout w:type="fixed"/>
        <w:tblInd w:w="700" w:type="dxa"/>
        <w:tblCellMar>
          <w:top w:w="0" w:type="dxa"/>
          <w:left w:w="0" w:type="dxa"/>
          <w:bottom w:w="0" w:type="dxa"/>
          <w:right w:w="0" w:type="dxa"/>
        </w:tblCellMar>
      </w:tblPr>
      <w:tr>
        <w:trPr>
          <w:trHeight w:val="172"/>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82"/>
              </w:rPr>
              <w:t>Class A Common</w:t>
            </w:r>
          </w:p>
        </w:tc>
        <w:tc>
          <w:tcPr>
            <w:tcW w:w="12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Title of Each Class</w:t>
            </w:r>
          </w:p>
        </w:tc>
        <w:tc>
          <w:tcPr>
            <w:tcW w:w="2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Trading Symbol</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0"/>
              </w:rPr>
              <w:t>Name of Exchange on Which Registered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vMerge w:val="continue"/>
          </w:tcPr>
          <w:p>
            <w:pPr>
              <w:spacing w:after="0"/>
              <w:rPr>
                <w:sz w:val="15"/>
                <w:szCs w:val="15"/>
                <w:color w:val="auto"/>
              </w:rPr>
            </w:pPr>
          </w:p>
        </w:tc>
        <w:tc>
          <w:tcPr>
            <w:tcW w:w="34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par value $0.001 per share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CARG</w:t>
            </w:r>
          </w:p>
        </w:tc>
        <w:tc>
          <w:tcPr>
            <w:tcW w:w="440" w:type="dxa"/>
            <w:vAlign w:val="bottom"/>
          </w:tcPr>
          <w:p>
            <w:pPr>
              <w:spacing w:after="0"/>
              <w:rPr>
                <w:sz w:val="15"/>
                <w:szCs w:val="15"/>
                <w:color w:val="auto"/>
              </w:rPr>
            </w:pPr>
          </w:p>
        </w:tc>
        <w:tc>
          <w:tcPr>
            <w:tcW w:w="434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The Nasdaq Stock Market LLC (Nasdaq Global Select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6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ind w:right="38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ind w:right="24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Small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524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520"/>
        <w:spacing w:after="0" w:line="196" w:lineRule="exact"/>
        <w:tabs>
          <w:tab w:leader="none" w:pos="842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24" w:lineRule="exact"/>
        <w:rPr>
          <w:sz w:val="24"/>
          <w:szCs w:val="24"/>
          <w:color w:val="auto"/>
        </w:rPr>
      </w:pPr>
    </w:p>
    <w:p>
      <w:pPr>
        <w:ind w:right="20" w:firstLine="510"/>
        <w:spacing w:after="0" w:line="286" w:lineRule="auto"/>
        <w:rPr>
          <w:sz w:val="20"/>
          <w:szCs w:val="20"/>
          <w:color w:val="auto"/>
        </w:rPr>
      </w:pPr>
      <w:r>
        <w:rPr>
          <w:rFonts w:ascii="Arial" w:cs="Arial" w:eastAsia="Arial" w:hAnsi="Arial"/>
          <w:sz w:val="17"/>
          <w:szCs w:val="17"/>
          <w:color w:val="auto"/>
        </w:rPr>
        <w:t>As of July 30, 2020, the registrant had 93,000,322 shares of Class A common stock, $0.001 par value per share, and 19,975,155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vMerge w:val="restart"/>
          </w:tcPr>
          <w:p>
            <w:pPr>
              <w:ind w:left="2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80" w:type="dxa"/>
            <w:vAlign w:val="bottom"/>
            <w:vMerge w:val="continue"/>
          </w:tcPr>
          <w:p>
            <w:pPr>
              <w:spacing w:after="0"/>
              <w:rPr>
                <w:sz w:val="19"/>
                <w:szCs w:val="19"/>
                <w:color w:val="auto"/>
              </w:rPr>
            </w:pPr>
          </w:p>
        </w:tc>
        <w:tc>
          <w:tcPr>
            <w:tcW w:w="96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Income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Stockholders’ Equity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Condensed Consolidated Statements of Cash Flows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2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2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2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tcPr>
          <w:p>
            <w:pPr>
              <w:ind w:left="22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2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tcPr>
          <w:p>
            <w:pPr>
              <w:ind w:left="2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2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4"/>
        </w:trPr>
        <w:tc>
          <w:tcPr>
            <w:tcW w:w="98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9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succeed internationally;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global supply chain challenges, changes to trade policies and other macroeconomic issues;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with respect to availing ourselves of net operating loss, or NOL, carryback provisions under the CARES Act, and the corresponding impact on the valuation allowance for our NOLs and deferred federal research and development credit;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cost savings and achieve other benefits for our business from our expense reduction efforts, the impact of such reductions on our business and the timing of payments associated with such efforts;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our enterprise-system upgrade and overhaul of our data architecture to yield improved efficiency in sales account management;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outlook for our Restricted Listings product and temporary suspended activity program in Canada;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billings relief for customers;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225"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189" w:lineRule="exact"/>
        <w:rPr>
          <w:sz w:val="20"/>
          <w:szCs w:val="20"/>
          <w:color w:val="auto"/>
        </w:rPr>
      </w:pPr>
    </w:p>
    <w:p>
      <w:pPr>
        <w:jc w:val="both"/>
        <w:ind w:firstLine="510"/>
        <w:spacing w:after="0" w:line="194"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At</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38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Current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Cash and cash equivalents</w:t>
            </w:r>
          </w:p>
        </w:tc>
        <w:tc>
          <w:tcPr>
            <w:tcW w:w="1640" w:type="dxa"/>
            <w:vAlign w:val="bottom"/>
            <w:gridSpan w:val="2"/>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133,199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Investments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Accounts receivable, net of allowance for doubtful accounts of $672</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and $240, respectively</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Prepaid expenses and prepaid income taxes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11,141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Deferred contract costs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9,652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Other current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Restricted cash</w:t>
            </w:r>
          </w:p>
        </w:tc>
        <w:tc>
          <w:tcPr>
            <w:tcW w:w="1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396</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Total current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216,081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218,954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26,881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Intangible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27,623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66,086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59,986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10,627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Deferred tax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37,206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Deferred contract costs, net of current portion</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8,825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assets</w:t>
            </w:r>
          </w:p>
        </w:tc>
        <w:tc>
          <w:tcPr>
            <w:tcW w:w="13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3,508</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407,436</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393,623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4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10,438</w:t>
            </w:r>
          </w:p>
        </w:tc>
        <w:tc>
          <w:tcPr>
            <w:tcW w:w="3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8,195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Operating lease liabilities</w:t>
            </w:r>
          </w:p>
        </w:tc>
        <w:tc>
          <w:tcPr>
            <w:tcW w:w="1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11,523</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43,147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65,073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3,047</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7"/>
                <w:szCs w:val="17"/>
                <w:color w:val="auto"/>
              </w:rPr>
              <w:t>Total liabilities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111,581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136,768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9)</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Stockholders’ equity: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Preferred stock, $0.001 par value; 10,000,000 shares authorized;</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FF0FC"/>
          </w:tcPr>
          <w:p>
            <w:pPr>
              <w:ind w:left="400"/>
              <w:spacing w:after="0"/>
              <w:rPr>
                <w:sz w:val="20"/>
                <w:szCs w:val="20"/>
                <w:color w:val="auto"/>
              </w:rPr>
            </w:pPr>
            <w:r>
              <w:rPr>
                <w:rFonts w:ascii="Arial" w:cs="Arial" w:eastAsia="Arial" w:hAnsi="Arial"/>
                <w:sz w:val="17"/>
                <w:szCs w:val="17"/>
                <w:color w:val="auto"/>
              </w:rPr>
              <w:t>no shares issued and outstanding</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6380" w:type="dxa"/>
            <w:vAlign w:val="bottom"/>
          </w:tcPr>
          <w:p>
            <w:pPr>
              <w:ind w:left="180"/>
              <w:spacing w:after="0"/>
              <w:rPr>
                <w:sz w:val="20"/>
                <w:szCs w:val="20"/>
                <w:color w:val="auto"/>
              </w:rPr>
            </w:pPr>
            <w:r>
              <w:rPr>
                <w:rFonts w:ascii="Arial" w:cs="Arial" w:eastAsia="Arial" w:hAnsi="Arial"/>
                <w:sz w:val="17"/>
                <w:szCs w:val="17"/>
                <w:color w:val="auto"/>
              </w:rPr>
              <w:t>Class A common stock, $0.001 par value per share; 500,000,000 shares</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00"/>
              <w:spacing w:after="0"/>
              <w:rPr>
                <w:sz w:val="20"/>
                <w:szCs w:val="20"/>
                <w:color w:val="auto"/>
              </w:rPr>
            </w:pPr>
            <w:r>
              <w:rPr>
                <w:rFonts w:ascii="Arial" w:cs="Arial" w:eastAsia="Arial" w:hAnsi="Arial"/>
                <w:sz w:val="17"/>
                <w:szCs w:val="17"/>
                <w:color w:val="auto"/>
              </w:rPr>
              <w:t>authorized; 92,862,607 and 91,819,649 shares issued and outstanding</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80" w:type="dxa"/>
            <w:vAlign w:val="bottom"/>
          </w:tcPr>
          <w:p>
            <w:pPr>
              <w:ind w:left="300"/>
              <w:spacing w:after="0"/>
              <w:rPr>
                <w:sz w:val="20"/>
                <w:szCs w:val="20"/>
                <w:color w:val="auto"/>
              </w:rPr>
            </w:pPr>
            <w:r>
              <w:rPr>
                <w:rFonts w:ascii="Arial" w:cs="Arial" w:eastAsia="Arial" w:hAnsi="Arial"/>
                <w:sz w:val="17"/>
                <w:szCs w:val="17"/>
                <w:color w:val="auto"/>
              </w:rPr>
              <w:t>at June 30, 2020 and December 31, 2019, respectively</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Class B common stock, $0.001 par value per share; 100,000,000 shares</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authorized; 19,975,155 and 20,314,644 shares issued and outstanding</w:t>
            </w: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FF0FC"/>
          </w:tcPr>
          <w:p>
            <w:pPr>
              <w:ind w:left="300"/>
              <w:spacing w:after="0"/>
              <w:rPr>
                <w:sz w:val="20"/>
                <w:szCs w:val="20"/>
                <w:color w:val="auto"/>
              </w:rPr>
            </w:pPr>
            <w:r>
              <w:rPr>
                <w:rFonts w:ascii="Arial" w:cs="Arial" w:eastAsia="Arial" w:hAnsi="Arial"/>
                <w:sz w:val="17"/>
                <w:szCs w:val="17"/>
                <w:color w:val="auto"/>
              </w:rPr>
              <w:t>at June 30, 2020 and December 31, 2019, respectively</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224,418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205,234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Retained earnings</w:t>
            </w: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71,686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(362)</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3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295,855</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256,855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34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407,436</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6"/>
              </w:rPr>
              <w:t>June 30,</w:t>
            </w:r>
          </w:p>
        </w:tc>
        <w:tc>
          <w:tcPr>
            <w:tcW w:w="9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94,737</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145,031</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252,426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84,857</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136,403</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38,583</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101,789</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132,178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21,887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17,346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14,158</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76,148</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132,855</w:t>
            </w:r>
          </w:p>
        </w:tc>
        <w:tc>
          <w:tcPr>
            <w:tcW w:w="6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210,208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500"/>
              <w:spacing w:after="0"/>
              <w:rPr>
                <w:sz w:val="20"/>
                <w:szCs w:val="20"/>
                <w:color w:val="auto"/>
              </w:rPr>
            </w:pPr>
            <w:r>
              <w:rPr>
                <w:rFonts w:ascii="Arial" w:cs="Arial" w:eastAsia="Arial" w:hAnsi="Arial"/>
                <w:sz w:val="18"/>
                <w:szCs w:val="18"/>
                <w:color w:val="auto"/>
              </w:rPr>
              <w:t>Total other income, net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(Note 11)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6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number of shares of common</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used in computing net income per share</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112,734,393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111,299,345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112,544,743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111,051,070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113,737,465</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113,388,509</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113,947,241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113,398,793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72"/>
        <w:spacing w:after="0" w:line="308"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depreciation and amortization expense for the three months ended June 30, 2020 and 2019 and for the six months ended June 30, 2020 and 2019 of $1,837, $734, $3,306 and $1,294,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8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7,131</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6,007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7,612</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6,363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18,523</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200" w:type="dxa"/>
            <w:vAlign w:val="bottom"/>
          </w:tcPr>
          <w:p>
            <w:pPr>
              <w:spacing w:after="0"/>
              <w:rPr>
                <w:sz w:val="11"/>
                <w:szCs w:val="11"/>
                <w:color w:val="auto"/>
              </w:rPr>
            </w:pPr>
          </w:p>
        </w:tc>
        <w:tc>
          <w:tcPr>
            <w:tcW w:w="1140" w:type="dxa"/>
            <w:vAlign w:val="bottom"/>
            <w:gridSpan w:val="4"/>
          </w:tcPr>
          <w:p>
            <w:pPr>
              <w:jc w:val="right"/>
              <w:spacing w:after="0" w:line="135" w:lineRule="exact"/>
              <w:rPr>
                <w:sz w:val="20"/>
                <w:szCs w:val="20"/>
                <w:color w:val="auto"/>
              </w:rPr>
            </w:pPr>
            <w:r>
              <w:rPr>
                <w:rFonts w:ascii="Arial" w:cs="Arial" w:eastAsia="Arial" w:hAnsi="Arial"/>
                <w:sz w:val="12"/>
                <w:szCs w:val="12"/>
                <w:b w:val="1"/>
                <w:bCs w:val="1"/>
                <w:color w:val="auto"/>
              </w:rPr>
              <w:t>Class A</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right"/>
              <w:ind w:right="502"/>
              <w:spacing w:after="0" w:line="135" w:lineRule="exact"/>
              <w:rPr>
                <w:sz w:val="20"/>
                <w:szCs w:val="20"/>
                <w:color w:val="auto"/>
              </w:rPr>
            </w:pPr>
            <w:r>
              <w:rPr>
                <w:rFonts w:ascii="Arial" w:cs="Arial" w:eastAsia="Arial" w:hAnsi="Arial"/>
                <w:sz w:val="12"/>
                <w:szCs w:val="12"/>
                <w:b w:val="1"/>
                <w:bCs w:val="1"/>
                <w:color w:val="auto"/>
              </w:rPr>
              <w:t>Class B</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w w:val="91"/>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3"/>
        </w:trPr>
        <w:tc>
          <w:tcPr>
            <w:tcW w:w="3200" w:type="dxa"/>
            <w:vAlign w:val="bottom"/>
          </w:tcPr>
          <w:p>
            <w:pPr>
              <w:spacing w:after="0"/>
              <w:rPr>
                <w:sz w:val="12"/>
                <w:szCs w:val="12"/>
                <w:color w:val="auto"/>
              </w:rPr>
            </w:pPr>
          </w:p>
        </w:tc>
        <w:tc>
          <w:tcPr>
            <w:tcW w:w="1820" w:type="dxa"/>
            <w:vAlign w:val="bottom"/>
            <w:tcBorders>
              <w:bottom w:val="single" w:sz="8" w:color="auto"/>
            </w:tcBorders>
            <w:gridSpan w:val="5"/>
          </w:tcPr>
          <w:p>
            <w:pPr>
              <w:jc w:val="right"/>
              <w:ind w:right="482"/>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Retained</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Comprehensive</w:t>
            </w:r>
          </w:p>
        </w:tc>
        <w:tc>
          <w:tcPr>
            <w:tcW w:w="6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Stockholders’</w:t>
            </w:r>
          </w:p>
        </w:tc>
      </w:tr>
      <w:tr>
        <w:trPr>
          <w:trHeight w:val="142"/>
        </w:trPr>
        <w:tc>
          <w:tcPr>
            <w:tcW w:w="32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Earnings</w:t>
            </w:r>
          </w:p>
        </w:tc>
        <w:tc>
          <w:tcPr>
            <w:tcW w:w="20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(Loss) Income</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FF0FC"/>
            </w:tcBorders>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91,819,649</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33"/>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20,314,644</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205,234</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51,859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(350)</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256,855</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12,696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12,696</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2"/>
                <w:szCs w:val="12"/>
                <w:color w:val="auto"/>
              </w:rPr>
              <w:t>160,668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vesting</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2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of restricted stock units</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308,303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(106,934)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(3,397)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(3,397)</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335,741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(335,741)</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(493)</w:t>
            </w: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r>
      <w:tr>
        <w:trPr>
          <w:trHeight w:val="20"/>
        </w:trPr>
        <w:tc>
          <w:tcPr>
            <w:tcW w:w="3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March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92,517,427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19,978,903</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214,143</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64,555</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(843)</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277,968</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7,131</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12,249</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2"/>
                <w:szCs w:val="12"/>
                <w:color w:val="auto"/>
              </w:rPr>
              <w:t>84,796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415</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375,645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(119,009)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(2,389)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(2,389)</w:t>
            </w: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(3,748)</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Foreign currency translation adjustment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w:t>
            </w:r>
          </w:p>
        </w:tc>
        <w:tc>
          <w:tcPr>
            <w:tcW w:w="100" w:type="dxa"/>
            <w:vAlign w:val="bottom"/>
            <w:tcBorders>
              <w:bottom w:val="single" w:sz="8" w:color="CFF0FC"/>
            </w:tcBorders>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June 30, 2020</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92,862,607</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33"/>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19,975,155</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224,418</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71,686</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(362)</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295,855</w:t>
            </w:r>
          </w:p>
        </w:tc>
        <w:tc>
          <w:tcPr>
            <w:tcW w:w="100" w:type="dxa"/>
            <w:vAlign w:val="bottom"/>
            <w:shd w:val="clear" w:color="auto" w:fill="CFF0FC"/>
          </w:tcPr>
          <w:p>
            <w:pPr>
              <w:spacing w:after="0"/>
              <w:rPr>
                <w:sz w:val="12"/>
                <w:szCs w:val="12"/>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29"/>
        </w:trPr>
        <w:tc>
          <w:tcPr>
            <w:tcW w:w="3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Balance at December 31, 2018</w:t>
            </w:r>
          </w:p>
        </w:tc>
        <w:tc>
          <w:tcPr>
            <w:tcW w:w="800" w:type="dxa"/>
            <w:vAlign w:val="bottom"/>
          </w:tcPr>
          <w:p>
            <w:pPr>
              <w:jc w:val="right"/>
              <w:spacing w:after="0"/>
              <w:rPr>
                <w:sz w:val="20"/>
                <w:szCs w:val="20"/>
                <w:color w:val="auto"/>
              </w:rPr>
            </w:pPr>
            <w:r>
              <w:rPr>
                <w:rFonts w:ascii="Arial" w:cs="Arial" w:eastAsia="Arial" w:hAnsi="Arial"/>
                <w:sz w:val="12"/>
                <w:szCs w:val="12"/>
                <w:color w:val="auto"/>
              </w:rPr>
              <w:t>89,728,223</w:t>
            </w:r>
          </w:p>
        </w:tc>
        <w:tc>
          <w:tcPr>
            <w:tcW w:w="120" w:type="dxa"/>
            <w:vAlign w:val="bottom"/>
          </w:tcPr>
          <w:p>
            <w:pPr>
              <w:spacing w:after="0"/>
              <w:rPr>
                <w:sz w:val="12"/>
                <w:szCs w:val="12"/>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90</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20,702,084</w:t>
            </w:r>
          </w:p>
        </w:tc>
        <w:tc>
          <w:tcPr>
            <w:tcW w:w="120" w:type="dxa"/>
            <w:vAlign w:val="bottom"/>
          </w:tcPr>
          <w:p>
            <w:pPr>
              <w:spacing w:after="0"/>
              <w:rPr>
                <w:sz w:val="12"/>
                <w:szCs w:val="12"/>
                <w:color w:val="auto"/>
              </w:rPr>
            </w:pPr>
          </w:p>
        </w:tc>
        <w:tc>
          <w:tcPr>
            <w:tcW w:w="740" w:type="dxa"/>
            <w:vAlign w:val="bottom"/>
            <w:gridSpan w:val="2"/>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w w:val="89"/>
              </w:rPr>
              <w:t>21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184,216</w:t>
            </w:r>
          </w:p>
        </w:tc>
        <w:tc>
          <w:tcPr>
            <w:tcW w:w="12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9,713</w:t>
            </w:r>
          </w:p>
        </w:tc>
        <w:tc>
          <w:tcPr>
            <w:tcW w:w="2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194,111</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12,584</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12,584</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7,995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7,995</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447,210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697</w:t>
            </w:r>
          </w:p>
        </w:tc>
        <w:tc>
          <w:tcPr>
            <w:tcW w:w="100" w:type="dxa"/>
            <w:vAlign w:val="bottom"/>
            <w:shd w:val="clear" w:color="auto" w:fill="CFF0FC"/>
          </w:tcPr>
          <w:p>
            <w:pPr>
              <w:spacing w:after="0"/>
              <w:rPr>
                <w:sz w:val="12"/>
                <w:szCs w:val="12"/>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vesting</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200" w:type="dxa"/>
            <w:vAlign w:val="bottom"/>
          </w:tcPr>
          <w:p>
            <w:pPr>
              <w:ind w:left="100"/>
              <w:spacing w:after="0"/>
              <w:rPr>
                <w:sz w:val="20"/>
                <w:szCs w:val="20"/>
                <w:color w:val="auto"/>
              </w:rPr>
            </w:pPr>
            <w:r>
              <w:rPr>
                <w:rFonts w:ascii="Arial" w:cs="Arial" w:eastAsia="Arial" w:hAnsi="Arial"/>
                <w:sz w:val="12"/>
                <w:szCs w:val="12"/>
                <w:color w:val="auto"/>
              </w:rPr>
              <w:t>of restricted stock units</w:t>
            </w:r>
          </w:p>
        </w:tc>
        <w:tc>
          <w:tcPr>
            <w:tcW w:w="800" w:type="dxa"/>
            <w:vAlign w:val="bottom"/>
          </w:tcPr>
          <w:p>
            <w:pPr>
              <w:jc w:val="right"/>
              <w:spacing w:after="0"/>
              <w:rPr>
                <w:sz w:val="20"/>
                <w:szCs w:val="20"/>
                <w:color w:val="auto"/>
              </w:rPr>
            </w:pPr>
            <w:r>
              <w:rPr>
                <w:rFonts w:ascii="Arial" w:cs="Arial" w:eastAsia="Arial" w:hAnsi="Arial"/>
                <w:sz w:val="12"/>
                <w:szCs w:val="12"/>
                <w:color w:val="auto"/>
              </w:rPr>
              <w:t>297,374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awards</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(102,034)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(3,954)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(3,954)</w:t>
            </w: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(424)</w:t>
            </w: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(424)</w:t>
            </w:r>
          </w:p>
        </w:tc>
      </w:tr>
      <w:tr>
        <w:trPr>
          <w:trHeight w:val="20"/>
        </w:trPr>
        <w:tc>
          <w:tcPr>
            <w:tcW w:w="3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March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90,370,773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20,702,084</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188,954</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22,297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(353)</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211,009</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6,007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6,007</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9,260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9,260</w:t>
            </w:r>
          </w:p>
        </w:tc>
        <w:tc>
          <w:tcPr>
            <w:tcW w:w="10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2"/>
                <w:szCs w:val="12"/>
                <w:color w:val="auto"/>
              </w:rPr>
              <w:t>133,838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391</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w w:val="93"/>
              </w:rPr>
              <w:t>Issuance of common stock upon vesting of restricted stock units</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362,447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rPr>
              <w:t>Payment of withholding taxes and option costs on net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200" w:type="dxa"/>
            <w:vAlign w:val="bottom"/>
          </w:tcPr>
          <w:p>
            <w:pPr>
              <w:ind w:left="100"/>
              <w:spacing w:after="0"/>
              <w:rPr>
                <w:sz w:val="20"/>
                <w:szCs w:val="20"/>
                <w:color w:val="auto"/>
              </w:rPr>
            </w:pPr>
            <w:r>
              <w:rPr>
                <w:rFonts w:ascii="Arial" w:cs="Arial" w:eastAsia="Arial" w:hAnsi="Arial"/>
                <w:sz w:val="12"/>
                <w:szCs w:val="12"/>
                <w:color w:val="auto"/>
              </w:rPr>
              <w:t>settlement of restricted stock units and stock options</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(122,137)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(4,637)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(4,637)</w:t>
            </w: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 adjustment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20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100" w:type="dxa"/>
            <w:vAlign w:val="bottom"/>
            <w:shd w:val="clear" w:color="auto" w:fill="CFF0FC"/>
          </w:tcPr>
          <w:p>
            <w:pPr>
              <w:spacing w:after="0"/>
              <w:rPr>
                <w:sz w:val="12"/>
                <w:szCs w:val="12"/>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rPr>
              <w:t>Balance at June 30, 2019</w:t>
            </w:r>
          </w:p>
        </w:tc>
        <w:tc>
          <w:tcPr>
            <w:tcW w:w="800" w:type="dxa"/>
            <w:vAlign w:val="bottom"/>
          </w:tcPr>
          <w:p>
            <w:pPr>
              <w:jc w:val="right"/>
              <w:spacing w:after="0"/>
              <w:rPr>
                <w:sz w:val="20"/>
                <w:szCs w:val="20"/>
                <w:color w:val="auto"/>
              </w:rPr>
            </w:pPr>
            <w:r>
              <w:rPr>
                <w:rFonts w:ascii="Arial" w:cs="Arial" w:eastAsia="Arial" w:hAnsi="Arial"/>
                <w:sz w:val="12"/>
                <w:szCs w:val="12"/>
                <w:color w:val="auto"/>
              </w:rPr>
              <w:t>90,744,921</w:t>
            </w:r>
          </w:p>
        </w:tc>
        <w:tc>
          <w:tcPr>
            <w:tcW w:w="120" w:type="dxa"/>
            <w:vAlign w:val="bottom"/>
          </w:tcPr>
          <w:p>
            <w:pPr>
              <w:spacing w:after="0"/>
              <w:rPr>
                <w:sz w:val="12"/>
                <w:szCs w:val="12"/>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91</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20,702,084</w:t>
            </w:r>
          </w:p>
        </w:tc>
        <w:tc>
          <w:tcPr>
            <w:tcW w:w="120" w:type="dxa"/>
            <w:vAlign w:val="bottom"/>
          </w:tcPr>
          <w:p>
            <w:pPr>
              <w:spacing w:after="0"/>
              <w:rPr>
                <w:sz w:val="12"/>
                <w:szCs w:val="12"/>
                <w:color w:val="auto"/>
              </w:rPr>
            </w:pPr>
          </w:p>
        </w:tc>
        <w:tc>
          <w:tcPr>
            <w:tcW w:w="740" w:type="dxa"/>
            <w:vAlign w:val="bottom"/>
            <w:gridSpan w:val="2"/>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w w:val="89"/>
              </w:rPr>
              <w:t>21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193,967</w:t>
            </w:r>
          </w:p>
        </w:tc>
        <w:tc>
          <w:tcPr>
            <w:tcW w:w="120" w:type="dxa"/>
            <w:vAlign w:val="bottom"/>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28,304</w:t>
            </w:r>
          </w:p>
        </w:tc>
        <w:tc>
          <w:tcPr>
            <w:tcW w:w="2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222,386</w:t>
            </w:r>
          </w:p>
        </w:tc>
        <w:tc>
          <w:tcPr>
            <w:tcW w:w="100" w:type="dxa"/>
            <w:vAlign w:val="bottom"/>
          </w:tcPr>
          <w:p>
            <w:pPr>
              <w:spacing w:after="0"/>
              <w:rPr>
                <w:sz w:val="12"/>
                <w:szCs w:val="12"/>
                <w:color w:val="auto"/>
              </w:rPr>
            </w:pPr>
          </w:p>
        </w:tc>
      </w:tr>
      <w:tr>
        <w:trPr>
          <w:trHeight w:val="20"/>
        </w:trPr>
        <w:tc>
          <w:tcPr>
            <w:tcW w:w="3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85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19,827</w:t>
            </w:r>
          </w:p>
        </w:tc>
        <w:tc>
          <w:tcPr>
            <w:tcW w:w="2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Currency gain on foreign denominated transactions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Deferred taxes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23,375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receivable, net</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Arial" w:cs="Arial" w:eastAsia="Arial" w:hAnsi="Arial"/>
                <w:sz w:val="18"/>
                <w:szCs w:val="18"/>
                <w:color w:val="auto"/>
              </w:rPr>
              <w:t>Prepaid expenses, prepaid income taxes, and other assets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contract costs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(4,074)</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(25,914)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(5,294)</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(1,788)</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obligations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Other non-current liabilities</w:t>
            </w:r>
          </w:p>
        </w:tc>
        <w:tc>
          <w:tcPr>
            <w:tcW w:w="8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34,928</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(2,571)</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Capitalization of website development costs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(1,695)</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acquisition, net of cash acquired</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(21,004)</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(19,139)</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Investments in certificates of deposit</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(96,527)</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certificates of deposit</w:t>
            </w:r>
          </w:p>
        </w:tc>
        <w:tc>
          <w:tcPr>
            <w:tcW w:w="8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68,692</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43,422</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Payment of finance lease obligations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Payment of withholding taxes on net share settlement of</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(5,786)</w:t>
            </w:r>
          </w:p>
        </w:tc>
        <w:tc>
          <w:tcPr>
            <w:tcW w:w="5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(8,591)</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(4,875)</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73,499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70,723</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144,222</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8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Unpaid purchases of property and equipment</w:t>
            </w:r>
          </w:p>
        </w:tc>
        <w:tc>
          <w:tcPr>
            <w:tcW w:w="1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Capitalized stock-based compensation expense in website development and</w:t>
            </w:r>
          </w:p>
        </w:tc>
        <w:tc>
          <w:tcPr>
            <w:tcW w:w="8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internal-use software costs</w:t>
            </w:r>
          </w:p>
        </w:tc>
        <w:tc>
          <w:tcPr>
            <w:tcW w:w="8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Cash paid for operating lease liabilities</w:t>
            </w:r>
          </w:p>
        </w:tc>
        <w:tc>
          <w:tcPr>
            <w:tcW w:w="1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7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In addition to the United States, it operates online marketplaces under the CarGurus brand in Canada and the United Kingdom. The Company also operated online marketplaces in Germany, Italy, and Spain until it ceased the operations of each of these marketplaces in the second quarter of 2020. In the United States and the United Kingdom, the Company also operates the Autolist and PistonHeads online marketplaces, respectively, as independent brands. The Company has subsidiaries in the United States, Canada, Ireland, and the United Kingdom. Additionally, the Company has two reportable segments, United States and International. See Note 13 of the Unaudited Condensed Consolidated Financial Statements included elsewhere in this Quarterly Report.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accompanying interim condensed consolidated financial statements (the “Unaudited Condensed Consolidated Financial Statements”) and related disclosures have been prepared in conformity with accounting principles generally accepted in the United States of America (“GAAP”). Any reference in these notes to applicable guidance is meant to refer to the authoritative U.S. generally accepted accounting principles as found in the Accounting Standards Codification (“ASC”) and Accounting Standards Update (“ASU”) of the Financial Accounting Standards Board (“FASB”).</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Unaudited Condensed Consolidated Financial Statements are unaudited. These Unaudited Condensed Consolidated Financial Statements should be read in conjunction with the Company’s audited consolidated financial statements and the notes thereto for the year ended December 31, 2019 included in the Company’s Annual Report on Form 10-K for the year ended December 31, 2019, filed with the Securities and Exchange Commission (“SEC”) on February 14, 2020 (the “2019 Annual Report”).</w:t>
      </w:r>
    </w:p>
    <w:p>
      <w:pPr>
        <w:spacing w:after="0" w:line="1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June 30, 2020 and December 31, 2019, results of operations, comprehensive income, changes in shareholders’ equity for the three and six months ended June 30, 2020 and cash flows for the six months ended June 30, 2020 and 2019. These interim period results are not necessarily indicative of the results to be expected for any other interim period or the full year.</w:t>
      </w:r>
    </w:p>
    <w:p>
      <w:pPr>
        <w:spacing w:after="0" w:line="19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accompanying Unaudited Condensed Consolidated Financial Statements reflect the application of certain significant accounting policies as described below and elsewhere in these notes to the Unaudited Condensed Consolidated Financial Statements. As of June 30, 2020, there have been no material changes in the Company's significant accounting policies from those that were disclosed in the 2019 Annual Report.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w:t>
      </w:r>
      <w:r>
        <w:rPr>
          <w:rFonts w:ascii="Arial" w:cs="Arial" w:eastAsia="Arial" w:hAnsi="Arial"/>
          <w:sz w:val="16"/>
          <w:szCs w:val="16"/>
          <w:color w:val="212529"/>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7"/>
          <w:szCs w:val="17"/>
          <w:color w:val="auto"/>
        </w:rPr>
        <w:t>Significant estimates relied upon in preparing these Unaudited Condensed Consolidated Financial Statements include revenue recognition, allowance for doubtful accounts and sales allowances, variable consideration, the recoverability of long-lived assets, the valuation and recoverability of goodwill and intangible assets, the expensing and capitalization of product, technology, and development costs for website development and internal</w:t>
      </w:r>
      <w:r>
        <w:rPr>
          <w:rFonts w:ascii="MS PGothic" w:cs="MS PGothic" w:eastAsia="MS PGothic" w:hAnsi="MS PGothic"/>
          <w:sz w:val="17"/>
          <w:szCs w:val="17"/>
          <w:color w:val="auto"/>
        </w:rPr>
        <w:t>‑</w:t>
      </w:r>
      <w:r>
        <w:rPr>
          <w:rFonts w:ascii="Arial" w:cs="Arial" w:eastAsia="Arial" w:hAnsi="Arial"/>
          <w:sz w:val="17"/>
          <w:szCs w:val="17"/>
          <w:color w:val="auto"/>
        </w:rPr>
        <w:t>use software, and the recoverability of the Company’s net deferred tax assets and related valuation allowance.</w:t>
      </w:r>
    </w:p>
    <w:p>
      <w:pPr>
        <w:spacing w:after="0" w:line="20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0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8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and six months ended June 30, 2020 and 2019, no individual customer accounted for more than 10% of total revenue.</w:t>
      </w:r>
    </w:p>
    <w:p>
      <w:pPr>
        <w:spacing w:after="0" w:line="225"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8"/>
          <w:szCs w:val="18"/>
          <w:color w:val="auto"/>
        </w:rPr>
        <w:t>As of June 30, 2020, no customer accounted for more than 10% of net accounts receivable. As of December 31, 2019, one customer accounted for 18% of net accounts receivable.</w:t>
      </w:r>
    </w:p>
    <w:p>
      <w:pPr>
        <w:spacing w:after="0" w:line="14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Included in net accounts receivable at June 30, 2020 and December 31, 2019, are $8,414 and $8,880, respectively, of unbilled accounts receivable primarily related to advertising customers that are generally billed within a quarter subsequent to services being rendered and revenues recognized in excess of billings during the second quarter related to spreading fee reductions resulting from the COVID-19 pandemic over the remaining contract term.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is exposed to credit losses primarily through its trade accounts receivable. The Company determines the required allowance for expected credit losses using information such as historical loss trends, current conditions, and reasonable and supportable forecasts of economic conditions such as the impacts of the novel strain of coronavirus that surfaced in Wuhan, China in December 2019 and was subsequently declared a pandemic by the World Health Organization (“COVID-19”). Amounts are charged against the allowance when it is determined that expected credit losses may occur.</w:t>
      </w:r>
    </w:p>
    <w:p>
      <w:pPr>
        <w:spacing w:after="0" w:line="157" w:lineRule="exact"/>
        <w:rPr>
          <w:sz w:val="20"/>
          <w:szCs w:val="20"/>
          <w:color w:val="auto"/>
        </w:rPr>
      </w:pPr>
    </w:p>
    <w:p>
      <w:pPr>
        <w:jc w:val="both"/>
        <w:ind w:firstLine="510"/>
        <w:spacing w:after="0" w:line="303" w:lineRule="auto"/>
        <w:rPr>
          <w:sz w:val="20"/>
          <w:szCs w:val="20"/>
          <w:color w:val="auto"/>
        </w:rPr>
      </w:pPr>
      <w:r>
        <w:rPr>
          <w:rFonts w:ascii="Arial" w:cs="Arial" w:eastAsia="Arial" w:hAnsi="Arial"/>
          <w:sz w:val="17"/>
          <w:szCs w:val="17"/>
          <w:color w:val="auto"/>
        </w:rPr>
        <w:t>In light of the COVID-19 pandemic, the Company assessed the implications on accounts receivable and increased its allowance for doubtful accounts to $672 as of June 30, 2020 as compared to $240 as of December 31, 2019. The increase in account delinquencies due to the COVID-19 pandemic resulted in $1,658 of bad debt expense and $1,226 of write offs, net of recoveries for the six months ended June 30, 2020.</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Below is a summary of the changes in the Company’s allowance for doubtful accounts for the six months ended June 30, 2020:</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Balance at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Write–offs,</w:t>
            </w:r>
          </w:p>
        </w:tc>
        <w:tc>
          <w:tcPr>
            <w:tcW w:w="280" w:type="dxa"/>
            <w:vAlign w:val="bottom"/>
          </w:tcPr>
          <w:p>
            <w:pPr>
              <w:spacing w:after="0"/>
              <w:rPr>
                <w:sz w:val="14"/>
                <w:szCs w:val="14"/>
                <w:color w:val="auto"/>
              </w:rPr>
            </w:pPr>
          </w:p>
        </w:tc>
        <w:tc>
          <w:tcPr>
            <w:tcW w:w="15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Provision</w:t>
            </w:r>
          </w:p>
        </w:tc>
        <w:tc>
          <w:tcPr>
            <w:tcW w:w="280" w:type="dxa"/>
            <w:vAlign w:val="bottom"/>
          </w:tcPr>
          <w:p>
            <w:pPr>
              <w:spacing w:after="0"/>
              <w:rPr>
                <w:sz w:val="12"/>
                <w:szCs w:val="12"/>
                <w:color w:val="auto"/>
              </w:rPr>
            </w:pPr>
          </w:p>
        </w:tc>
        <w:tc>
          <w:tcPr>
            <w:tcW w:w="18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Net of</w:t>
            </w:r>
          </w:p>
        </w:tc>
        <w:tc>
          <w:tcPr>
            <w:tcW w:w="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Period</w:t>
            </w: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Recoveries</w:t>
            </w:r>
          </w:p>
        </w:tc>
        <w:tc>
          <w:tcPr>
            <w:tcW w:w="28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Six Months Ended June 30, 2020</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4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1,658</w:t>
            </w: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4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following table summarizes revenue from contracts with customers by geographical region and by revenue source for the three and six months ended June 30, 2020 and 2019.</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2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Marketplace subscription revenue</w:t>
            </w:r>
          </w:p>
        </w:tc>
        <w:tc>
          <w:tcPr>
            <w:tcW w:w="13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75,457</w:t>
            </w:r>
          </w:p>
        </w:tc>
        <w:tc>
          <w:tcPr>
            <w:tcW w:w="2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122,352</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208,481</w:t>
            </w:r>
          </w:p>
        </w:tc>
        <w:tc>
          <w:tcPr>
            <w:tcW w:w="2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237,373</w:t>
            </w:r>
          </w:p>
        </w:tc>
        <w:tc>
          <w:tcPr>
            <w:tcW w:w="120" w:type="dxa"/>
            <w:vAlign w:val="bottom"/>
          </w:tcPr>
          <w:p>
            <w:pPr>
              <w:spacing w:after="0"/>
              <w:rPr>
                <w:sz w:val="19"/>
                <w:szCs w:val="19"/>
                <w:color w:val="auto"/>
              </w:rPr>
            </w:pPr>
          </w:p>
        </w:tc>
      </w:tr>
      <w:tr>
        <w:trPr>
          <w:trHeight w:val="230"/>
        </w:trPr>
        <w:tc>
          <w:tcPr>
            <w:tcW w:w="3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Advertising and other revenue</w:t>
            </w:r>
          </w:p>
        </w:tc>
        <w:tc>
          <w:tcPr>
            <w:tcW w:w="4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14,289</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14,658</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28,040</w:t>
            </w:r>
          </w:p>
        </w:tc>
        <w:tc>
          <w:tcPr>
            <w:tcW w:w="120" w:type="dxa"/>
            <w:vAlign w:val="bottom"/>
            <w:shd w:val="clear" w:color="auto" w:fill="CFF0FC"/>
          </w:tcPr>
          <w:p>
            <w:pPr>
              <w:spacing w:after="0"/>
              <w:rPr>
                <w:sz w:val="19"/>
                <w:szCs w:val="19"/>
                <w:color w:val="auto"/>
              </w:rPr>
            </w:pPr>
          </w:p>
        </w:tc>
      </w:tr>
      <w:tr>
        <w:trPr>
          <w:trHeight w:val="223"/>
        </w:trPr>
        <w:tc>
          <w:tcPr>
            <w:tcW w:w="3260" w:type="dxa"/>
            <w:vAlign w:val="bottom"/>
          </w:tcPr>
          <w:p>
            <w:pPr>
              <w:ind w:left="6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89,746</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237,752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265,413</w:t>
            </w:r>
          </w:p>
        </w:tc>
        <w:tc>
          <w:tcPr>
            <w:tcW w:w="12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Marketplace subscription revenue</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4,496</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12,566</w:t>
            </w:r>
          </w:p>
        </w:tc>
        <w:tc>
          <w:tcPr>
            <w:tcW w:w="120" w:type="dxa"/>
            <w:vAlign w:val="bottom"/>
          </w:tcPr>
          <w:p>
            <w:pPr>
              <w:spacing w:after="0"/>
              <w:rPr>
                <w:sz w:val="19"/>
                <w:szCs w:val="19"/>
                <w:color w:val="auto"/>
              </w:rPr>
            </w:pPr>
          </w:p>
        </w:tc>
      </w:tr>
      <w:tr>
        <w:trPr>
          <w:trHeight w:val="229"/>
        </w:trPr>
        <w:tc>
          <w:tcPr>
            <w:tcW w:w="3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Advertising and other revenue</w:t>
            </w:r>
          </w:p>
        </w:tc>
        <w:tc>
          <w:tcPr>
            <w:tcW w:w="4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FF0FC"/>
          </w:tcPr>
          <w:p>
            <w:pPr>
              <w:spacing w:after="0"/>
              <w:rPr>
                <w:sz w:val="19"/>
                <w:szCs w:val="19"/>
                <w:color w:val="auto"/>
              </w:rPr>
            </w:pPr>
          </w:p>
        </w:tc>
      </w:tr>
      <w:tr>
        <w:trPr>
          <w:trHeight w:val="223"/>
        </w:trPr>
        <w:tc>
          <w:tcPr>
            <w:tcW w:w="3260" w:type="dxa"/>
            <w:vAlign w:val="bottom"/>
          </w:tcPr>
          <w:p>
            <w:pPr>
              <w:ind w:left="6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4,991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14,674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14,888</w:t>
            </w:r>
          </w:p>
        </w:tc>
        <w:tc>
          <w:tcPr>
            <w:tcW w:w="12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Marketplace subscription revenue</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79,953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129,096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221,819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249,939</w:t>
            </w:r>
          </w:p>
        </w:tc>
        <w:tc>
          <w:tcPr>
            <w:tcW w:w="120" w:type="dxa"/>
            <w:vAlign w:val="bottom"/>
          </w:tcPr>
          <w:p>
            <w:pPr>
              <w:spacing w:after="0"/>
              <w:rPr>
                <w:sz w:val="19"/>
                <w:szCs w:val="19"/>
                <w:color w:val="auto"/>
              </w:rPr>
            </w:pPr>
          </w:p>
        </w:tc>
      </w:tr>
      <w:tr>
        <w:trPr>
          <w:trHeight w:val="230"/>
        </w:trPr>
        <w:tc>
          <w:tcPr>
            <w:tcW w:w="3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Advertising and other revenue</w:t>
            </w:r>
          </w:p>
        </w:tc>
        <w:tc>
          <w:tcPr>
            <w:tcW w:w="4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14,784</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15,935</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30,607</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30,362</w:t>
            </w:r>
          </w:p>
        </w:tc>
        <w:tc>
          <w:tcPr>
            <w:tcW w:w="120" w:type="dxa"/>
            <w:vAlign w:val="bottom"/>
            <w:shd w:val="clear" w:color="auto" w:fill="CFF0FC"/>
          </w:tcPr>
          <w:p>
            <w:pPr>
              <w:spacing w:after="0"/>
              <w:rPr>
                <w:sz w:val="19"/>
                <w:szCs w:val="19"/>
                <w:color w:val="auto"/>
              </w:rPr>
            </w:pPr>
          </w:p>
        </w:tc>
      </w:tr>
      <w:tr>
        <w:trPr>
          <w:trHeight w:val="223"/>
        </w:trPr>
        <w:tc>
          <w:tcPr>
            <w:tcW w:w="3260" w:type="dxa"/>
            <w:vAlign w:val="bottom"/>
          </w:tcPr>
          <w:p>
            <w:pPr>
              <w:ind w:left="6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94,737</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145,031</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252,426</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12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provides disaggregation of revenue based on the United States versus International geographical region classification and based on the marketplace subscription versus advertising and other revenue classification as it believes these categories best depict how the nature, amount, timing and uncertainty of revenue and cash flows are affected by economic factors.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ASC Topic 606, Revenue from Contracts with Customers (“Topic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For contracts with an original expected duration greater than one year, the aggregate amount of the transaction price allocated to the performance obligations that were unsatisfied as of June 30, 2020 was approximately $15.6 million, which the Company expects to recognize over the next 12 months.</w:t>
      </w:r>
    </w:p>
    <w:p>
      <w:pPr>
        <w:spacing w:after="0" w:line="12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Topic 606 to not disclose the amount of transaction price allocated to unsatisfied performance obligations as of June 30, 2020. For performance obligations not satisfied as of June 30, 2020, and to which this expedient applies, the nature of the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obligations, the variable consideration and any consideration from contracts with customers not included in the transaction price is consistent with performance obligations satisfied as of June 30, 2020. The remaining duration is less than one year.</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Revenue recognized during the six months ended June 30, 2020 from amounts included in deferred revenue at the beginning of the period was approximately $9,984.</w:t>
      </w:r>
    </w:p>
    <w:p>
      <w:pPr>
        <w:spacing w:after="0" w:line="62"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On March 18, 2020, in response to the COVID-19 pandemic, the Company announced a 50% fee reduction on all marketplace subscriptions for the April service period for paying dealers in the United States, Canada and the United Kingdom as well as a 100% fee reduction for paying dealers in Italy. On April 16, 2020, the Company announced a 50% fee reduction on all May marketplace subscriptions for paying dealers in the United States, Canada and the United Kingdom and suspension of all charges for paying dealers in Italy as the Company ceased the operations of its Italian marketplace in May 2020. On April 29, 2020, the Company announced a 20% and 50% fee reduction on all June marketplace subscriptions for paying dealers in the United States and United Kingdom, respectively. On May 5, 2020, the Company also announced a 20% fee reduction on all June marketplace subscriptions for paying dealers in Canada. These fee reductions resulted in a modification to contracts with initial contractual periods greater than one month. For any contract modified, the Company calculated the remaining transaction price and allocated the consideration over the remaining performance obligations.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Goodwill and Intangibles</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(“ASU 2017-04”)</w:t>
      </w:r>
      <w:r>
        <w:rPr>
          <w:rFonts w:ascii="Arial" w:cs="Arial" w:eastAsia="Arial" w:hAnsi="Arial"/>
          <w:sz w:val="17"/>
          <w:szCs w:val="17"/>
          <w:i w:val="1"/>
          <w:iCs w:val="1"/>
          <w:color w:val="auto"/>
        </w:rPr>
        <w:t>.</w:t>
      </w:r>
      <w:r>
        <w:rPr>
          <w:rFonts w:ascii="Arial" w:cs="Arial" w:eastAsia="Arial" w:hAnsi="Arial"/>
          <w:sz w:val="17"/>
          <w:szCs w:val="17"/>
          <w:color w:val="auto"/>
        </w:rPr>
        <w:t xml:space="preserve"> ASU 2017-04 simplifies the accounting for goodwill impairment by eliminating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ASU 2017-04, goodwill impairment is recognized based on Step 1 of the goodwill impairment test, which calculates the carrying value in excess of the reporting unit’s fair value. The standard was effective beginning in January 2020, with early adoption permitted. The Company adopted the guidance on January 1, 2020 and applied it on a prospective basis. The adoption did not have a material impact on the Unaudited Condensed Consolidated Financial Statements.</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ASU 2016-13 and its subsequent related updates establish a forward-looking “expected loss model” that requires entities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current expected credit losses on accounts receivable and financial instruments by using all practical and relevant information. ASU 2016-13 and its subsequent related updates were effective for fiscal years beginning after December 15, 2019, including interim periods within those fiscal years, with early adoption permitted. The Company adopted the guidance on January 1, 2020 and applied it on a prospective basis. The adoption did not have a material impact on the Unaudited Condensed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 Simplifying the Accounting for Income Taxes</w:t>
      </w:r>
      <w:r>
        <w:rPr>
          <w:rFonts w:ascii="Arial" w:cs="Arial" w:eastAsia="Arial" w:hAnsi="Arial"/>
          <w:sz w:val="18"/>
          <w:szCs w:val="18"/>
          <w:color w:val="auto"/>
        </w:rPr>
        <w:t xml:space="preserve"> (“ASU 2019-12”). ASU 2019-12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is currently assessing the impact that adopting this guidance will have on its Unaudited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Acquisitions</w:t>
      </w:r>
    </w:p>
    <w:p>
      <w:pPr>
        <w:spacing w:after="0" w:line="14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212529"/>
        </w:rPr>
        <w:t>On January 16, 2020, the Company acquired Autolist, an automotive shopping platform based in San Francisco, California, pursuant to an Agreement and Plan of Merger by and among the Company, Alpine Merger Sub, Inc., a Delaware corporation and wholly-owned subsidiary of the Company (“Merger Sub”), Auto List, Inc., a Delaware corporation (“Target”), and the securityholders’ representative therein, pursuant to which, among other things, the Company acquired Target through the merger of Merger Sub with and into Target (the “Merger”), with Target surviving as a wholly owned subsidiary of the Company. The Company paid an aggregate of $21.0 million, net of cash acquired, to consummate the Merger. The amount paid includes $2.2 million that is held in escrow to secure post-closing claims. The Merger is intended to both expand the Company’s consumer audience in the United States and enhance its value proposition for subscribing dealers.</w:t>
      </w:r>
    </w:p>
    <w:p>
      <w:pPr>
        <w:spacing w:after="0" w:line="235" w:lineRule="exact"/>
        <w:rPr>
          <w:sz w:val="20"/>
          <w:szCs w:val="20"/>
          <w:color w:val="auto"/>
        </w:rPr>
      </w:pPr>
    </w:p>
    <w:p>
      <w:pPr>
        <w:jc w:val="both"/>
        <w:ind w:firstLine="510"/>
        <w:spacing w:after="0" w:line="280" w:lineRule="auto"/>
        <w:rPr>
          <w:sz w:val="20"/>
          <w:szCs w:val="20"/>
          <w:color w:val="auto"/>
        </w:rPr>
      </w:pPr>
      <w:r>
        <w:rPr>
          <w:rFonts w:ascii="Arial" w:cs="Arial" w:eastAsia="Arial" w:hAnsi="Arial"/>
          <w:sz w:val="17"/>
          <w:szCs w:val="17"/>
          <w:color w:val="auto"/>
        </w:rPr>
        <w:t xml:space="preserve">As of June 30, 2020, the Company incurred total acquisition-related costs of $1.4 million related to the Merger. </w:t>
      </w:r>
      <w:r>
        <w:rPr>
          <w:rFonts w:ascii="Arial" w:cs="Arial" w:eastAsia="Arial" w:hAnsi="Arial"/>
          <w:sz w:val="17"/>
          <w:szCs w:val="17"/>
          <w:color w:val="212529"/>
        </w:rPr>
        <w:t>For the three months ended June 30,</w:t>
      </w:r>
      <w:r>
        <w:rPr>
          <w:rFonts w:ascii="Arial" w:cs="Arial" w:eastAsia="Arial" w:hAnsi="Arial"/>
          <w:sz w:val="17"/>
          <w:szCs w:val="17"/>
          <w:color w:val="auto"/>
        </w:rPr>
        <w:t xml:space="preserve"> </w:t>
      </w:r>
      <w:r>
        <w:rPr>
          <w:rFonts w:ascii="Arial" w:cs="Arial" w:eastAsia="Arial" w:hAnsi="Arial"/>
          <w:sz w:val="17"/>
          <w:szCs w:val="17"/>
          <w:color w:val="212529"/>
        </w:rPr>
        <w:t xml:space="preserve">2020, the Company incurred immaterial acquisition-related costs and for the six months ended June 30, 2020, the Company </w:t>
      </w:r>
      <w:r>
        <w:rPr>
          <w:rFonts w:ascii="Arial" w:cs="Arial" w:eastAsia="Arial" w:hAnsi="Arial"/>
          <w:sz w:val="17"/>
          <w:szCs w:val="17"/>
          <w:color w:val="000000"/>
        </w:rPr>
        <w:t>incurred total acquisition-related costs of $1.0 million. Acquisition-related costs were excluded from the purchase price allocation as they were primarily comprised of one-time severance and bonus related expenses. For the six months ended June 30, 2020, $0.5 million, $0.3 million and $0.2 million of acquisition-related costs were recorded as operating expense and allocated to product, technology, and development, general and administrative, and sales and marketing, respectively, within the Unaudited Condensed Consolidated Income Statement.</w:t>
      </w:r>
    </w:p>
    <w:p>
      <w:pPr>
        <w:spacing w:after="0" w:line="19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acquired assets and assumed liabilities. The following table presents the preliminary purchase price allocation recorded in the Company’s Unaudited Condensed Consolidated Balance Sheet as of the acquisition date, which is subject to finalization for estimates of the fair value of assets acquired and liabilities assumed as of the acquisition date, including, but not limited to tangible assets, intangible assets and tax-related items, and the related tax and effects of any changes made:</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Estimated Fair</w:t>
            </w:r>
          </w:p>
        </w:tc>
      </w:tr>
      <w:tr>
        <w:trPr>
          <w:trHeight w:val="148"/>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Value at Date</w:t>
            </w:r>
          </w:p>
        </w:tc>
      </w:tr>
      <w:tr>
        <w:trPr>
          <w:trHeight w:val="17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of Acquisition</w:t>
            </w:r>
          </w:p>
        </w:tc>
      </w:tr>
      <w:tr>
        <w:trPr>
          <w:trHeight w:val="223"/>
        </w:trPr>
        <w:tc>
          <w:tcPr>
            <w:tcW w:w="8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r>
      <w:tr>
        <w:trPr>
          <w:trHeight w:val="230"/>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20" w:type="dxa"/>
            <w:vAlign w:val="bottom"/>
            <w:shd w:val="clear" w:color="auto" w:fill="CFF0FC"/>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7,600</w:t>
            </w:r>
          </w:p>
        </w:tc>
        <w:tc>
          <w:tcPr>
            <w:tcW w:w="120" w:type="dxa"/>
            <w:vAlign w:val="bottom"/>
          </w:tcPr>
          <w:p>
            <w:pPr>
              <w:spacing w:after="0"/>
              <w:rPr>
                <w:sz w:val="19"/>
                <w:szCs w:val="19"/>
                <w:color w:val="auto"/>
              </w:rPr>
            </w:pPr>
          </w:p>
        </w:tc>
      </w:tr>
      <w:tr>
        <w:trPr>
          <w:trHeight w:val="230"/>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12,409</w:t>
            </w:r>
          </w:p>
        </w:tc>
        <w:tc>
          <w:tcPr>
            <w:tcW w:w="120" w:type="dxa"/>
            <w:vAlign w:val="bottom"/>
            <w:shd w:val="clear" w:color="auto" w:fill="CFF0FC"/>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9"/>
                <w:szCs w:val="19"/>
                <w:color w:val="auto"/>
              </w:rPr>
            </w:pPr>
          </w:p>
        </w:tc>
      </w:tr>
      <w:tr>
        <w:trPr>
          <w:trHeight w:val="22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r>
      <w:tr>
        <w:trPr>
          <w:trHeight w:val="230"/>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w:t>
            </w: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Operating lease liabilities - non-current</w:t>
            </w:r>
          </w:p>
        </w:tc>
        <w:tc>
          <w:tcPr>
            <w:tcW w:w="2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(1,723)</w:t>
            </w:r>
          </w:p>
        </w:tc>
      </w:tr>
      <w:tr>
        <w:trPr>
          <w:trHeight w:val="22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5"/>
                <w:szCs w:val="15"/>
                <w:color w:val="auto"/>
              </w:rPr>
              <w:t>(3)</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(843)</w:t>
            </w: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 purchase price</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21,274</w:t>
            </w:r>
          </w:p>
        </w:tc>
        <w:tc>
          <w:tcPr>
            <w:tcW w:w="12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80" w:hanging="373"/>
        <w:spacing w:after="0" w:line="26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Identifiable definite-lived intangible assets were comprised of brand, developed technology, and customer relationships of $5,600, $1,200 and $800, respectively, with estimated useful lives of 9 years, 3 years and 3 years, respectively, which will be amortized on a straight-line basis over their estimated useful lives. The fair value of the brand has been estimated using the multi-period excess earnings method which is a variation of the income approach. The fair value of the development technology and customer relationships has been estimated using a cost approach, which assesses the cost to redevelop the app and technology, and relationships, respectively.</w:t>
      </w:r>
    </w:p>
    <w:p>
      <w:pPr>
        <w:spacing w:after="0" w:line="2" w:lineRule="exact"/>
        <w:rPr>
          <w:rFonts w:ascii="Arial" w:cs="Arial" w:eastAsia="Arial" w:hAnsi="Arial"/>
          <w:sz w:val="17"/>
          <w:szCs w:val="17"/>
          <w:color w:val="auto"/>
        </w:rPr>
      </w:pPr>
    </w:p>
    <w:p>
      <w:pPr>
        <w:jc w:val="both"/>
        <w:ind w:left="880" w:hanging="373"/>
        <w:spacing w:after="0" w:line="265"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goodwill represents the excess value of the purchase price over net assets acquired. The goodwill in this transaction is primarily attributable to expected consumer traffic growth and shopper connections for dealers across both the CarGurus and Autolist websites, creating additional value for the Company’s premium subscription customers. All goodwill is assigned to the United States reporting segment. The acquisition of Autolist is treated as a stock acquisition for tax purposes and goodwill is not deductible for tax purposes.</w:t>
      </w:r>
    </w:p>
    <w:p>
      <w:pPr>
        <w:ind w:left="880" w:right="20" w:hanging="373"/>
        <w:spacing w:after="0" w:line="290"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estimated deferred tax liability corresponds to the acquired intangible assets which have no tax basis. As a result of the estimated deferred tax liability, an adjustment was recorded to goodwill to account for the tax effect of the estimated deferred tax liability.</w:t>
      </w:r>
    </w:p>
    <w:p>
      <w:pPr>
        <w:spacing w:after="0" w:line="20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Actual and pro forma results for this acquisition have not been presented as the financial impact to the Company’s Unaudited Condensed Consolidated Financial Statements is not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Fair Value of Financial Instruments Including Cash, Cash Equivalents, and Investments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for each of the fair value levels, the Company’s assets that are measured at fair value on a recurring basis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at December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rPr>
              <w:t>At June 30, 2020</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116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98,921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98,921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At December 31, 2019</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116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June 30, 2020 and December 31, 2019 had maturity dates of one year or less.</w:t>
      </w:r>
    </w:p>
    <w:p>
      <w:pPr>
        <w:spacing w:after="0" w:line="25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June 30, 2020 and December 31, 2019.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six months ended June 30, 2020 or the year ended December 31, 2019.</w:t>
      </w:r>
    </w:p>
    <w:p>
      <w:pPr>
        <w:spacing w:after="0" w:line="18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5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investments as of June 30, 2020 and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At June 30, 2020</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14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Certificates of deposit due in one year or less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43,000</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37"/>
              <w:spacing w:after="0"/>
              <w:rPr>
                <w:sz w:val="20"/>
                <w:szCs w:val="20"/>
                <w:color w:val="auto"/>
              </w:rPr>
            </w:pPr>
            <w:r>
              <w:rPr>
                <w:rFonts w:ascii="Arial" w:cs="Arial" w:eastAsia="Arial" w:hAnsi="Arial"/>
                <w:sz w:val="18"/>
                <w:szCs w:val="18"/>
                <w:color w:val="auto"/>
                <w:w w:val="89"/>
              </w:rPr>
              <w:t>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4"/>
                <w:szCs w:val="14"/>
                <w:b w:val="1"/>
                <w:bCs w:val="1"/>
                <w:color w:val="auto"/>
              </w:rPr>
              <w:t>At December 31, 2019</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jc w:val="center"/>
              <w:ind w:right="720"/>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w:t>
            </w: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spacing w:after="0"/>
              <w:rPr>
                <w:sz w:val="20"/>
                <w:szCs w:val="20"/>
                <w:color w:val="auto"/>
              </w:rPr>
            </w:pPr>
            <w:r>
              <w:rPr>
                <w:rFonts w:ascii="Arial" w:cs="Arial" w:eastAsia="Arial" w:hAnsi="Arial"/>
                <w:sz w:val="18"/>
                <w:szCs w:val="18"/>
                <w:color w:val="auto"/>
              </w:rPr>
              <w:t>Certificates of deposit due in one year or less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111,692</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9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consists of the following:</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24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8,078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7,923</w:t>
            </w:r>
          </w:p>
        </w:tc>
        <w:tc>
          <w:tcPr>
            <w:tcW w:w="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 costs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13,445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20,471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19,507</w:t>
            </w:r>
          </w:p>
        </w:tc>
        <w:tc>
          <w:tcPr>
            <w:tcW w:w="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50,312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Less accumulated depreciation and amortization</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(23,431)</w:t>
            </w:r>
          </w:p>
        </w:tc>
        <w:tc>
          <w:tcPr>
            <w:tcW w:w="10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70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26,881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Depreciation and amortization expense, excluding amortization of intangible assets, was $2,872, $1,750, $5,430 and $3,222 for the three months ended June 30, 2020 and 2019 and the six months ended June 30, 2020 and 2019,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The changes in the carrying value of goodwill were as follows: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Autolist acquisition</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4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ind w:left="1180"/>
              <w:spacing w:after="0"/>
              <w:rPr>
                <w:sz w:val="20"/>
                <w:szCs w:val="20"/>
                <w:color w:val="auto"/>
              </w:rPr>
            </w:pPr>
            <w:r>
              <w:rPr>
                <w:rFonts w:ascii="Arial" w:cs="Arial" w:eastAsia="Arial" w:hAnsi="Arial"/>
                <w:sz w:val="18"/>
                <w:szCs w:val="18"/>
                <w:color w:val="auto"/>
              </w:rPr>
              <w:t>Balance at June 30, 2020</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tests goodwill for impairment at least annually or whenever events or changes in circumstances indicate that the carrying value may not be recoverable. As a result of the COVID-19 pandemic, the Company assessed its goodwill for impairment concluding that there was no impairment as of June 30,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June 30, 2020 and December 31, 2019 consist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June 30, 2020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At December 31, 2019</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recorded amortization expense related to intangible assets of $485, $164, $917 and $319 for the three months ended June 30, 2020 and 2019 and the six months ended June 30, 2020, and 2019, respectively.</w:t>
      </w:r>
    </w:p>
    <w:p>
      <w:pPr>
        <w:spacing w:after="0" w:line="19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estimated useful life of the PistonHeads brand and customer relationships is 11 years and 3 years, respectively. The estimated useful life of the Autolist brand, customer relationships and developed technology is 9 years, 3 years and 3 years, respectively. The Company evaluates the useful lives of these assets on an annual basis and tests for impairment whenever events or changes in circumstances occur that could impact the recoverability of these assets. As a result of the COVID-19 pandemic, the Company assessed its long-lived assets for impairment and concluded that there was no impairment as of June 30, 2020.</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future periods as of June 30,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Expenses, Accrued Income Taxes and Other Current Liabilities</w:t>
            </w: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4"/>
          </w:tcPr>
          <w:p>
            <w:pPr>
              <w:jc w:val="right"/>
              <w:spacing w:after="0"/>
              <w:rPr>
                <w:sz w:val="20"/>
                <w:szCs w:val="20"/>
                <w:color w:val="auto"/>
              </w:rPr>
            </w:pPr>
            <w:r>
              <w:rPr>
                <w:rFonts w:ascii="Arial" w:cs="Arial" w:eastAsia="Arial" w:hAnsi="Arial"/>
                <w:sz w:val="18"/>
                <w:szCs w:val="18"/>
                <w:color w:val="auto"/>
                <w:w w:val="97"/>
              </w:rPr>
              <w:t>Accrued expenses, accrued income taxes and other current liabilities consist of the following:</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accrued expenses, accrued income taxes and other</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4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liabilities</w:t>
            </w:r>
          </w:p>
        </w:tc>
        <w:tc>
          <w:tcPr>
            <w:tcW w:w="6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8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12,991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jc w:val="both"/>
        <w:ind w:firstLine="510"/>
        <w:spacing w:after="0" w:line="308" w:lineRule="auto"/>
        <w:rPr>
          <w:sz w:val="20"/>
          <w:szCs w:val="20"/>
          <w:color w:val="auto"/>
        </w:rPr>
      </w:pPr>
      <w:r>
        <w:rPr>
          <w:rFonts w:ascii="Arial" w:cs="Arial" w:eastAsia="Arial" w:hAnsi="Arial"/>
          <w:sz w:val="18"/>
          <w:szCs w:val="18"/>
          <w:color w:val="auto"/>
        </w:rPr>
        <w:t>The decrease of $4,533 in the accrued bonus balance is primarily due to the payout of the fiscal year 2019 bonus in the first quarter of 2020 as well as a lower overall estimated bonus payout for fiscal year 2020.</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w:t>
      </w:r>
    </w:p>
    <w:p>
      <w:pPr>
        <w:spacing w:after="0" w:line="13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April 13, 2020, the Board of Directors of the Company approved an expense reduction plan to address the impact of the COVID-19 pandemic on the Company’s business (the “Expense Reduction Plan”), pursuant to which the Company initiated a reduction in its workforce of approximately 13%, ceased operation of its Germany, Italy and Spain marketplaces, and halted expansion efforts in any new international markets. The Expense Reduction Plan was completed in the second quarter of 2020.</w:t>
      </w:r>
    </w:p>
    <w:p>
      <w:pPr>
        <w:spacing w:after="0" w:line="21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Expense Reduction Plan was completed in the second quarter of 2020 and during such quarter resulted in restructuring charges of $3,248 for employee severance and related benefits expense and $1,019 for write-off of capitalized website development costs and deferred contract costs from international marketplaces.</w:t>
      </w:r>
    </w:p>
    <w:p>
      <w:pPr>
        <w:spacing w:after="0" w:line="21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following table summarizes restructuring accrual activity for employee severance and related benefits expense for the three months ended June 30, 2020:</w:t>
      </w:r>
    </w:p>
    <w:p>
      <w:pPr>
        <w:spacing w:after="0" w:line="180" w:lineRule="exact"/>
        <w:rPr>
          <w:sz w:val="20"/>
          <w:szCs w:val="20"/>
          <w:color w:val="auto"/>
        </w:rPr>
      </w:pPr>
    </w:p>
    <w:tbl>
      <w:tblPr>
        <w:tblLayout w:type="fixed"/>
        <w:tblInd w:w="248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Employee</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Severance and</w:t>
            </w:r>
          </w:p>
        </w:tc>
      </w:tr>
      <w:tr>
        <w:trPr>
          <w:trHeight w:val="234"/>
        </w:trPr>
        <w:tc>
          <w:tcPr>
            <w:tcW w:w="4780" w:type="dxa"/>
            <w:vAlign w:val="bottom"/>
          </w:tcPr>
          <w:p>
            <w:pPr>
              <w:spacing w:after="0"/>
              <w:rPr>
                <w:sz w:val="20"/>
                <w:szCs w:val="20"/>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Related Benefits</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3,248</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disbursements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(2,387)</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Noncash settlements</w:t>
            </w: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2020</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For the three months ended June 30, 2020, $2,160, $737, $207 and $144 of employee severance and related benefits expense was recorded as sales and marketing, product, technology, and development, cost of revenue, and general and administrative, respectively, within the Unaudited Condensed Consolidated Income Statement. All of the accrued employee severance and related benefits as of June 30, 2020 are expected to be paid within the next 12 months and were recorded within accrued expenses, accrued income taxes and other current liabilities on the Unaudited Condensed Consolidated Balance Sheets. For the six months ended June 30, 2020, $667 of employee severance and related benefits expense was recorded as stock-based compensation expense within the Unaudited Condensed Consolidated Statements of Cash Flows.</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During the three months ended June 30, 2020, the Company recognized $1,019 for write-off of capitalized website development costs and deferred contract costs from international marketplaces. For the three months ended June 30, 2020, $844 and $175 of the write-off of capitalized website development costs and deferred contract costs from international marketplaces were recorded as cost of revenue and sales and marketing, respectively, within the Unaudited Condensed Consolidated Income Statement. For the six months ended June 30, 2020, $844 of the write-off of capitalized website development costs from international marketplaces were recorded as depreciation and amortization within the Unaudited Condensed Consolidated Statements of Cash Flows.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jc w:val="both"/>
        <w:ind w:firstLine="510"/>
        <w:spacing w:after="0" w:line="329" w:lineRule="auto"/>
        <w:rPr>
          <w:sz w:val="20"/>
          <w:szCs w:val="20"/>
          <w:color w:val="auto"/>
        </w:rPr>
      </w:pPr>
      <w:r>
        <w:rPr>
          <w:rFonts w:ascii="Arial" w:cs="Arial" w:eastAsia="Arial" w:hAnsi="Arial"/>
          <w:sz w:val="16"/>
          <w:szCs w:val="16"/>
          <w:color w:val="auto"/>
        </w:rPr>
        <w:t>All of the Company’s property, equipment, and internal-use software have been purchased with cash with the exception of amounts related to unpaid property and equipment as disclosed in the Unaudited Condensed Consolidated Statements of Cash Flows and immaterial amounts related to obligations under one finance lease as of June 30, 2020. The Company has no material long-term purchase obligations outstanding with any vendor or third party.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Company's operating lease obligations consist of various leases for office space in: Boston, Massachusetts; Cambridge, Massachusetts; Detroit, Michigan; San Francisco, California; Austin Texas; Dublin, Ireland; and London, United Kingdom.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Company terminated its leases in Los Angeles, California and New York City, New York during the second quarter of 2020. The Company also has an operating lease obligation for data center space in Needham, Massachusetts.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June 30, 2020, there were no material changes in the Company’s leases from those disclosed in the 2019 Annual Report, other than as discussed below.</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June 12, 2020, the Company amended its operating lease agreement in Boston, Massachusetts at 1001 Boylston Street, which was originally entered into on December 19, 2019. Pursuant to this amendment, the Company exercised its right to reduce the amount of office space agreed to under the lease to 225,428 square feet, and the parties agreed to certain other changes to the lease as set forth in the amendment. As the lease has been signed but the lease term has not commenced, there is no impact to the Unaudited Condensed Consolidated Financial Statements.</w:t>
      </w:r>
    </w:p>
    <w:p>
      <w:pPr>
        <w:spacing w:after="0" w:line="17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January 10, 2019, Auto List, Inc., which the Company acquired on January 16, 2020, entered into an operating lease in San Francisco, California at 332 Pine St. for the lease of 6,345 square feet of office space with a non-cancellable lease term through 2024. The lease provides for annual rent increases through the term of the lease.</w:t>
      </w:r>
    </w:p>
    <w:p>
      <w:pPr>
        <w:spacing w:after="0" w:line="184" w:lineRule="exact"/>
        <w:rPr>
          <w:sz w:val="20"/>
          <w:szCs w:val="20"/>
          <w:color w:val="auto"/>
        </w:rPr>
      </w:pPr>
    </w:p>
    <w:p>
      <w:pPr>
        <w:ind w:firstLine="510"/>
        <w:spacing w:after="0" w:line="218" w:lineRule="exact"/>
        <w:rPr>
          <w:sz w:val="20"/>
          <w:szCs w:val="20"/>
          <w:color w:val="auto"/>
        </w:rPr>
      </w:pPr>
      <w:r>
        <w:rPr>
          <w:rFonts w:ascii="Arial" w:cs="Arial" w:eastAsia="Arial" w:hAnsi="Arial"/>
          <w:sz w:val="17"/>
          <w:szCs w:val="17"/>
          <w:color w:val="auto"/>
        </w:rPr>
        <w:t>The Company’s leases in Boston, Massachusetts, Cambridge, Massachusetts and San Francisco, California have associated letters of credit, which are recorded as restricted cash within the Unaudited Condensed Consolidated Balance Sheet. At June 30, 2020 and December 31, 2019, restricted cash was $11,023 and $10,803,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At June 30, 2020 and December 31, 2019,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 xml:space="preserve">term asset, as disclosed on the Unaudited Condensed Consolidated Balance Sheet. Additionally, the Company’s lease agreement for 121 First St. in Cambridge, Massachusetts has an associated security deposit, which is recorded in </w:t>
      </w:r>
      <w:r>
        <w:rPr>
          <w:rFonts w:ascii="Arial" w:cs="Arial" w:eastAsia="Arial" w:hAnsi="Arial"/>
          <w:sz w:val="16"/>
          <w:szCs w:val="16"/>
          <w:color w:val="auto"/>
        </w:rPr>
        <w:t>other non-current assets within the Unaudited Condensed Consolidated Balance Sheet.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7"/>
          <w:szCs w:val="17"/>
          <w:color w:val="auto"/>
        </w:rPr>
        <w:t>In the ordinary course of business, the Company enters into agreements with its customers, partners and service providers that include commercial provisions with respect to licensing, infringement, indemnification, and other common provisions. The Company does not, in the ordinary course, agree to guaranty or indemnification obligations for the Company under its contracts with customers. Based on historical experience and information known at June 30, 2020 and December 31, 2019, the Company has not incurred any costs for guarantees or indemnities.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Unaudited Condensed Consolidated Income Statements: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98"/>
              </w:rPr>
              <w:t>Total stock-based compensation expense</w:t>
            </w:r>
          </w:p>
        </w:tc>
        <w:tc>
          <w:tcPr>
            <w:tcW w:w="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23,604</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16,629</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4,872</w:t>
            </w:r>
          </w:p>
        </w:tc>
        <w:tc>
          <w:tcPr>
            <w:tcW w:w="80" w:type="dxa"/>
            <w:vAlign w:val="bottom"/>
          </w:tcPr>
          <w:p>
            <w:pPr>
              <w:spacing w:after="0"/>
              <w:rPr>
                <w:sz w:val="19"/>
                <w:szCs w:val="19"/>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7,180</w:t>
            </w:r>
          </w:p>
        </w:tc>
        <w:tc>
          <w:tcPr>
            <w:tcW w:w="80" w:type="dxa"/>
            <w:vAlign w:val="bottom"/>
            <w:shd w:val="clear" w:color="auto" w:fill="CFF0FC"/>
          </w:tcPr>
          <w:p>
            <w:pPr>
              <w:spacing w:after="0"/>
              <w:rPr>
                <w:sz w:val="20"/>
                <w:szCs w:val="20"/>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23,604</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Excluded from stock-based compensation expense is $419, $317, $667, and $626 of capitalized website development and internal-use software costs for the three months ended June 30, 2020 and 2019 and the six months ended June 30, 2020, and 2019, respectively.</w:t>
      </w:r>
    </w:p>
    <w:p>
      <w:pPr>
        <w:spacing w:after="0" w:line="21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During the three months ended June 30, 2020 and 2019 and the six months ended June 30, 2020 and 2019, the Company withheld 119,009, 122,137, 225,943, and 224,171 shares of Class A common stock, respectively, to satisfy employee tax withholding requirements due to net share settlements. The shares withheld return to the authorized, but unissued pool under the Company’s Omnibus Equity Compensation Plan and can be reissued by the Company. Total payments for the employees’ tax obligations to the taxing authorities due to net share settlements were $2,389, $4,637, $5,786 and $8,591 for the three months ended June 30, 2020 and 2019 and the six months ended June 30, 2020, and 2019, respectively, and are reflected as a financing activity within the Unaudited Condensed Consolidated Statements of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firstLine="510"/>
        <w:spacing w:after="0" w:line="313" w:lineRule="auto"/>
        <w:rPr>
          <w:sz w:val="20"/>
          <w:szCs w:val="20"/>
          <w:color w:val="auto"/>
        </w:rPr>
      </w:pPr>
      <w:r>
        <w:rPr>
          <w:rFonts w:ascii="Arial" w:cs="Arial" w:eastAsia="Arial" w:hAnsi="Arial"/>
          <w:sz w:val="16"/>
          <w:szCs w:val="16"/>
          <w:color w:val="auto"/>
        </w:rPr>
        <w:t>Net income per share for the three and six months ended June 30, 2020 and 2019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47"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31"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color w:val="auto"/>
        </w:rPr>
        <w:t>During the three months ended June 30, 2020, holders of Class B common stock converted 3,748 shares of Class B common stock to Class A common stock. During the three months ended June 30, 2019, no holders of Class B common stock converted shares of Class B common stock to Class A common stock. During the six months ended June 30, 2020, holders of Class B common stock converted 339,489 shares of Class B common stock to Class A common stock. During the six months ended June 30, 2019, no holders of Class B common stock converted shares of Class B common stock to Class A common stock.</w:t>
      </w:r>
    </w:p>
    <w:p>
      <w:pPr>
        <w:spacing w:after="0" w:line="18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Diluted net income per share gives effect to all potentially dilutive securities. Potential dilutive securities for the three and six months ended June 30, 2020 and 2019 consist of shares of common stock issuable upon the exercise of stock options and shares of common stock issuable upon the vesting of restricted stock units (“RSUs”). The dilutive effect of these common stock equivalents is reflected in diluted earnings per share by application of the treasury stock method.</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three and six months ended June 30, 2020 and 2019, diluted net income per share was calculated by dividing net income by the weighted-average number of shares of common stock outstanding during the period plus the dilutive impact of stock options and shares of common stock issuable upon the vesting of RSUs.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6"/>
          <w:szCs w:val="16"/>
          <w:color w:val="auto"/>
        </w:rPr>
        <w:t>The following table presents a reconciliation of the numerator and denominator used in the calculation of basic and diluted net income per share:</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7,131</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6,007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19,827</w:t>
            </w:r>
          </w:p>
        </w:tc>
        <w:tc>
          <w:tcPr>
            <w:tcW w:w="24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w w:val="97"/>
              </w:rPr>
              <w:t>Weighted-average number of shares of common stock used 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40"/>
              <w:spacing w:after="0"/>
              <w:rPr>
                <w:sz w:val="20"/>
                <w:szCs w:val="20"/>
                <w:color w:val="auto"/>
              </w:rPr>
            </w:pPr>
            <w:r>
              <w:rPr>
                <w:rFonts w:ascii="Arial" w:cs="Arial" w:eastAsia="Arial" w:hAnsi="Arial"/>
                <w:sz w:val="18"/>
                <w:szCs w:val="18"/>
                <w:color w:val="auto"/>
              </w:rPr>
              <w:t>computing net income per share attributable to common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stockholders — basic</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112,734,393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111,299,345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112,544,743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111,051,070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share equivalents resulting from stock</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674,063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1,195,429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735,474</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1,322,752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tcPr>
          <w:p>
            <w:pPr>
              <w:ind w:left="240"/>
              <w:spacing w:after="0"/>
              <w:rPr>
                <w:sz w:val="20"/>
                <w:szCs w:val="20"/>
                <w:color w:val="auto"/>
              </w:rPr>
            </w:pPr>
            <w:r>
              <w:rPr>
                <w:rFonts w:ascii="Arial" w:cs="Arial" w:eastAsia="Arial" w:hAnsi="Arial"/>
                <w:sz w:val="18"/>
                <w:szCs w:val="18"/>
                <w:color w:val="auto"/>
                <w:w w:val="99"/>
              </w:rPr>
              <w:t>Dilutive effect of share equivalents resulting from unvested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329,009</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893,735</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667,024</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1,024,971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Weighted-average number of shares of common stock used in</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income per share — diluted</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113,737,465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113,388,509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113,947,241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113,398,793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The following potentially dilutive common stock equivalents have been excluded from the calculation of diluted weighted-average shares outstanding for the three and six months ended June 30, 2020 and 2019, as their effect would have been anti-dilutive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92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16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6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1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40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3,277,151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87"/>
              </w:rPr>
              <w:t>1,293,969</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3,051,380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1,076,193</w:t>
            </w:r>
          </w:p>
        </w:tc>
        <w:tc>
          <w:tcPr>
            <w:tcW w:w="120" w:type="dxa"/>
            <w:vAlign w:val="bottom"/>
            <w:shd w:val="clear" w:color="auto" w:fill="CFF0FC"/>
          </w:tcPr>
          <w:p>
            <w:pPr>
              <w:spacing w:after="0"/>
              <w:rPr>
                <w:sz w:val="19"/>
                <w:szCs w:val="19"/>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During the three months ended June 30, 2020, the Company recorded income tax expense of $2,052, representing an effective tax rate of 22.3%. The effective tax rate for the three months ended June 30, 2020 was higher than the statutory tax rate of 21% principally due to permanent non-deductible expenses and shortfalls on the taxable compensation of share-based awards, partially offset by federal and state research and development tax credits.</w:t>
      </w:r>
    </w:p>
    <w:p>
      <w:pPr>
        <w:spacing w:after="0" w:line="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During the six months ended June 30, 2020, the Company recorded an income tax provision of $2,103 representing an effective tax rate of 9.6%. The effective tax rate for the six months ended June 30, 2020 was lower than the statutory tax rate of 21% principally due to a discrete benefit recognized as a result of the enactment of the CARES Act (as defined below), excess stock deductions from the taxable compensation of stock-based awards and federal and state research and development tax credits, partially offset by state and local income taxes.</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three months ended June 30, 2019, the Company recorded income tax benefit of $1,610, representing an effective tax rate of (36.6)%. The effective tax rate for the three months ended June 30, 2019 was lower than the statutory tax rate of 21% principally due to excess stock deductions from the taxable compensation of share-based awards and federal and state research and development tax credits, partially offset by state and local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ind w:firstLine="510"/>
        <w:spacing w:after="0" w:line="259" w:lineRule="auto"/>
        <w:rPr>
          <w:sz w:val="20"/>
          <w:szCs w:val="20"/>
          <w:color w:val="auto"/>
        </w:rPr>
      </w:pPr>
      <w:r>
        <w:rPr>
          <w:rFonts w:ascii="Arial" w:cs="Arial" w:eastAsia="Arial" w:hAnsi="Arial"/>
          <w:sz w:val="18"/>
          <w:szCs w:val="18"/>
          <w:color w:val="auto"/>
        </w:rPr>
        <w:t>During the six months ended June 30, 2019, the Company recorded an income tax benefit of $5,113, representing an effective tax rate of (37.9)%. The effective tax rate for the six months ended June 30, 2019 was lower than the statutory tax rate of 21% principally due to the excess stock deductions from the taxable compensation of stock-based awards and federal and state research and development tax credits, partially offset by state and local income taxes.</w:t>
      </w:r>
    </w:p>
    <w:p>
      <w:pPr>
        <w:spacing w:after="0" w:line="21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and its subsidiaries are subject to various U.S. federal, state, and foreign income taxes. The Company is currently open to examination by the Internal Revenue Service and state jurisdictions for the tax years of 2016 and after. The Company is currently open to examination in its foreign jurisdictions for tax years 2017 and after. In 2019, the Internal Revenue Service commenced a federal employment tax audit with respect to the 2016, 2017 and 2018 calendar years, which is still open. In July 2020, the Internal Revenue Service commenced a corporate income tax audit with respect to the 2017 calendar year, which is still open.</w:t>
      </w:r>
    </w:p>
    <w:p>
      <w:pPr>
        <w:spacing w:after="0" w:line="1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On March 27, 2020, the United States enacted the Coronavirus Aid, Relief, and Economic Security Act (the “CARES Act”). Among other things, the CARES Act includes a net operating loss (“NOL”) carryback provision allowing for NOLs from the 2018, 2019 and 2020 tax years to be used to offset taxable income for the tax years from 2013 to 2017. The Company has filed a carryback claim, which will reduce its current gross NOL balance by approximately $18,723 and increase its deferred federal research and development credit by approximately $2,645. The Company does not expect this election to negatively impact its analysis on the valuation allowance for its NOLs or deferred federal research and development credit.</w:t>
      </w:r>
    </w:p>
    <w:p>
      <w:pPr>
        <w:spacing w:after="0" w:line="1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CARES Act also updates the Tax Cuts and Jobs Act of 2017, allowing for the depreciation of leasehold improvements over 15 years, rather than 39 years, and eligibility for bonus depreciation, rather than non-eligibility for bonus depreciation. The Company has made an estimate for the impact as it relates to the 2019 tax year and will file its 2019 return in accordance with the updated guidance in the CARES Act.</w:t>
      </w:r>
    </w:p>
    <w:p>
      <w:pPr>
        <w:spacing w:after="0" w:line="16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CARES Act includes other provisions that may be utilized if the Company meets the eligibility requirements. Although the Company continues to review and evaluate the potential impact and benefit of the CARES Act on its entire business, the Company has primarily focused its review on two provisions that affect both income taxes and non-income taxes. First, the CARES Act temporarily removes the 80% limitation on NOLs to offset taxable income for tax years prior to 2021. Second, the CARES Act allows for the deferral of the employer portion of the Social Security Tax for up to two years, with half due by December 31, 2021 and the remainder due by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2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20" w:type="dxa"/>
            <w:vAlign w:val="bottom"/>
            <w:shd w:val="clear" w:color="auto" w:fill="CFF0FC"/>
          </w:tcPr>
          <w:p>
            <w:pPr>
              <w:jc w:val="center"/>
              <w:ind w:right="1750"/>
              <w:spacing w:after="0"/>
              <w:rPr>
                <w:sz w:val="20"/>
                <w:szCs w:val="20"/>
                <w:color w:val="auto"/>
              </w:rPr>
            </w:pPr>
            <w:r>
              <w:rPr>
                <w:rFonts w:ascii="Arial" w:cs="Arial" w:eastAsia="Arial" w:hAnsi="Arial"/>
                <w:sz w:val="18"/>
                <w:szCs w:val="18"/>
                <w:i w:val="1"/>
                <w:iCs w:val="1"/>
                <w:color w:val="auto"/>
                <w:w w:val="86"/>
              </w:rPr>
              <w:t>Segment revenue:</w:t>
            </w:r>
          </w:p>
        </w:tc>
        <w:tc>
          <w:tcPr>
            <w:tcW w:w="2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20" w:type="dxa"/>
            <w:vAlign w:val="bottom"/>
          </w:tcPr>
          <w:p>
            <w:pPr>
              <w:jc w:val="center"/>
              <w:ind w:right="1750"/>
              <w:spacing w:after="0"/>
              <w:rPr>
                <w:sz w:val="20"/>
                <w:szCs w:val="20"/>
                <w:color w:val="auto"/>
              </w:rPr>
            </w:pPr>
            <w:r>
              <w:rPr>
                <w:rFonts w:ascii="Arial" w:cs="Arial" w:eastAsia="Arial" w:hAnsi="Arial"/>
                <w:sz w:val="18"/>
                <w:szCs w:val="18"/>
                <w:color w:val="auto"/>
                <w:w w:val="88"/>
              </w:rPr>
              <w:t>United States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$ 89,746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$ 137,010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237,752</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265,413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20" w:type="dxa"/>
            <w:vAlign w:val="bottom"/>
            <w:shd w:val="clear" w:color="auto" w:fill="CFF0FC"/>
          </w:tcPr>
          <w:p>
            <w:pPr>
              <w:jc w:val="center"/>
              <w:ind w:right="1790"/>
              <w:spacing w:after="0"/>
              <w:rPr>
                <w:sz w:val="20"/>
                <w:szCs w:val="20"/>
                <w:color w:val="auto"/>
              </w:rPr>
            </w:pPr>
            <w:r>
              <w:rPr>
                <w:rFonts w:ascii="Arial" w:cs="Arial" w:eastAsia="Arial" w:hAnsi="Arial"/>
                <w:sz w:val="18"/>
                <w:szCs w:val="18"/>
                <w:color w:val="auto"/>
                <w:w w:val="92"/>
              </w:rPr>
              <w:t>International</w:t>
            </w:r>
          </w:p>
        </w:tc>
        <w:tc>
          <w:tcPr>
            <w:tcW w:w="3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2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$ 94,737</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$ 145,031</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252,426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540" w:type="dxa"/>
            <w:vAlign w:val="bottom"/>
            <w:vMerge w:val="restart"/>
          </w:tcPr>
          <w:p>
            <w:pPr>
              <w:jc w:val="right"/>
              <w:ind w:right="430"/>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3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3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15,337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14,119</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35,599</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(6,628)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(10,571)</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(14,871)</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(20,517)</w:t>
            </w:r>
          </w:p>
        </w:tc>
      </w:tr>
      <w:tr>
        <w:trPr>
          <w:trHeight w:val="223"/>
        </w:trPr>
        <w:tc>
          <w:tcPr>
            <w:tcW w:w="4300" w:type="dxa"/>
            <w:vAlign w:val="bottom"/>
          </w:tcPr>
          <w:p>
            <w:pPr>
              <w:ind w:left="320"/>
              <w:spacing w:after="0"/>
              <w:rPr>
                <w:sz w:val="20"/>
                <w:szCs w:val="20"/>
                <w:color w:val="auto"/>
              </w:rPr>
            </w:pPr>
            <w:r>
              <w:rPr>
                <w:rFonts w:ascii="Arial" w:cs="Arial" w:eastAsia="Arial" w:hAnsi="Arial"/>
                <w:sz w:val="18"/>
                <w:szCs w:val="18"/>
                <w:color w:val="auto"/>
              </w:rPr>
              <w:t>Total income from operations</w:t>
            </w:r>
          </w:p>
        </w:tc>
        <w:tc>
          <w:tcPr>
            <w:tcW w:w="1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As of June 30, 2020, total assets held outside of the United States were $27,918, primarily attributable to $15,214 of goodwill and $3,592 of intangible assets. </w:t>
      </w:r>
      <w:r>
        <w:rPr>
          <w:rFonts w:ascii="Arial" w:cs="Arial" w:eastAsia="Arial" w:hAnsi="Arial"/>
          <w:sz w:val="18"/>
          <w:szCs w:val="18"/>
          <w:color w:val="212529"/>
        </w:rPr>
        <w:t>As of</w:t>
      </w:r>
      <w:r>
        <w:rPr>
          <w:rFonts w:ascii="Arial" w:cs="Arial" w:eastAsia="Arial" w:hAnsi="Arial"/>
          <w:sz w:val="18"/>
          <w:szCs w:val="18"/>
          <w:color w:val="auto"/>
        </w:rPr>
        <w:t xml:space="preserve"> December 31, 2019</w:t>
      </w:r>
      <w:r>
        <w:rPr>
          <w:rFonts w:ascii="Arial" w:cs="Arial" w:eastAsia="Arial" w:hAnsi="Arial"/>
          <w:sz w:val="18"/>
          <w:szCs w:val="18"/>
          <w:color w:val="212529"/>
        </w:rPr>
        <w:t>, total assets held outside of the United States were $32,528, primarily attributable to $15,207 of goodwill and</w:t>
      </w:r>
      <w:r>
        <w:rPr>
          <w:rFonts w:ascii="Arial" w:cs="Arial" w:eastAsia="Arial" w:hAnsi="Arial"/>
          <w:sz w:val="18"/>
          <w:szCs w:val="18"/>
          <w:color w:val="auto"/>
        </w:rPr>
        <w:t xml:space="preserve"> </w:t>
      </w:r>
      <w:r>
        <w:rPr>
          <w:rFonts w:ascii="Arial" w:cs="Arial" w:eastAsia="Arial" w:hAnsi="Arial"/>
          <w:sz w:val="18"/>
          <w:szCs w:val="18"/>
          <w:color w:val="212529"/>
        </w:rPr>
        <w:t>$3,920 of intangible assets. The Company ceased the operations of the International segment online marketplaces in Germany, Italy, and Spain in the second quarter of 2020.</w:t>
      </w:r>
    </w:p>
    <w:p>
      <w:pPr>
        <w:spacing w:after="0" w:line="21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212529"/>
        </w:rPr>
        <w:t>For the three months ended June 30, 2020, employee severance and related benefits expense attributable to the United States and International segments were $2,492 and $756, respectively. For the three months ended June 30, 2020, the entirety of the write-off of capitalized website development costs and deferred contract costs from international marketplaces was attributable to the International segment.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2019, filed with the Securities and Exchange Commission, or SEC, on February 14, 2020, or our 2019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party validation on pricing and dealer reputation as well as other information that aids them in finding “Great Deals from Top-Rated Dealers.”</w:t>
      </w:r>
    </w:p>
    <w:p>
      <w:pPr>
        <w:spacing w:after="0" w:line="20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 xml:space="preserve">In addition to the United States, we operate online marketplaces under the CarGurus brand in Canada and the United Kingdom. We also operated online marketplaces in Germany, Italy, and Spain until we ceased the operations of each of these marketplaces in the second quarter of 2020. </w:t>
      </w:r>
      <w:r>
        <w:rPr>
          <w:rFonts w:ascii="Arial" w:cs="Arial" w:eastAsia="Arial" w:hAnsi="Arial"/>
          <w:sz w:val="17"/>
          <w:szCs w:val="17"/>
          <w:color w:val="212529"/>
        </w:rPr>
        <w:t>In the United</w:t>
      </w:r>
      <w:r>
        <w:rPr>
          <w:rFonts w:ascii="Arial" w:cs="Arial" w:eastAsia="Arial" w:hAnsi="Arial"/>
          <w:sz w:val="17"/>
          <w:szCs w:val="17"/>
          <w:color w:val="auto"/>
        </w:rPr>
        <w:t xml:space="preserve"> </w:t>
      </w:r>
      <w:r>
        <w:rPr>
          <w:rFonts w:ascii="Arial" w:cs="Arial" w:eastAsia="Arial" w:hAnsi="Arial"/>
          <w:sz w:val="17"/>
          <w:szCs w:val="17"/>
          <w:color w:val="212529"/>
        </w:rPr>
        <w:t xml:space="preserve">States and the United Kingdom, we also operate the Autolist and PistonHeads online marketplaces, respectively, as independent brands. </w:t>
      </w:r>
      <w:r>
        <w:rPr>
          <w:rFonts w:ascii="Arial" w:cs="Arial" w:eastAsia="Arial" w:hAnsi="Arial"/>
          <w:sz w:val="17"/>
          <w:szCs w:val="17"/>
          <w:color w:val="000000"/>
        </w:rPr>
        <w:t>We have</w:t>
      </w:r>
      <w:r>
        <w:rPr>
          <w:rFonts w:ascii="Arial" w:cs="Arial" w:eastAsia="Arial" w:hAnsi="Arial"/>
          <w:sz w:val="17"/>
          <w:szCs w:val="17"/>
          <w:color w:val="212529"/>
        </w:rPr>
        <w:t xml:space="preserve"> </w:t>
      </w:r>
      <w:r>
        <w:rPr>
          <w:rFonts w:ascii="Arial" w:cs="Arial" w:eastAsia="Arial" w:hAnsi="Arial"/>
          <w:sz w:val="17"/>
          <w:szCs w:val="17"/>
          <w:color w:val="000000"/>
        </w:rPr>
        <w:t>subsidiaries in the United States, Canada, Ireland, and the United Kingdom. Additionally, we have two reportable segments, United States and International. See Note 13 of our Unaudited Condensed Consolidated Financial Statements included elsewhere in this Quarterly Report.</w:t>
      </w:r>
    </w:p>
    <w:p>
      <w:pPr>
        <w:spacing w:after="0" w:line="1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generate marketplace subscription revenue from dealers primarily through Listings and Dealer Display subscriptions, and advertising and other revenue from automobile manufacturers and other auto-related brand advertisers as well as partnerships with financing services companies. We generated revenue of $94.7 million in the three months ended June 30, 2020, a 35% decrease from $145.0 million of revenue in the three months ended June 30, 2019. Our revenue for the six months ended June 30, 2020 was $252.4 million, a 10% decrease from $280.3 million of revenue in the six months ended June 30, 2019.</w:t>
      </w:r>
    </w:p>
    <w:p>
      <w:pPr>
        <w:spacing w:after="0" w:line="1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For the three months ended June 30, 2020, we generated net income of $7.1 million and our Adjusted EBITDA was $27.5 million, compared to net income of $6.0 million and Adjusted EBITDA of $14.5 million, for the three months ended June 30, 2019. For the six months ended June 30, 2020, we generated net income of $19.8 million and our Adjusted EBITDA was $55.2 million, compared to net income of $18.6 million and Adjusted EBITDA of $31.2 million for the six months ended June 30, 2019. See “Adjusted EBITDA” below for more information regarding our use of Adjusted EBITDA, a non-GAAP financial measure, and a reconciliation of Adjusted EBITDA to our net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December 2019, a novel strain of coronavirus, or COVID-19, surfaced in Wuhan, China. The virus was declared a pandemic by the World Health Organization and has spread to over 200 countries, including the United States, Canada and the United Kingdom, and continues to spread globally. This pandemic has caused an international health crisis and resulted in significant disruptions to the global economy as well as businesses and capital markets around the world.</w:t>
      </w:r>
    </w:p>
    <w:p>
      <w:pPr>
        <w:spacing w:after="0" w:line="18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long-term implications of the COVID-19 pandemic and the resulting global crisis on our results of operations and overall financial performance remain uncertain. The COVID-19 pandemic and its adverse effects have become widespread in the locations where we, and our customers, suppliers and third-party business partners conduct business and as a result, we have experienced disruptions in our operations. For example, in March, we closed all of our offices (including our corporate headquarters) in the United States, Ireland and United Kingdom and began requiring our employees to work remotely until further notice. In addition, in an effort to limit the spread of COVID-19, many countries, as well as states in the United States, implemented or mandated and continue to implement or mandate significant restrictions on travel and commerce, shelter-in-place or stay-at-home orders, and business closures. Many of these shelter-in-place or stay-at-home orders resulted in restrictions on the ability to buy and sell automobiles by excluding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dealerships from the list of essential businesses and/or by closing or reducing the services provided by the agencies that process the registration of automotive titles. While certain jurisdictions, including many within the United States, have implemented or are implementing policies with the goal of re-opening these markets, restrictions may be re-imposed in these markets due to increases in COVID-19 cases. In addition, these restrictions and concerns about the spread of the disease have disrupted the operations of car dealerships, which has adversely affected the market for automobile purchases. Even as consumer demand gradually returns in jurisdictions implementing phased re-opening policies and/or in connection with stimulus programs, the automotive industry is experiencing, and may continue to experience, inventory supply problems, especially resulting from wholesale used-car auction closures and escalating auction prices, which have adversely affected the level of used-car inventory held by our paying dealers and displayed on our websites.</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a result of the travel and commerce restrictions and the impact on their businesses, a number of our paying dealers have temporarily closed, or are operating on a reduced capacity, and many dealerships are facing significant financial challenges. On March 18, 2020, in response to the COVID-19 pandemic, we announced a 50% fee reduction on all marketplace subscriptions for the April service period for paying dealers in the United States, Canada and the United Kingdom, as well as a suspension of all charges for paying dealers in Italy. On April 16, 2020, we announced a 50% fee reduction on all May marketplace subscriptions for paying dealers in the United States, Canada and the United Kingdom, as well as a continuation of our suspension of all charges for paying dealers in Italy as we ceased the operations of our Italian marketplace in May 2020. On April 29, 2020, we announced a 20% and 50% fee reduction on all June marketplace subscriptions for paying dealers in the United States and United Kingdom, respectively. On May 5, 2020, we also announced a 20% fee reduction on all June marketplace subscriptions for paying dealers in Canada. These fee reductions resulted in a modification to contracts with initial contractual periods greater than one month. For any contract modified, we calculated the remaining transaction price and allocated the consideration over the remaining performance obligations. These fee reductions materially and adversely impacted revenue for the second quarter of 2020. In July 2020, we returned to normal contractual billings in all markets.</w:t>
      </w:r>
    </w:p>
    <w:p>
      <w:pPr>
        <w:spacing w:after="0" w:line="18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addition, despite our proactive fee reductions, we have experienced and may continue to experience constrained customer demand which had a material adverse impact on our business, results of operations and overall financial performance. Specifically, we have experienced and may continue to experience an adverse impact on our revenue as a result of customers cancelling their subscriptions due to closures of their dealerships, reluctance of prospective dealer customers to subscribe to or renew a subscription to a paid product, and customers reducing advertising spend due to cost constraints. We also experienced an increase in account delinquencies from dealer customers challenged by the COVID-19 pandemic that failed to pay us on time or at all. Cancellations by paying dealers began to stabilize in May, which we believe resulted from the resumption of consumer activity as well as the fee reductions that we provided to our customers.</w:t>
      </w:r>
    </w:p>
    <w:p>
      <w:pPr>
        <w:spacing w:after="0" w:line="19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These effects from the COVID-19 pandemic on our revenue and cash flows caused us to implement certain cost-savings measures across our business. For example, we initiated a reduction in our workforce of approximately 13% and implemented several other cost saving initiatives. These cost saving initiatives included a reduction in consumer marketing spend and a reduction in discretionary spend across the business as well as a 50% executive base salary reduction for three months. Additionally, we ceased marketplace operations in Germany, Italy, and Spain, and halted any new international expansion efforts, which we believe will allow us to focus our financial and human capital resources on our more established international markets in Canada and the United Kingdom. As consumer activity gradually increased and governments began to implement phased re-opening policies, we sequentially increased our consumer marketing expenses each month during the second quarter of 2020.</w:t>
      </w:r>
    </w:p>
    <w:p>
      <w:pPr>
        <w:spacing w:after="0" w:line="17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 in 2020. However, we cannot at this time accurately predict what effects these conditions will ultimately have on our revenue and operations. See the “Risk Factors” section of this Quarterly Report for further discussion of the impacts of the COVID-19 pandemic on our business.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p>
    <w:p>
      <w:pPr>
        <w:spacing w:after="0" w:line="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are conducting an enterprise-system upgrade, or the Internal System Upgrade, and an overhaul of our data architecture, which have provided us with improved accuracy in dealer-level data and is expected to yield more efficient sales account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7"/>
          <w:szCs w:val="17"/>
          <w:color w:val="auto"/>
        </w:rPr>
        <w:t>management. Our data team has also completed a data-reconciliation effort to align our historical data to the new structure. Following these efforts, we modified our method for calculating paying dealers to align our data with the Internal System Upgrade, and we have replaced our Average Annual Revenue per Subscribing Dealer, or AARSD, key metric with Quarterly Average Revenue per Subscribing Dealer, or QARSD. Transitioning to QARSD allows us to provide investors with quarterly marketplace subscription revenue in both the U.S. and International segments, which was not previously disclosed through AARSD. We also believe that QARSD, as a quarterly metric, is a more immediate indicator compared to AARSD of the value proposition of our products and the return on investment, or ROI, that our paying dealers realize from our products. We believe these changes provide investors with improved indicators of performance and trends in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060" w:type="dxa"/>
            <w:vAlign w:val="bottom"/>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34,048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912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9"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users from the Autolist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(iii) Greenwich Mean Time for our U.K. websites, and (iv) Central European Time (or Central European Summer Time when daylight savings is observed) for our Germany, Italy, and Spain websites, which ceased operations in the second quarter of 2020.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6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1060" w:type="dxa"/>
            <w:vAlign w:val="bottom"/>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85,901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103,317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36"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sessions from the Autolist website.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now calculate a paying dealer as a dealer account with an active, paid marketplace subscription at the end of a defined period. This new definition relies on subscriptions based on dealer accounts as opposed to distinct associated inventory feeds because, as dealer accounts are tied to our billings system, we believe they produce a more consistent reporting measure than inventory feeds.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16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6"/>
              </w:rPr>
              <w:t>At June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06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23,806</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ind w:left="600"/>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As a result of the Internal System Upgrade, we are unable to provide paying dealer information for this period.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define QARSD, which is measured at the end of a fiscal quarter, as the marketplace subscription revenue during that quarter divided by the average number of paying dealers in that marketplace during the same quarter. We calculate the average number of paying dealers for a period by adding the number of paying dealers at the end of the prior period and the end of the current period and dividing by two. This information is important to us, and we believe it provides useful information to investors, because we believe that our ability to grow QARSD is an indicator of the value proposition of our products and the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At June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5"/>
              </w:rPr>
              <w:t>2019</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International</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5" w:lineRule="exact"/>
        <w:rPr>
          <w:sz w:val="20"/>
          <w:szCs w:val="20"/>
          <w:color w:val="auto"/>
        </w:rPr>
      </w:pPr>
    </w:p>
    <w:p>
      <w:pPr>
        <w:ind w:left="1120" w:hanging="37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Internal System Upgrade, we are unable to provide paying dealer information for this period and therefore are unable to calculate QARSD for this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510"/>
        <w:spacing w:after="0" w:line="221" w:lineRule="exact"/>
        <w:rPr>
          <w:sz w:val="20"/>
          <w:szCs w:val="20"/>
          <w:color w:val="auto"/>
        </w:rPr>
      </w:pPr>
      <w:r>
        <w:rPr>
          <w:rFonts w:ascii="Arial" w:cs="Arial" w:eastAsia="Arial" w:hAnsi="Arial"/>
          <w:sz w:val="16"/>
          <w:szCs w:val="16"/>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This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is not based on any standardized methodology prescribed by U.S. generally accepted accounting principles, or GAAP, and is not necessarily comparable to similarly titled measures presented by other companies.</w:t>
      </w:r>
    </w:p>
    <w:p>
      <w:pPr>
        <w:spacing w:after="0" w:line="204"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6"/>
          <w:szCs w:val="16"/>
          <w:color w:val="auto"/>
        </w:rPr>
        <w:t>We define Adjusted EBITDA as net income, adjusted to exclude: depreciation and amortization,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acquisition-related expenses, restructuring expenses, other income, net, and the provision for (benefit from) income taxes. We have presented Adjusted EBITDA within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comparisons of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510"/>
        <w:spacing w:after="0" w:line="21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76" w:lineRule="exact"/>
        <w:rPr>
          <w:sz w:val="20"/>
          <w:szCs w:val="20"/>
          <w:color w:val="auto"/>
        </w:rPr>
      </w:pPr>
    </w:p>
    <w:p>
      <w:pPr>
        <w:ind w:left="880" w:right="20" w:hanging="373"/>
        <w:spacing w:after="0" w:line="223" w:lineRule="exact"/>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4" w:lineRule="exact"/>
        <w:rPr>
          <w:rFonts w:ascii="Arial" w:cs="Arial" w:eastAsia="Arial" w:hAnsi="Arial"/>
          <w:sz w:val="18"/>
          <w:szCs w:val="18"/>
          <w:color w:val="auto"/>
        </w:rPr>
      </w:pPr>
    </w:p>
    <w:p>
      <w:pPr>
        <w:ind w:left="880" w:hanging="373"/>
        <w:spacing w:after="0" w:line="223" w:lineRule="exact"/>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4"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restructuring expenses incurred by us during a reporting period, which may not be reflective of our operational performance during such period.</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other income, net which primarily includes interest income earned on our cash, cash equivalents, and investments, sublease income and net foreign exchange gains and losses;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the provision for (benefit from) income taxes;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measure calculated in accordance with GAAP, for each of the periods presented.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15"/>
                <w:szCs w:val="15"/>
                <w:color w:val="auto"/>
              </w:rPr>
              <w:t>(2)</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27,527</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14,491</w:t>
            </w:r>
          </w:p>
        </w:tc>
        <w:tc>
          <w:tcPr>
            <w:tcW w:w="80" w:type="dxa"/>
            <w:vAlign w:val="bottom"/>
          </w:tcPr>
          <w:p>
            <w:pPr>
              <w:spacing w:after="0"/>
              <w:rPr>
                <w:sz w:val="19"/>
                <w:szCs w:val="19"/>
                <w:color w:val="auto"/>
              </w:rPr>
            </w:pPr>
          </w:p>
        </w:tc>
        <w:tc>
          <w:tcPr>
            <w:tcW w:w="3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55,161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120" w:hanging="370"/>
        <w:spacing w:after="0" w:line="255"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color w:val="212529"/>
        </w:rPr>
        <w:t>December 2019, we revised our definition of Adjusted EBITDA to exclude the impact of acquisition-related expenses. This revised</w:t>
      </w:r>
      <w:r>
        <w:rPr>
          <w:rFonts w:ascii="Arial" w:cs="Arial" w:eastAsia="Arial" w:hAnsi="Arial"/>
          <w:sz w:val="18"/>
          <w:szCs w:val="18"/>
          <w:color w:val="auto"/>
        </w:rPr>
        <w:t xml:space="preserve"> </w:t>
      </w:r>
      <w:r>
        <w:rPr>
          <w:rFonts w:ascii="Arial" w:cs="Arial" w:eastAsia="Arial" w:hAnsi="Arial"/>
          <w:sz w:val="18"/>
          <w:szCs w:val="18"/>
          <w:color w:val="212529"/>
        </w:rPr>
        <w:t>definition more accurately reflects management’s view of our business and financial performance. Adjusted EBITDA for the three and six months ended June 30, 2019 has been restated for comparison purposes.</w:t>
      </w:r>
    </w:p>
    <w:p>
      <w:pPr>
        <w:spacing w:after="0" w:line="2" w:lineRule="exact"/>
        <w:rPr>
          <w:rFonts w:ascii="Arial" w:cs="Arial" w:eastAsia="Arial" w:hAnsi="Arial"/>
          <w:sz w:val="18"/>
          <w:szCs w:val="18"/>
          <w:color w:val="auto"/>
        </w:rPr>
      </w:pPr>
    </w:p>
    <w:p>
      <w:pPr>
        <w:jc w:val="both"/>
        <w:ind w:left="1120" w:hanging="370"/>
        <w:spacing w:after="0" w:line="281"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stock-based compensation expense of $753 for the three and six months ended June 30, 2020 related to the expense reduction plan approved by our Board of Directors on April 13, 2020 to address the impact of the COVID-19 pandemic on our business, or the Expense Reduction Plan, as the amount is already included within the stock-based compensation line item in the Reconciliation of Adjusted</w:t>
      </w:r>
    </w:p>
    <w:p>
      <w:pPr>
        <w:spacing w:after="0" w:line="1"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200" w:lineRule="exact"/>
        <w:rPr>
          <w:sz w:val="20"/>
          <w:szCs w:val="20"/>
          <w:color w:val="auto"/>
        </w:rPr>
      </w:pPr>
    </w:p>
    <w:p>
      <w:pPr>
        <w:spacing w:after="0" w:line="245"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We derive revenue from two primary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as well as partnerships with financing services companies.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offer multiple types of marketplace Listings packages to our dealers through our platform: Restricted Listings (formerly referred to as Basic Listings), which is free; and various levels of Listings packages, which each require a paid subscription under a monthly, quarterly, semiannual, or annual subscription basis.</w:t>
      </w:r>
    </w:p>
    <w:p>
      <w:pPr>
        <w:spacing w:after="0" w:line="1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During the first quarter of 2020, we temporarily suspended our Restricted Listings product in the U.S. and Canada and put certain non-paying dealers in these countries into a suspended activity program. In this temporary program, which concluded for U.S. dealers during the second quarter of 2020 and is continuing for Canada dealers, we collected (or continue to collect, as applicable) leads from consumers but did not (or do not, as applicable) provide these leads to non-paying dealers. This program included (or includes, as applicable) formerly paying dealers who terminated their paid subscription with us due to the COVID-19 pandemic. We forwarded (or continue to forward, as applicable) leads collected under this suspended activity program to dealers on the earlier of their restoring their paid subscription or on an anonymized basis once we reinstated (or reinstate, as applicable) Restricted Listings, as the case may be.</w:t>
      </w:r>
    </w:p>
    <w:p>
      <w:pPr>
        <w:spacing w:after="0" w:line="19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subscriptions for customers generally auto-renew on a monthly basis and are cancellable by dealers with 30 days’ advance notice at the end of the committed term, although we did not require dealers to provide 30 days’ advance notice of termination for dealers who have canceled as a result of the COVID-19 pandemic. We also offer all dealers on our platform access to our Dealer Dashboard, which includes a performance summary, Dealer Insights tool, and user review management platform. Only dealers subscribing to a paid Listings package also have access to the Pricing Tool and Market Analysis tool. Subscription pricing is determined based on a dealer’s inventory size, region, and our assessment of the connections and ROI the platform will provide them and is subject to discounts and/or fee reductions that we may offer from time to time.</w:t>
      </w:r>
    </w:p>
    <w:p>
      <w:pPr>
        <w:spacing w:after="0" w:line="178"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addition to displaying inventory in our marketplace and providing access to the Dealer Dashboard, we offer dealers subscribing to certain of our Listings packages other subscription advertising and customer acquisition products and enhancements, including those marketed under our Real-time Performance Marketing suite, such as Dealer Display. With Dealer Display, dealers can buy display advertising that appears in our marketplace, on other sites on the internet and/or on Facebook, a highly converting social platform. Such advertisements can be targeted by the user’s geography, search history, CarGurus website activity (including showing a user relevant vehicles from a dealer’s inventory that the user has not yet discovered on our marketplace), and a number of other targeting factors, allowing dealers to increase their visibility with in-market consumers and drive qualified traffic for dealers.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display products for the PistonHeads website.</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As a result of the COVID-19 pandemic, we experienced a material adverse impact on our marketplace revenue as paying dealers cancelled their subscriptions with us (including, in some cases, with our permission prior to the end of the applicable contract term and notice period) and due to the fee reductions provided to customers in April, May and June, which resulted in reductions in the overall transaction price that were spread over the remaining contract term. In July 2020, we returned to normal contractual billings in all markets. Cancellations by paying dealers began to stabilize in May, which we believe resulted from the resumption of consumer activity as well as the fee reductions that we provided to our customers, although it is possible that additional dealers will cancel their subscriptions with us as they continue to experience the effects of the COVID-19 pandemic.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510"/>
        <w:spacing w:after="0" w:line="263" w:lineRule="auto"/>
        <w:rPr>
          <w:sz w:val="20"/>
          <w:szCs w:val="20"/>
          <w:color w:val="auto"/>
        </w:rPr>
      </w:pPr>
      <w:r>
        <w:rPr>
          <w:rFonts w:ascii="Arial" w:cs="Arial" w:eastAsia="Arial" w:hAnsi="Arial"/>
          <w:sz w:val="18"/>
          <w:szCs w:val="18"/>
          <w:color w:val="auto"/>
        </w:rPr>
        <w:t>Advertising and other revenue also includes revenue from partnerships with certain financing services companies pursuant to which we enable eligible consumers on our United States website to pre-qualify for financing on cars from dealerships that offer financing through such companies. Our revenues from these financing partnerships are based on a funded-loan basis.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display products for the Autolist and PistonHeads websites.</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As a result of the COVID-19 pandemic, we experienced a material adverse impact on our advertising revenue as some advertisers cancelled or reduced their advertising with us (including, in certain cases, with our permission prior to the end of the applicable contract term). Cancellations by advertising customers began to stabilize in May, which we believe resulted from the resumption of consumer activity. It is possible, however, that advertising customers will continue to cancel or reduce their advertising with us as they continue to experience the effects of the COVID-19 pandemic.</w:t>
      </w:r>
    </w:p>
    <w:p>
      <w:pPr>
        <w:spacing w:after="0" w:line="15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addition, a reduction in consumer visits to our sites during the COVID-19 pandemic resulted in the delivery of fewer impressions for our advertising customers in the second quarter of 2020, which has caused, and may continue to cause, an adverse impact on our advertising revenues; this impact was partially offset by, and may continue to be offset by, the increase in consumer visits over the course of the second quarter to our sites as we increased our consumer marketing expenses in response to the recovery in consumer and car shopping activity.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from partnerships with financing services companies was not adversely impacted by the COVID-19 pandemic.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Cost of revenue primarily consists of costs related to supporting and hosting our product offerings. These costs include salaries, benefits, incentive compensation, and stock-based compensation for our customer support team and third-party service provider costs such as data center and networking expenses, allocated overhead costs, depreciation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Sales and marketing expenses consist primarily of personnel and related expenses for our sales and marketing team,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amortization of internal-use software; and allocated overhead costs. A portion of our commissions that are related to obtaining a new contract is capitalized and amortized over the estimated benefit period of customer relationships. All other sales and marketing costs are expensed as incurred. We expect sales and marketing expenses to fluctuate from quarter to quarter as we respond to the COVID-19 pandemic and changes in the competitive landscape and attempt to restore our consumer audience and our brand awareness, which will impact our quarterly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Product, technology, and development expenses, which include research and development costs, consist primarily of personnel and related expenses for our development team, including salaries, benefits, incentive compensation, stock-based compensation and allocated overhead costs. Other than website development and internal-use software costs as well as other costs that qualify for capitalization, research and development costs are expensed as incurred. Despite our implementation of several cost saving initiatives associated with the COVID-19 pandemic, we expect product, technology, and development expenses to increase as we develop new solutions and make improvements to our existing platform.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General and administrative expenses consist primarily of personnel and related expenses for our executive, finance, legal, human resources, and administrative teams, including salaries, benefits, incentive compensation, and stock-based compensation, in addition to the costs associated with professional fees for external legal, accounting and other consulting services, insurance premiums, payment processing and billing costs, and allocated overhead costs. General and administrative costs are expensed as incurred. Despite our implementation of several cost saving initiatives associated with the COVID-19 pandemic, we expect general and administrative expenses to increase as we seek to grow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sublease income and net foreign exchange gains and losses.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have recognized a provision for income taxes for the three months ended June 30, 2020 and a benefit from income taxes for the three months ended June 30, 2019.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 against our net deferred tax assets as of June 30, 2020 and December 31, 2019 was immaterial.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4"/>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1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79,953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129,096</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221,819</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249,939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280,301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136,403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230,936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263,953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101,789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132,178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252,970</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net</w:t>
            </w:r>
          </w:p>
        </w:tc>
        <w:tc>
          <w:tcPr>
            <w:tcW w:w="1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1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center"/>
              <w:ind w:right="173"/>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jc w:val="center"/>
              <w:ind w:right="153"/>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89,746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237,752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94,737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145,031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252,426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35,599</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(6,628)</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(10,571)</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(14,871)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(20,517)</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Marketplace subscription</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Advertising and other</w:t>
            </w: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Product, technology, and development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Total other income, net</w:t>
            </w: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9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3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700" w:type="dxa"/>
            <w:vAlign w:val="bottom"/>
            <w:gridSpan w:val="2"/>
          </w:tcPr>
          <w:p>
            <w:pPr>
              <w:ind w:left="496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For the three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79,953</w:t>
            </w:r>
          </w:p>
        </w:tc>
        <w:tc>
          <w:tcPr>
            <w:tcW w:w="2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129,096</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(49,143)</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(1,151)</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145,031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(50,294)</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212529"/>
        </w:rPr>
        <w:t>Overall revenue decreased by $50.3 million, or 35%, in the three months ended June 30, 2020 compared to the three months ended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12529"/>
        </w:rPr>
        <w:t>Marketplace subscription revenue decreased by 38%, while advertising and other revenue decreased by 7%.</w:t>
      </w:r>
    </w:p>
    <w:p>
      <w:pPr>
        <w:spacing w:after="0" w:line="21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212529"/>
        </w:rPr>
        <w:t xml:space="preserve">Marketplace subscription revenue decreased by $49.1 million in the three months ended June 30, 2020 compared to the three months ended June 30, 2019 and represented 84% of total revenue for the three months ended June 30, 2020 and 89% for the three months ended June 30, 2019. This decrease in marketplace subscription revenue was primarily attributable to the impact of the COVID-19 pandemic. </w:t>
      </w:r>
      <w:r>
        <w:rPr>
          <w:rFonts w:ascii="Arial" w:cs="Arial" w:eastAsia="Arial" w:hAnsi="Arial"/>
          <w:sz w:val="18"/>
          <w:szCs w:val="18"/>
          <w:color w:val="000000"/>
        </w:rPr>
        <w:t>We experienced a reduction in marketplace revenue</w:t>
      </w:r>
      <w:r>
        <w:rPr>
          <w:rFonts w:ascii="Arial" w:cs="Arial" w:eastAsia="Arial" w:hAnsi="Arial"/>
          <w:sz w:val="18"/>
          <w:szCs w:val="18"/>
          <w:color w:val="212529"/>
        </w:rPr>
        <w:t xml:space="preserve"> </w:t>
      </w:r>
      <w:r>
        <w:rPr>
          <w:rFonts w:ascii="Arial" w:cs="Arial" w:eastAsia="Arial" w:hAnsi="Arial"/>
          <w:sz w:val="18"/>
          <w:szCs w:val="18"/>
          <w:color w:val="000000"/>
        </w:rPr>
        <w:t>as paying dealers cancelled their subscriptions with us (including, in some cases, with our permission prior to the end of the applicable contract term and notice period) and due to the fee reductions provided to customers in April, May and June, which resulted in reductions in the overall transaction price that were spread over the remaining contract term.</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212529"/>
        </w:rPr>
        <w:t>Advertising and other revenue decreased by $1.2 million in the three months ended June 30, 2020 compared to the three months ended June 30, 2019 and represented 16% of total revenue for the three months ended June 30, 2020 and 11% for the three months ended June 30, 2019. This decrease in advertising and other revenue was primarily attributable to the impact of the COVID-19 pandemic. We experienced a reduction in advertising revenue as some advertisers cancelled or reduced their advertising with us (including, in some cases, with our permission prior to the end of the applicable contract term). This reduction was offset in part by growth in consumer financing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89,746</w:t>
            </w:r>
          </w:p>
        </w:tc>
        <w:tc>
          <w:tcPr>
            <w:tcW w:w="2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137,010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(47,264)</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(3,030)</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145,031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(50,294)</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 xml:space="preserve">United States revenue decreased $47.3 million, or 34%, in the </w:t>
      </w:r>
      <w:r>
        <w:rPr>
          <w:rFonts w:ascii="Arial" w:cs="Arial" w:eastAsia="Arial" w:hAnsi="Arial"/>
          <w:sz w:val="16"/>
          <w:szCs w:val="16"/>
          <w:color w:val="212529"/>
        </w:rPr>
        <w:t>three months ended June 30, 2020</w:t>
      </w:r>
      <w:r>
        <w:rPr>
          <w:rFonts w:ascii="Arial" w:cs="Arial" w:eastAsia="Arial" w:hAnsi="Arial"/>
          <w:sz w:val="16"/>
          <w:szCs w:val="16"/>
          <w:color w:val="auto"/>
        </w:rPr>
        <w:t xml:space="preserve"> compared to the </w:t>
      </w:r>
      <w:r>
        <w:rPr>
          <w:rFonts w:ascii="Arial" w:cs="Arial" w:eastAsia="Arial" w:hAnsi="Arial"/>
          <w:sz w:val="16"/>
          <w:szCs w:val="16"/>
          <w:color w:val="212529"/>
        </w:rPr>
        <w:t>three months ended June 30, 2019</w:t>
      </w:r>
      <w:r>
        <w:rPr>
          <w:rFonts w:ascii="Arial" w:cs="Arial" w:eastAsia="Arial" w:hAnsi="Arial"/>
          <w:sz w:val="16"/>
          <w:szCs w:val="16"/>
          <w:color w:val="auto"/>
        </w:rPr>
        <w:t>, due primarily the impact of the COVID-19 pandemic as paying dealers cancelled their subscriptions with us (including, in certain cases, with our permission prior to the end of the applicable contract term and notice period) and due to the fee reductions provided to customers in April, May and June.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2" w:name="page33"/>
    <w:bookmarkEnd w:id="32"/>
    <w:p>
      <w:pPr>
        <w:jc w:val="both"/>
        <w:ind w:firstLine="510"/>
        <w:spacing w:after="0" w:line="311" w:lineRule="auto"/>
        <w:rPr>
          <w:sz w:val="20"/>
          <w:szCs w:val="20"/>
          <w:color w:val="auto"/>
        </w:rPr>
      </w:pPr>
      <w:r>
        <w:rPr>
          <w:rFonts w:ascii="Arial" w:cs="Arial" w:eastAsia="Arial" w:hAnsi="Arial"/>
          <w:sz w:val="16"/>
          <w:szCs w:val="16"/>
          <w:color w:val="212529"/>
        </w:rPr>
        <w:t xml:space="preserve">International revenue decreased $3.0 million, or 38%, in the three months ended June 30, 2020 compared to the three months ended June 30, 2019, </w:t>
      </w:r>
      <w:r>
        <w:rPr>
          <w:rFonts w:ascii="Arial" w:cs="Arial" w:eastAsia="Arial" w:hAnsi="Arial"/>
          <w:sz w:val="16"/>
          <w:szCs w:val="16"/>
          <w:color w:val="000000"/>
        </w:rPr>
        <w:t>due primarily to the impact of the COVID-19 pandemic as paying dealers cancelled their subscriptions with us (including, in some cases, with our</w:t>
      </w:r>
      <w:r>
        <w:rPr>
          <w:rFonts w:ascii="Arial" w:cs="Arial" w:eastAsia="Arial" w:hAnsi="Arial"/>
          <w:sz w:val="16"/>
          <w:szCs w:val="16"/>
          <w:color w:val="212529"/>
        </w:rPr>
        <w:t xml:space="preserve"> </w:t>
      </w:r>
      <w:r>
        <w:rPr>
          <w:rFonts w:ascii="Arial" w:cs="Arial" w:eastAsia="Arial" w:hAnsi="Arial"/>
          <w:sz w:val="16"/>
          <w:szCs w:val="16"/>
          <w:color w:val="000000"/>
        </w:rPr>
        <w:t>permission prior to the end of the applicable contract term and notice period) and due to the fee reductions provided to customers in April, May and June.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9,880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1,252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12529"/>
        </w:rPr>
        <w:t xml:space="preserve">Cost of revenue increased $1.3 million, or 15%, in the three months ended June 30, 2020 compared to the three months ended June 30, 2019. </w:t>
      </w:r>
      <w:r>
        <w:rPr>
          <w:rFonts w:ascii="Arial" w:cs="Arial" w:eastAsia="Arial" w:hAnsi="Arial"/>
          <w:sz w:val="17"/>
          <w:szCs w:val="17"/>
          <w:color w:val="000000"/>
        </w:rPr>
        <w:t>The</w:t>
      </w:r>
      <w:r>
        <w:rPr>
          <w:rFonts w:ascii="Arial" w:cs="Arial" w:eastAsia="Arial" w:hAnsi="Arial"/>
          <w:sz w:val="17"/>
          <w:szCs w:val="17"/>
          <w:color w:val="212529"/>
        </w:rPr>
        <w:t xml:space="preserve"> </w:t>
      </w:r>
      <w:r>
        <w:rPr>
          <w:rFonts w:ascii="Arial" w:cs="Arial" w:eastAsia="Arial" w:hAnsi="Arial"/>
          <w:sz w:val="17"/>
          <w:szCs w:val="17"/>
          <w:color w:val="000000"/>
        </w:rPr>
        <w:t>increase was primarily due to a $1.0 million increase in amortization due to the write-off of international websites in connection with the Expense Reduction Plan and amortization of website development costs, as well as a $0.7 million increase in costs primarily related to a reduction of vendor rebates. These increases were offset in part by a $0.6 million decrease in costs related to connecting consumers with dealers through a variety of methods, including phone calls, email, and managed text and chat, due to the effects of the COVID-19 pandemic.</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38,583</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101,789</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(63,206)</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212529"/>
        </w:rPr>
        <w:t xml:space="preserve">Sales and marketing expenses decreased $63.2 million, or 62%, in the three months ended June 30, 2020 compared to the three months ended June 30, 2019. </w:t>
      </w:r>
      <w:r>
        <w:rPr>
          <w:rFonts w:ascii="Arial" w:cs="Arial" w:eastAsia="Arial" w:hAnsi="Arial"/>
          <w:sz w:val="18"/>
          <w:szCs w:val="18"/>
          <w:color w:val="000000"/>
        </w:rPr>
        <w:t>The decrease was due primarily to a $60.6 million decrease in advertising costs, a $1.4 million decrease in marketing costs related to events</w:t>
      </w:r>
      <w:r>
        <w:rPr>
          <w:rFonts w:ascii="Arial" w:cs="Arial" w:eastAsia="Arial" w:hAnsi="Arial"/>
          <w:sz w:val="18"/>
          <w:szCs w:val="18"/>
          <w:color w:val="212529"/>
        </w:rPr>
        <w:t xml:space="preserve"> </w:t>
      </w:r>
      <w:r>
        <w:rPr>
          <w:rFonts w:ascii="Arial" w:cs="Arial" w:eastAsia="Arial" w:hAnsi="Arial"/>
          <w:sz w:val="18"/>
          <w:szCs w:val="18"/>
          <w:color w:val="000000"/>
        </w:rPr>
        <w:t>and research expenses, a $0.9 million decrease in consulting expenses, and a decrease in other sales and marketing expense as a result of cost-savings efforts we implemented in response to the COVID-19 pandemic. These decreases were offset in part by an increase of $2.2 million in employee severance and related benefits expense arising from the Expense Reduction Plan.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21,887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4,541</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212529"/>
        </w:rPr>
        <w:t xml:space="preserve">Product, technology, and development expenses increased $4.5 million, or 26%, in the three months ended June 30, 2020 compared to the three months ended June 30, 2019. </w:t>
      </w:r>
      <w:r>
        <w:rPr>
          <w:rFonts w:ascii="Arial" w:cs="Arial" w:eastAsia="Arial" w:hAnsi="Arial"/>
          <w:sz w:val="16"/>
          <w:szCs w:val="16"/>
          <w:color w:val="000000"/>
        </w:rPr>
        <w:t>The increase was due primarily to a $3.2 million increase in salaries and employee-related costs, exclusive of stock-based</w:t>
      </w:r>
      <w:r>
        <w:rPr>
          <w:rFonts w:ascii="Arial" w:cs="Arial" w:eastAsia="Arial" w:hAnsi="Arial"/>
          <w:sz w:val="16"/>
          <w:szCs w:val="16"/>
          <w:color w:val="212529"/>
        </w:rPr>
        <w:t xml:space="preserve"> </w:t>
      </w:r>
      <w:r>
        <w:rPr>
          <w:rFonts w:ascii="Arial" w:cs="Arial" w:eastAsia="Arial" w:hAnsi="Arial"/>
          <w:sz w:val="16"/>
          <w:szCs w:val="16"/>
          <w:color w:val="000000"/>
        </w:rPr>
        <w:t>compensation expense and employee severance and related benefits expense, which increased $1.3 million and $0.7 million, respectively. The increase in salaries and employee-related costs and stock-based compensation expense was due primarily to a 20% increase in headcount to support our growth plans and product innovations. The increase in employee severance and related benefits expense was related to the Expense Reduction Plan. These increases were offset in part by a $0.5 million decrease in consulting and recruiting expenses and a decrease in other product, technology, and development expenses as a result of cost-savings efforts we implemented in response to the COVID-19 pandemic. The increase for the three months ended June 30, 2020 is inclusive of product, technology, and development expenses associated with the integration and development of Autolist technology of $1.2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14,158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1,618</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212529"/>
        </w:rPr>
        <w:t xml:space="preserve">General and administrative expenses increased $1.6 million, or 13%, in the three months ended June 30, 2020 compared to the three months ended June 30, 2019. </w:t>
      </w:r>
      <w:r>
        <w:rPr>
          <w:rFonts w:ascii="Arial" w:cs="Arial" w:eastAsia="Arial" w:hAnsi="Arial"/>
          <w:sz w:val="17"/>
          <w:szCs w:val="17"/>
          <w:color w:val="000000"/>
        </w:rPr>
        <w:t>The increase was due primarily to a $0.8 million increase in salaries and employee-related costs, exclusive of stock-based compensation</w:t>
      </w:r>
      <w:r>
        <w:rPr>
          <w:rFonts w:ascii="Arial" w:cs="Arial" w:eastAsia="Arial" w:hAnsi="Arial"/>
          <w:sz w:val="17"/>
          <w:szCs w:val="17"/>
          <w:color w:val="212529"/>
        </w:rPr>
        <w:t xml:space="preserve"> </w:t>
      </w:r>
      <w:r>
        <w:rPr>
          <w:rFonts w:ascii="Arial" w:cs="Arial" w:eastAsia="Arial" w:hAnsi="Arial"/>
          <w:sz w:val="17"/>
          <w:szCs w:val="17"/>
          <w:color w:val="000000"/>
        </w:rPr>
        <w:t xml:space="preserve">expense, which increased $1.1 million. The increase in salaries and employee-related costs and stock-based compensation expense was due primarily to a 4% increase in headcount. The increase for the </w:t>
      </w:r>
      <w:r>
        <w:rPr>
          <w:rFonts w:ascii="Arial" w:cs="Arial" w:eastAsia="Arial" w:hAnsi="Arial"/>
          <w:sz w:val="17"/>
          <w:szCs w:val="17"/>
          <w:color w:val="212529"/>
        </w:rPr>
        <w:t>three months ended June 30, 2020</w:t>
      </w:r>
      <w:r>
        <w:rPr>
          <w:rFonts w:ascii="Arial" w:cs="Arial" w:eastAsia="Arial" w:hAnsi="Arial"/>
          <w:sz w:val="17"/>
          <w:szCs w:val="17"/>
          <w:color w:val="000000"/>
        </w:rPr>
        <w:t xml:space="preserve"> was offset in part by a decrease of $0.6 million in costs related to payment processing and billing due to decreased customer transactions as a result of decreased revenue and a decrease in other general and administrative expenses as a result of cost-savings efforts we implemented in response to the COVID-19 pandemic.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1,520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340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 xml:space="preserve">Depreciation and amortization expenses increased $0.3 million, or 29%, in the </w:t>
      </w:r>
      <w:r>
        <w:rPr>
          <w:rFonts w:ascii="Arial" w:cs="Arial" w:eastAsia="Arial" w:hAnsi="Arial"/>
          <w:sz w:val="17"/>
          <w:szCs w:val="17"/>
          <w:color w:val="212529"/>
        </w:rPr>
        <w:t>three months ended June 30, 2020</w:t>
      </w:r>
      <w:r>
        <w:rPr>
          <w:rFonts w:ascii="Arial" w:cs="Arial" w:eastAsia="Arial" w:hAnsi="Arial"/>
          <w:sz w:val="17"/>
          <w:szCs w:val="17"/>
          <w:color w:val="auto"/>
        </w:rPr>
        <w:t xml:space="preserve"> compared to the </w:t>
      </w:r>
      <w:r>
        <w:rPr>
          <w:rFonts w:ascii="Arial" w:cs="Arial" w:eastAsia="Arial" w:hAnsi="Arial"/>
          <w:sz w:val="17"/>
          <w:szCs w:val="17"/>
          <w:color w:val="212529"/>
        </w:rPr>
        <w:t>three months</w:t>
      </w:r>
      <w:r>
        <w:rPr>
          <w:rFonts w:ascii="Arial" w:cs="Arial" w:eastAsia="Arial" w:hAnsi="Arial"/>
          <w:sz w:val="17"/>
          <w:szCs w:val="17"/>
          <w:color w:val="auto"/>
        </w:rPr>
        <w:t xml:space="preserve"> </w:t>
      </w:r>
      <w:r>
        <w:rPr>
          <w:rFonts w:ascii="Arial" w:cs="Arial" w:eastAsia="Arial" w:hAnsi="Arial"/>
          <w:sz w:val="17"/>
          <w:szCs w:val="17"/>
          <w:color w:val="212529"/>
        </w:rPr>
        <w:t>ended June 30, 2019</w:t>
      </w:r>
      <w:r>
        <w:rPr>
          <w:rFonts w:ascii="Arial" w:cs="Arial" w:eastAsia="Arial" w:hAnsi="Arial"/>
          <w:sz w:val="17"/>
          <w:szCs w:val="17"/>
          <w:color w:val="000000"/>
        </w:rPr>
        <w:t>, due primarily to an increase in depreciation</w:t>
      </w:r>
      <w:r>
        <w:rPr>
          <w:rFonts w:ascii="Arial" w:cs="Arial" w:eastAsia="Arial" w:hAnsi="Arial"/>
          <w:sz w:val="17"/>
          <w:szCs w:val="17"/>
          <w:color w:val="212529"/>
        </w:rPr>
        <w:t xml:space="preserve"> related to the leasehold improvements associated with additional office </w:t>
      </w:r>
      <w:r>
        <w:rPr>
          <w:rFonts w:ascii="Arial" w:cs="Arial" w:eastAsia="Arial" w:hAnsi="Arial"/>
          <w:sz w:val="17"/>
          <w:szCs w:val="17"/>
          <w:color w:val="000000"/>
        </w:rPr>
        <w:t>space leased at 55</w:t>
      </w:r>
      <w:r>
        <w:rPr>
          <w:rFonts w:ascii="Arial" w:cs="Arial" w:eastAsia="Arial" w:hAnsi="Arial"/>
          <w:sz w:val="17"/>
          <w:szCs w:val="17"/>
          <w:color w:val="212529"/>
        </w:rPr>
        <w:t xml:space="preserve"> </w:t>
      </w:r>
      <w:r>
        <w:rPr>
          <w:rFonts w:ascii="Arial" w:cs="Arial" w:eastAsia="Arial" w:hAnsi="Arial"/>
          <w:sz w:val="17"/>
          <w:szCs w:val="17"/>
          <w:color w:val="000000"/>
        </w:rPr>
        <w:t>Cambridge Parkway in Cambridge, Massachusetts as well as amortization of intangible assets primarily related to Autolist.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6"/>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3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160"/>
              <w:spacing w:after="0"/>
              <w:rPr>
                <w:sz w:val="20"/>
                <w:szCs w:val="20"/>
                <w:color w:val="auto"/>
              </w:rPr>
            </w:pPr>
            <w:r>
              <w:rPr>
                <w:rFonts w:ascii="Arial" w:cs="Arial" w:eastAsia="Arial" w:hAnsi="Arial"/>
                <w:sz w:val="18"/>
                <w:szCs w:val="18"/>
                <w:color w:val="auto"/>
              </w:rPr>
              <w:t>Total other income, net</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Total other income, net decreased $0.4 million, or 44%, in the </w:t>
      </w:r>
      <w:r>
        <w:rPr>
          <w:rFonts w:ascii="Arial" w:cs="Arial" w:eastAsia="Arial" w:hAnsi="Arial"/>
          <w:sz w:val="16"/>
          <w:szCs w:val="16"/>
          <w:color w:val="212529"/>
        </w:rPr>
        <w:t>three months ended June 30, 2020</w:t>
      </w:r>
      <w:r>
        <w:rPr>
          <w:rFonts w:ascii="Arial" w:cs="Arial" w:eastAsia="Arial" w:hAnsi="Arial"/>
          <w:sz w:val="16"/>
          <w:szCs w:val="16"/>
          <w:color w:val="auto"/>
        </w:rPr>
        <w:t xml:space="preserve"> compared to the </w:t>
      </w:r>
      <w:r>
        <w:rPr>
          <w:rFonts w:ascii="Arial" w:cs="Arial" w:eastAsia="Arial" w:hAnsi="Arial"/>
          <w:sz w:val="16"/>
          <w:szCs w:val="16"/>
          <w:color w:val="212529"/>
        </w:rPr>
        <w:t>three months ended June 30, 2019</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$0.4 million decrease in interest income was primarily due to lower investments in certificates of deposit during the three months ended June 30, 2020.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3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2"/>
              <w:spacing w:after="0" w:line="155"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4"/>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2,052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62"/>
              <w:spacing w:after="0"/>
              <w:rPr>
                <w:sz w:val="20"/>
                <w:szCs w:val="20"/>
                <w:color w:val="auto"/>
              </w:rPr>
            </w:pPr>
            <w:r>
              <w:rPr>
                <w:rFonts w:ascii="Arial" w:cs="Arial" w:eastAsia="Arial" w:hAnsi="Arial"/>
                <w:sz w:val="18"/>
                <w:szCs w:val="18"/>
                <w:color w:val="auto"/>
              </w:rPr>
              <w:t>3,662</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912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NM — Not Meaningful</w:t>
      </w:r>
    </w:p>
    <w:p>
      <w:pPr>
        <w:spacing w:after="0" w:line="26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212529"/>
        </w:rPr>
        <w:t>The provision for income taxes recorded during the three months ended June 30, 2020, as compared to the benefit from income taxes recorded during the three months ended June 30, 2019 was principally due to $0.8 million of tax expense related to shortfalls on the taxable compensation of share-based awards recorded during the three months ended June 30, 2020, compared to $2.4 million of tax benefit related to excess stock-based compensation deductions recorded during the three months ended June 30,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15,337</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14,119</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(6,628)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(10,571)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912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 xml:space="preserve">United States income from operations increased $1.2 million, or 9%, in the </w:t>
      </w:r>
      <w:r>
        <w:rPr>
          <w:rFonts w:ascii="Arial" w:cs="Arial" w:eastAsia="Arial" w:hAnsi="Arial"/>
          <w:sz w:val="18"/>
          <w:szCs w:val="18"/>
          <w:color w:val="212529"/>
        </w:rPr>
        <w:t>three months ended June 30, 2020</w:t>
      </w:r>
      <w:r>
        <w:rPr>
          <w:rFonts w:ascii="Arial" w:cs="Arial" w:eastAsia="Arial" w:hAnsi="Arial"/>
          <w:sz w:val="18"/>
          <w:szCs w:val="18"/>
          <w:color w:val="auto"/>
        </w:rPr>
        <w:t xml:space="preserve"> compared to the </w:t>
      </w:r>
      <w:r>
        <w:rPr>
          <w:rFonts w:ascii="Arial" w:cs="Arial" w:eastAsia="Arial" w:hAnsi="Arial"/>
          <w:sz w:val="18"/>
          <w:szCs w:val="18"/>
          <w:color w:val="212529"/>
        </w:rPr>
        <w:t>three months ended</w:t>
      </w:r>
      <w:r>
        <w:rPr>
          <w:rFonts w:ascii="Arial" w:cs="Arial" w:eastAsia="Arial" w:hAnsi="Arial"/>
          <w:sz w:val="18"/>
          <w:szCs w:val="18"/>
          <w:color w:val="auto"/>
        </w:rPr>
        <w:t xml:space="preserve"> </w:t>
      </w:r>
      <w:r>
        <w:rPr>
          <w:rFonts w:ascii="Arial" w:cs="Arial" w:eastAsia="Arial" w:hAnsi="Arial"/>
          <w:sz w:val="18"/>
          <w:szCs w:val="18"/>
          <w:color w:val="212529"/>
        </w:rPr>
        <w:t>June 30, 2019</w:t>
      </w:r>
      <w:r>
        <w:rPr>
          <w:rFonts w:ascii="Arial" w:cs="Arial" w:eastAsia="Arial" w:hAnsi="Arial"/>
          <w:sz w:val="18"/>
          <w:szCs w:val="18"/>
          <w:color w:val="000000"/>
        </w:rPr>
        <w:t>. This increase was due to decreases in operating expenses of $49.0 million, offset by decreases in revenue of $47.3 million and an increase in</w:t>
      </w:r>
      <w:r>
        <w:rPr>
          <w:rFonts w:ascii="Arial" w:cs="Arial" w:eastAsia="Arial" w:hAnsi="Arial"/>
          <w:sz w:val="18"/>
          <w:szCs w:val="18"/>
          <w:color w:val="212529"/>
        </w:rPr>
        <w:t xml:space="preserve"> </w:t>
      </w:r>
      <w:r>
        <w:rPr>
          <w:rFonts w:ascii="Arial" w:cs="Arial" w:eastAsia="Arial" w:hAnsi="Arial"/>
          <w:sz w:val="18"/>
          <w:szCs w:val="18"/>
          <w:color w:val="000000"/>
        </w:rPr>
        <w:t>cost of revenue of $0.5 million.</w:t>
      </w:r>
    </w:p>
    <w:p>
      <w:pPr>
        <w:spacing w:after="0" w:line="18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212529"/>
        </w:rPr>
        <w:t xml:space="preserve">International loss from operations decreased $3.9 million, or 37%, in the three months ended June 30, 2020 compared to the three months ended June 30, 2019. </w:t>
      </w:r>
      <w:r>
        <w:rPr>
          <w:rFonts w:ascii="Arial" w:cs="Arial" w:eastAsia="Arial" w:hAnsi="Arial"/>
          <w:sz w:val="16"/>
          <w:szCs w:val="16"/>
          <w:color w:val="000000"/>
        </w:rPr>
        <w:t>The decrease in International loss from operations is the result of a $7.7 million decrease in operating expenses due to ceasing of operations</w:t>
      </w:r>
      <w:r>
        <w:rPr>
          <w:rFonts w:ascii="Arial" w:cs="Arial" w:eastAsia="Arial" w:hAnsi="Arial"/>
          <w:sz w:val="16"/>
          <w:szCs w:val="16"/>
          <w:color w:val="212529"/>
        </w:rPr>
        <w:t xml:space="preserve"> </w:t>
      </w:r>
      <w:r>
        <w:rPr>
          <w:rFonts w:ascii="Arial" w:cs="Arial" w:eastAsia="Arial" w:hAnsi="Arial"/>
          <w:sz w:val="16"/>
          <w:szCs w:val="16"/>
          <w:color w:val="000000"/>
        </w:rPr>
        <w:t>in certain markets, offset in part by a decrease in international revenues of $3.0 million and an increase in cost of revenue of $0.8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7"/>
          </w:tcPr>
          <w:p>
            <w:pPr>
              <w:ind w:lef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221,819</w:t>
            </w:r>
          </w:p>
        </w:tc>
        <w:tc>
          <w:tcPr>
            <w:tcW w:w="2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249,939</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(28,120)</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54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252,426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(27,875)</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color w:val="auto"/>
        </w:rPr>
        <w:t>Overall revenue decreased by $27.9 million, or 10%, in the six months ended June 30, 2020 compared to the six months ended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Marketplace subscription revenue decreased by 11%, while advertising and other revenue grew by 1%.</w:t>
      </w:r>
    </w:p>
    <w:p>
      <w:pPr>
        <w:spacing w:after="0" w:line="21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Marketplace subscription revenue decreased by $28.1 million in the six months ended June 30, 2020 compared to the six months ended June 30, 2019 and represented 88% of total revenue for the six months ended June 30, 2020 and 89% of revenue for the six months ended June 30, 2019. </w:t>
      </w:r>
      <w:r>
        <w:rPr>
          <w:rFonts w:ascii="Arial" w:cs="Arial" w:eastAsia="Arial" w:hAnsi="Arial"/>
          <w:sz w:val="18"/>
          <w:szCs w:val="18"/>
          <w:color w:val="212529"/>
        </w:rPr>
        <w:t>This</w:t>
      </w:r>
      <w:r>
        <w:rPr>
          <w:rFonts w:ascii="Arial" w:cs="Arial" w:eastAsia="Arial" w:hAnsi="Arial"/>
          <w:sz w:val="18"/>
          <w:szCs w:val="18"/>
          <w:color w:val="auto"/>
        </w:rPr>
        <w:t xml:space="preserve"> </w:t>
      </w:r>
      <w:r>
        <w:rPr>
          <w:rFonts w:ascii="Arial" w:cs="Arial" w:eastAsia="Arial" w:hAnsi="Arial"/>
          <w:sz w:val="18"/>
          <w:szCs w:val="18"/>
          <w:color w:val="212529"/>
        </w:rPr>
        <w:t xml:space="preserve">decrease in marketplace subscription revenue was primarily attributable to the impact of the COVID-19 pandemic. </w:t>
      </w:r>
      <w:r>
        <w:rPr>
          <w:rFonts w:ascii="Arial" w:cs="Arial" w:eastAsia="Arial" w:hAnsi="Arial"/>
          <w:sz w:val="18"/>
          <w:szCs w:val="18"/>
          <w:color w:val="000000"/>
        </w:rPr>
        <w:t>We experienced a reduction in</w:t>
      </w:r>
      <w:r>
        <w:rPr>
          <w:rFonts w:ascii="Arial" w:cs="Arial" w:eastAsia="Arial" w:hAnsi="Arial"/>
          <w:sz w:val="18"/>
          <w:szCs w:val="18"/>
          <w:color w:val="212529"/>
        </w:rPr>
        <w:t xml:space="preserve"> </w:t>
      </w:r>
      <w:r>
        <w:rPr>
          <w:rFonts w:ascii="Arial" w:cs="Arial" w:eastAsia="Arial" w:hAnsi="Arial"/>
          <w:sz w:val="18"/>
          <w:szCs w:val="18"/>
          <w:color w:val="000000"/>
        </w:rPr>
        <w:t>marketplace revenue as paying dealers cancelled their subscriptions with us (including, in some cases, with our permission prior to the end of the applicable contract term and notice period) and due to the fee reductions provided to customers in April, May and June, which resulted in reductions in the overall transaction price that were spread over the remaining contract term.</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Advertising and other revenue increased by $0.2 million in the six months ended June 30, 2020 compared to the six months ended June 30, 2019 and represented 12% of total revenue for the six months ended June 30, 2020 and 11% of total revenue for the six months ended June 30, 2019. The increase in advertising and other revenue was primarily due to $2.1 million of revenue from Autolist and an increase in revenues from consumer financing, offset by the impact of the COVID-19 pandemic. We experienced a reduction in advertising revenue as some advertisers cancelled or reduced their advertising with us (including, in some cases, with our permission prior to the end of the applicable contract term).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237,752</w:t>
            </w:r>
          </w:p>
        </w:tc>
        <w:tc>
          <w:tcPr>
            <w:tcW w:w="2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265,413</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(27,661)</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252,426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(27,875)</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United States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United States revenue decreased $27.7 million, or 10%, in the six months ended June 30, 2020 compared to the six months ended June 30, 2019, due primarily the impact of the COVID-19 pandemic as paying dealers cancelled their subscriptions with us (including, in some cases, with our permission prior to the end of the applicable contract term and notice period) and due to the fee reductions provided to customers in April, May and June.</w:t>
      </w:r>
    </w:p>
    <w:p>
      <w:pPr>
        <w:spacing w:after="0" w:line="189"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International revenue decreased $0.2 million, or 1%, in the six months ended June 30, 2020 compared to the six months ended June 30, 2019, due primarily the impact of the COVID-19 pandemic as paying dealers cancelled their subscriptions with us (including, in some cases, with our permission prior to the end of the applicable contract term and notice period) and due to the fee reductions provided to customers in April, May and June.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21,490</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5,142</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Cost of revenue increased $5.1 million, or 31%, in the six months ended June 30, 2020 compared to the six months ended June 30, 2019. The increase was due primarily to a $1.6 million increase in amortization due to the write-off of international websites in connection with the Expense Reduction Plan and amortization of website development costs, a $1.4 million increase in fees related to provisioning advertising campaigns on our websites, a $1.1 million increase in data center and hosting costs and a $1.0 million increase in costs primarily related to a reduction of vendor rebates. These increases were offset in part by a $0.6 million decrease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costs related to connecting consumers with dealers through a variety of methods, including phone calls, email, and managed text and chat, due to the effects of the COVID-19 pandemic. The increase for the six months ended June 30, 2020 was also partially attributable to cost of revenue associated with Autolist of $0.5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13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4"/>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132,178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193,105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(60,927)</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Sales and marketing expenses decreased $60.9 million, or 32%, in the six months ended June 30, 2020 compared to the six months ended June 30, 2019. The decrease was due primarily to a $60.2 million decrease in advertising costs attributable to cost-savings efforts we implemented in response to the COVID-19 pandemic, a $1.5 million decrease in marketing costs related to events and research expenses, a $0.9 million decrease in consulting and recruiting expenses, and a decrease in other sales and marketing expense as a result of cost-savings efforts we implemented in response to the COVID-19 pandemic. These decreases were offset in part by an increase of $1.2 million in salaries and employee-related costs, exclusive of employee severance and related benefits expense, which increased $2.2 million. The increase in salaries and employee-related costs was due to an increase in merit increases and promotions. The increase in employee severance and related benefits expense was related to the Expense Reduction Plan. The decrease for the six months ended June 30, 2020 was also partially offset by increased sales and marketing expenses associated with the integration and marketing of Autolist of $0.9 million.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44,971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11,653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Product, technology, and development expenses increased $11.7 million, or 35%, in the six months ended June 30, 2020 compared to the six months ended June 30, 2019. The increase was due primarily to a $6.8 million increase in salaries and employee-related costs, exclusive of stock-based compensation expense and employee severance and related benefits expense, which increased $3.5 million and $0.7 million, respectively. The increase in salaries and employee-related costs and stock-based compensation expense was due primarily to a 20% increase in headcount to support our growth plans and product innovations. The increase in employee severance and related benefits expense was related to the Expense Reduction Plan. The increase in product, technology, and development expenses for the six months ended June 30, 2020 was also due in part to a $1.1 million increase in rent costs due to additional office space at 55 Cambridge Parkway, in Cambridge, Massachusetts. These increases were offset in part by a $0.5 million decrease in consulting and recruiting expenses and a decrease in other product, technology, and development expenses as a result of cost-savings efforts we implemented in response to the COVID-19 pandemic. The increase for the six months ended June 30, 2020 is inclusive of product, technology, and development expenses associated with the integration and development of Autolist technology of $2.8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30,018</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5,718</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jc w:val="both"/>
        <w:ind w:firstLine="510"/>
        <w:spacing w:after="0" w:line="293" w:lineRule="auto"/>
        <w:rPr>
          <w:sz w:val="20"/>
          <w:szCs w:val="20"/>
          <w:color w:val="auto"/>
        </w:rPr>
      </w:pPr>
      <w:r>
        <w:rPr>
          <w:rFonts w:ascii="Arial" w:cs="Arial" w:eastAsia="Arial" w:hAnsi="Arial"/>
          <w:sz w:val="16"/>
          <w:szCs w:val="16"/>
          <w:color w:val="auto"/>
        </w:rPr>
        <w:t>General and administrative expenses increased $5.7 million, or 24%, in the six months ended June 30, 2020 compared to the six months ended June 30, 2019. The increase was due primarily to a $1.6 million increase in salaries and employee-related costs, exclusive of stock-based compensation expense, which increased $2.5 million. The increase in salaries and employee-related costs and stock-based compensation expense was due primarily to a 4% increase in headcount. The increase was also due in part to a $1.3 million increase in bad debt expense as a result of increasing our allowance for doubtful accounts as a result of the impact of the COVID-19 pandemic. The increase for the six months ended was offset in part by a decrease in various general and administrative expenses as a result of cost-savings efforts we implemented in response to the COVID-19 pandemic.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3,041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794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Depreciation and amortization expenses increased $0.8 million, or 35%, in the six months ended June 30, 2020 compared to the six months ended June 30, 2019, due primarily to an increase in depreciation related to the leasehold improvements associated with additional office space leased at 55 Cambridge Parkway in Cambridge, Massachusetts as well as amortization of intangible assets primarily related to Autolist.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6"/>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1,488</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(684)</w:t>
            </w: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510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160"/>
              <w:spacing w:after="0"/>
              <w:rPr>
                <w:sz w:val="20"/>
                <w:szCs w:val="20"/>
                <w:color w:val="auto"/>
              </w:rPr>
            </w:pPr>
            <w:r>
              <w:rPr>
                <w:rFonts w:ascii="Arial" w:cs="Arial" w:eastAsia="Arial" w:hAnsi="Arial"/>
                <w:sz w:val="18"/>
                <w:szCs w:val="18"/>
                <w:color w:val="auto"/>
              </w:rPr>
              <w:t>Total other income, net</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Total other income, net decreased $1.3 million, or 52%, in the six months ended June 30, 2020 compared to the six months ended June 30, 2019. The $0.6 million decrease in interest income was primarily due to lower investments in certificates of deposit during the six months ended June 30, 2020. The $0.6 million decrease in other income, net was primarily due to a $0.8 million decrease in unrealized gain. In the six months ended June 30, 2019 we had an unrealized gain associated with an intercompany receivable related to the acquisition of PistonHeads.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2,103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7,216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jc w:val="both"/>
        <w:ind w:firstLine="510"/>
        <w:spacing w:after="0" w:line="257" w:lineRule="auto"/>
        <w:rPr>
          <w:sz w:val="20"/>
          <w:szCs w:val="20"/>
          <w:color w:val="auto"/>
        </w:rPr>
      </w:pPr>
      <w:r>
        <w:rPr>
          <w:rFonts w:ascii="Arial" w:cs="Arial" w:eastAsia="Arial" w:hAnsi="Arial"/>
          <w:sz w:val="18"/>
          <w:szCs w:val="18"/>
          <w:color w:val="auto"/>
        </w:rPr>
        <w:t>The provision for income taxes recorded during the six months ended June 30, 2020, as compared to the benefit from income taxes recorded during the six months ended June 30, 2019 was principally due to $0.5 million of tax benefit related to excess stock-based compensation deductions recorded during the six months ended June 30, 2020, compared to $7.7 million recorded during the six months ended June 30, 2019, as well as a decrease in federal and state research and development tax credits as compared to the six months ended June 30, 2019, as a result of the decreased excess stock-based compensation included in research and development wages.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7"/>
          </w:tcPr>
          <w:p>
            <w:pPr>
              <w:ind w:lef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35,599</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(14,871)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(20,517)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89"/>
              </w:rPr>
              <w:t>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13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20,728</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89%</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912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United States income from operations increased $4.1 million or 13%, in the six months ended June 30, 2020 compared to the six months ended June 30, 2019. This increase was due to decreases in operating expenses of $35.9 million and cost of revenue of $4.1 million, offset by decreases in revenue of $27.7 million.</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International loss from operations decreased $5.6 million, or 28%, in the six months ended June 30, 2020 compared to the six months ended June 30, 2019. The decrease in International loss from operations is the result of a decrease in operating expenses of $6.8 million due to ceasing of operations in certain markets, offset in part by an increase in cost of revenue of $1.0 million and a decrease in revenue of $0.2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June 30, 2020 and December 31, 2019, our principal sources of liquidity were cash and cash equivalents of $133.2 million and $59.9 million, respectively, and investments in certificates of deposit with terms of greater than 90 days but less than one year of $43.0 million and $111.7 million at June 30, 2020 and December 31, 2019,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5"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Six Months Ended</w:t>
      </w:r>
    </w:p>
    <w:p>
      <w:pPr>
        <w:jc w:val="center"/>
        <w:ind w:left="52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700" w:type="dxa"/>
        <w:tblCellMar>
          <w:top w:w="0" w:type="dxa"/>
          <w:left w:w="0" w:type="dxa"/>
          <w:bottom w:w="0" w:type="dxa"/>
          <w:right w:w="0" w:type="dxa"/>
        </w:tblCellMar>
      </w:tblPr>
      <w:tr>
        <w:trPr>
          <w:trHeight w:val="156"/>
        </w:trPr>
        <w:tc>
          <w:tcPr>
            <w:tcW w:w="53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25,729</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(25,777)</w:t>
            </w: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(4,875)</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(7,515)</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Impact of foreign currency on cash</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Net increase (decrease) in cash, cash equivalents, and restricted cash</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73,499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operations have been financed primarily from operating activities and our initial public offering. We generated cash from operating activities of $34.9 million during the six months ended June 30, 2020, and $25.7 million during the six months ended June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9" w:name="page40"/>
    <w:bookmarkEnd w:id="39"/>
    <w:p>
      <w:pPr>
        <w:jc w:val="both"/>
        <w:ind w:firstLine="510"/>
        <w:spacing w:after="0" w:line="270"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from the date of the filing of this Quarterly Report. During the second quarter of 2020 in connection with the COVID-19 pandemic, we implemented the Expense Reduction Plan, pursuant to which we reduced our workforce, ceased operation of certain international marketplaces, halted expansion efforts in any new international markets, and implemented targeted reductions in sales and marketing expenses, including across both algorithmic traffic acquisition and brand spend, and discretionary operating expenses. Our future capital requirements will depend on many factors, including the further impact of the COVID-19 pandemic, our revenue, costs associated with our sales and marketing activities and the support of our product, technology, and development efforts, our investments in international markets, and the timing and extent of our cost savings related to the Expense Reduction Plan. Cash from operations could also be affected by various risks and uncertainties, including, but not limited to, the effects of the COVID-19 pandemic and other risks detailed in the “Risk Factors” section of this Quarterly Report.</w:t>
      </w:r>
    </w:p>
    <w:p>
      <w:pPr>
        <w:spacing w:after="0" w:line="18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 including due to increased volatility in the capital markets attributable to the COVID-19 pandemic.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 xml:space="preserve">Cash provided by operating activities of $34.9 million during the six months ended June 30, 2020 was due primarily to net income of $19.8 million, adjusted for $23.4 million of stock-based compensation expense for equity classified awards, $6.3 million of depreciation and amortization, $5.6 million of amortization of deferred contract costs, $4.7 million of deferred taxes, and $1.7 million of provision for doubtful accounts. Cash provided by operating activities was also attributable to a $5.7 million decrease in accounts receivable, a $2.8 decrease in </w:t>
      </w:r>
      <w:r>
        <w:rPr>
          <w:rFonts w:ascii="Arial" w:cs="Arial" w:eastAsia="Arial" w:hAnsi="Arial"/>
          <w:sz w:val="17"/>
          <w:szCs w:val="17"/>
          <w:color w:val="212529"/>
        </w:rPr>
        <w:t>prepaid expenses, prepaid income taxes, and other</w:t>
      </w:r>
      <w:r>
        <w:rPr>
          <w:rFonts w:ascii="Arial" w:cs="Arial" w:eastAsia="Arial" w:hAnsi="Arial"/>
          <w:sz w:val="17"/>
          <w:szCs w:val="17"/>
          <w:color w:val="auto"/>
        </w:rPr>
        <w:t xml:space="preserve"> </w:t>
      </w:r>
      <w:r>
        <w:rPr>
          <w:rFonts w:ascii="Arial" w:cs="Arial" w:eastAsia="Arial" w:hAnsi="Arial"/>
          <w:sz w:val="17"/>
          <w:szCs w:val="17"/>
          <w:color w:val="212529"/>
        </w:rPr>
        <w:t>assets</w:t>
      </w:r>
      <w:r>
        <w:rPr>
          <w:rFonts w:ascii="Arial" w:cs="Arial" w:eastAsia="Arial" w:hAnsi="Arial"/>
          <w:sz w:val="17"/>
          <w:szCs w:val="17"/>
          <w:color w:val="000000"/>
        </w:rPr>
        <w:t>, a $1.2 million increase in other non-current liabilities, and a $0.9 million increase in lease obligations. The increases in cash flow from operations</w:t>
      </w:r>
      <w:r>
        <w:rPr>
          <w:rFonts w:ascii="Arial" w:cs="Arial" w:eastAsia="Arial" w:hAnsi="Arial"/>
          <w:sz w:val="17"/>
          <w:szCs w:val="17"/>
          <w:color w:val="212529"/>
        </w:rPr>
        <w:t xml:space="preserve"> </w:t>
      </w:r>
      <w:r>
        <w:rPr>
          <w:rFonts w:ascii="Arial" w:cs="Arial" w:eastAsia="Arial" w:hAnsi="Arial"/>
          <w:sz w:val="17"/>
          <w:szCs w:val="17"/>
          <w:color w:val="000000"/>
        </w:rPr>
        <w:t>were partially offset by a $25.9 million decrease in accounts payable, a $1.8 million decrease in deferred revenue, a $5.3 million decrease in accrued expenses, accrued income taxes, and other current liabilities and a $4.1 million increase in deferred contract costs.</w:t>
      </w:r>
    </w:p>
    <w:p>
      <w:pPr>
        <w:spacing w:after="0" w:line="17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212529"/>
        </w:rPr>
        <w:t xml:space="preserve">Cash provided by operating activities of $25.7 million during the six months ended June 30, 2019 was </w:t>
      </w:r>
      <w:r>
        <w:rPr>
          <w:rFonts w:ascii="Arial" w:cs="Arial" w:eastAsia="Arial" w:hAnsi="Arial"/>
          <w:sz w:val="18"/>
          <w:szCs w:val="18"/>
          <w:color w:val="000000"/>
        </w:rPr>
        <w:t>due primarily to net income of $18.6</w:t>
      </w:r>
      <w:r>
        <w:rPr>
          <w:rFonts w:ascii="Arial" w:cs="Arial" w:eastAsia="Arial" w:hAnsi="Arial"/>
          <w:sz w:val="18"/>
          <w:szCs w:val="18"/>
          <w:color w:val="212529"/>
        </w:rPr>
        <w:t xml:space="preserve"> million, adjusted for $16.6 million of stock-based compensation expense, $3.6 million of amortization of deferred contract costs and $3.5 million of depreciation and amortization, partially offset by $5.3 million of deferred taxes. Cash provided by operating activities was also attributable to a $6.0 million increase in accounts payable, partially offset by a $7.8 million increase in deferred contract costs, a $3.8 million increase in accounts receivable, a $2.0 increase in prepaid expenses, prepaid income taxes, and other assets, a $1.9 million decrease in lease obligations, and a $1.3 million decrease in accrued expenses, accrued income taxes, and other current liabilities.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provided by investing activities of $43.4 million during the six months ended June 30, 2020 was due to maturities of certificates of deposit of $68.7 million, offset in part by $21.0 million of cash paid for acquisitions, $2.6 million related to the capitalization of website development costs, and $1.7 million of purchases of property and equipment.</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investing activities of $25.8 million during the six months ended June 30, 2019 was due $19.1 million of acquisition cash payments, $8.7 million of purchases of property and equipment and $1.5 million related to the capitalization of website development costs. This was offset by $100.0 million of maturities of certificates of deposit, net of investments in certificates of deposit of $96.5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Cash used in financing activities of $4.9 million during the six months ended June 30, 2020 was due primarily to the payment of withholding taxes on net share settlements of restricted stock units of $5.8 million, partially offset by $0.9 million related to the proceeds from the issuance of common stock related to the exercise of vested stock options.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financing activities of $7.5 million during the six months ended June 30, 2019 was due primarily to the payment of withholding taxes and option costs on net share settlements of restricted stock units and stock options of $8.6 million, partially offset by $1.1 million related to the proceeds from the issuance of common stock related to the exercise of vested stock options.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2020, there were no material changes in our contractual obligations and commitments from those disclosed in our 2019 Annual Report, other than those appearing in the notes to the Unaudited Condensed Consolidated Financial Statements appearing elsewhere in this Quarterly Report, which are hereby incorporated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2020 and December 31, 2019, we did not have any off-balance sheet arrangements, other than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We evaluate our estimates and assumptions on an ongoing basis. Our actual results may differ from these estimates.</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accounting estimates that require the most difficult and subjective judgments include revenue recognition, allowance for doubtful accounts and sales allowances, variable consideration, the recoverability of long-lived assets, the valuation and recoverability of goodwill and intangible assets, the expensing and capitalization of product, technology, and development costs for website development and internal-use software, and the recoverability of our net deferred tax assets and related valuation allowance. Accordingly, these are the policies we believe are the most critical to aid in fully understanding and evaluating our Unaudited Condensed Consolidated Financial Statements.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For a detailed explanation of the judgments made in these areas, refer to “Management’s Discussion and Analysis of Financial Condition and Results of Operations” in our 2019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00" w:firstLine="46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June 30, 2020 or at December 31, 2019.</w:t>
      </w:r>
    </w:p>
    <w:p>
      <w:pPr>
        <w:spacing w:after="0" w:line="225" w:lineRule="exact"/>
        <w:rPr>
          <w:sz w:val="20"/>
          <w:szCs w:val="20"/>
          <w:color w:val="auto"/>
        </w:rPr>
      </w:pPr>
    </w:p>
    <w:p>
      <w:pPr>
        <w:jc w:val="both"/>
        <w:ind w:firstLine="510"/>
        <w:spacing w:after="0" w:line="313" w:lineRule="auto"/>
        <w:rPr>
          <w:sz w:val="20"/>
          <w:szCs w:val="20"/>
          <w:color w:val="auto"/>
        </w:rPr>
      </w:pPr>
      <w:r>
        <w:rPr>
          <w:rFonts w:ascii="Arial" w:cs="Arial" w:eastAsia="Arial" w:hAnsi="Arial"/>
          <w:sz w:val="16"/>
          <w:szCs w:val="16"/>
          <w:color w:val="auto"/>
        </w:rPr>
        <w:t>We had cash, cash equivalents, and investments of $176.2 million and $171.6 million at June 30, 2020 and December 31, 2019, respectively, which consist of bank deposits, money market funds, and certificates of deposit with maturity dates ranging from six to nine months. 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4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June 30, 2020 and December 31, 2019, we had foreign currency exposures in the British pound, the Euro and the Canadian dollar, although such exposure is not significant.</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 Long-term intercompany accounts are recorded at their historical rates.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have been and we expect them to continue to be adversely affected by the ongoing novel coronavirus disease 2019, or COVID-19, outbreak.</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December 2019, a novel strain of coronavirus, now referred to as COVID-19, surfaced in Wuhan, China. The virus was declared a pandemic by the World Health Organization and has spread to over 200 countries, including the United States, Canada and the United Kingdom, and continues to spread globally. This pandemic has caused an international health crisis and resulted in significant disruptions to the global economy as well as businesses and capital markets around the world.</w:t>
      </w:r>
    </w:p>
    <w:p>
      <w:pPr>
        <w:spacing w:after="0" w:line="187"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Our operations have been materially adversely affected by a range of factors related to the COVID-19 pandemic. In March, we closed all of our offices (including our corporate headquarters) in the United States, Ireland and United Kingdom and began requiring our employees to work remotely until further notice, which has disrupted and may continue to disrupt how we operate our business. In addition, in an effort to limit the spread of COVID-19, many countries, as well as states in the United States, implemented or mandated and continue to implement or mandate significant restrictions on travel and commerce, shelter-in-place or stay-at-home orders, and business closures. Many of these shelter-in-place or stay-at-home orders resulted in restrictions on the ability to buy and sell automobiles by excluding dealerships from the list of essential businesses and/or by closing or reducing the services provided by the agencies that process the registration of automotive titles. While certain jurisdictions, including many within the United States, have implemented or are implementing policies with the goal of re-opening these markets, restrictions may be re-imposed in these markets due to increases in COVID-19 cases. In addition, these restrictions and concerns about the spread of the disease have adversely impacted consumers’ interest in car shopping and disrupted the operations of car dealerships, which has adversely affected the market for automobile purchases.</w:t>
      </w:r>
    </w:p>
    <w:p>
      <w:pPr>
        <w:spacing w:after="0" w:line="16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While consumer demand is gradually returning in jurisdictions implementing phased re-opening policies and/or in connection with stimulus programs, the automotive industry is also facing inventory supply problems, especially for used vehicles. The industry has experienced, and may continue to experience, a decline in used-car inventory for a number of reasons attributable to the COVID-19 pandemic, including: (i) reduced trade-ins from diminished vehicle sales; (ii) lease extensions on vehicles that consumers would have otherwise returned to the dealership; and (iii) the closure of wholesale auctions limiting dealers’ ability to source stock and/or replenish inventory. Further, these auction closures and the limited supply of inventory in auctions that either remained open or have since reopened has led to an increase in bids per vehicle and corresponding increases to wholesale auction prices. As the price of restocking inventory through wholesale auctions increases, dealers have increased, and may continue to increase, the prices they charge consumers. A high volume of price increases on vehicle sales at a rapid rate could temporarily impact our proprietary Instant Market Values, or IMV, and distribution of Deal Ratings. In addition, if our paying dealers continue to operate at reduced inventory levels or with increased costs, they may reduce or be unwilling to increase their advertising spend with us and/or may terminate their subscriptions at the conclusion of the committed term or may only be willing to renew their subscriptions at a lower level of fees. It may also impede our ability to add new paying dealers if dealers perceive they have less of a need for our products and services because of their limited inventory. Inventory challenges in the automotive industry has adversely impacted, and could continue to adversely impact, the amount of inventory on our websites, which could contribute to a decline in the number of consumer visits to our site and/or the number of connections between consumers and dealers through our marketplace. These inventory-related issues resulting from the COVID-19 pandemic may materially and adversely impact our business, financial condition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510"/>
        <w:spacing w:after="0" w:line="290" w:lineRule="auto"/>
        <w:rPr>
          <w:sz w:val="20"/>
          <w:szCs w:val="20"/>
          <w:color w:val="auto"/>
        </w:rPr>
      </w:pPr>
      <w:r>
        <w:rPr>
          <w:rFonts w:ascii="Arial" w:cs="Arial" w:eastAsia="Arial" w:hAnsi="Arial"/>
          <w:sz w:val="16"/>
          <w:szCs w:val="16"/>
          <w:color w:val="auto"/>
        </w:rPr>
        <w:t>As a result of the travel and commerce restrictions and the impact on their businesses, a number of our paying dealers temporarily closed or are operating on a reduced capacity, and many dealerships are facing significant financial challenges. Such closures and circumstances led some paying dealers to cancel their subscriptions and/or reduce their advertising spend with us, which has had and may continue to have a material adverse effect on our revenues, and on our business, financial condition and results of operations. Additionally, in response to the increasing cancelations and the drop in consumer demand at the beginning of the COVID-19 pandemic, we reduced our spending on brand advertising and traffic acquisition, which resulted in fewer consumers using our platform during the second quarter of 2020, which in turn has and may continue to materially and adversely affect our business, financial condition and results of operations. Our business relies on the ability of consumers to borrow funds to acquire automobiles and banks and other financing companies may limit or restrict lending to consumers, which may materially and adversely affect our business.</w:t>
      </w:r>
    </w:p>
    <w:p>
      <w:pPr>
        <w:spacing w:after="0" w:line="165"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Further, because of the significant financial challenges that dealerships have faced and continue to face as a result of the COVID-19 pandemic, we took measures to help our paying dealers maintain their business health during the COVID-19 pandemic. We proactively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As a result, the level of fees we received from paying dealers materially decreased during this period, resulting in a material decline in our revenue and a material adverse effect to our business, financial condition and results of operations. In addition, despite our proactive fee reductions, we experienced, and may continue to experience, increased customer cancellation rates and slowed paying dealer additions during the three months ended June 30, 2020, which has materially and adversely affected our business, financial condition and results of operations. While we returned to normal contractual billings in all markets for the July 2020 service period, we may decide to re-institute billings relief in the future as we continue assess the effects of the COVID-19 pandemic on our paying dealers and business operations. For the three months ended June 30, 2020, we also experienced, and may continue to experience, an increase in account delinquencies from dealer customers challenged by the COVID-19 pandemic that failed to pay us on time or at all.</w:t>
      </w:r>
    </w:p>
    <w:p>
      <w:pPr>
        <w:spacing w:after="0" w:line="17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These effects from the COVID-19 pandemic on our revenue and cash flows already have caused us to implement certain cost-savings measures across our business, which have disrupted, and may continue to disrupt, our business and operations. For example, we initiated a reduction in our workforce of approximately 13%, restricted future hiring, and limited discretionary spend across our business, including by eliminating, reducing or pausing certain vendor relationships. We also reduced consumer marketing spend across both algorithmic traffic acquisition and brand during the three months ended June 30, 2020 as a result of the suppression in consumer demand in the automotive industry. Despite these measures, we may not achieve the costs savings at the levels we expect and may be required to make additional cash expenditures, which would adversely impact our cash flows and financial condition. If our cash flows continue to decrease as a result of the effects from the COVID-19 pandemic or our revenues fail to increase, we may also decide that additional disruptive measures are necessary to reduce our operating expenses.</w:t>
      </w:r>
    </w:p>
    <w:p>
      <w:pPr>
        <w:spacing w:after="0" w:line="17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global nature of the COVID-19 pandemic has also had, and will continue to have, a significant impact on our international businesses. The crisis has halted our growth in existing markets and our expansion into additional markets. In particular, we ceased marketplace operations in Germany, Italy, and Spain, and halted any new international expansion efforts, which we believe will allow us to focus our financial and human capital resources on our more established international markets in Canada and the United Kingdom. Failure by us to succeed in these two marketplaces, however, would materially and adversely affect our business and potential growth.</w:t>
      </w:r>
    </w:p>
    <w:p>
      <w:pPr>
        <w:spacing w:after="0" w:line="18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continue to monitor and assess the effects of the COVID-19 pandemic on our commercial operations, including the impact on our revenue in 2020. However, we cannot at this time accurately predict what effects these conditions will ultimately have on our operations due to uncertainties relating to the ultimate spread of the virus, the severity of the disease, the duration of the pandemic, and the length or severity of the travel and commerce restrictions imposed on federal and state levels, as well as by the governments of impacted countries. Nor can we predict the adverse impact on the global economies and financial markets in which we operate, which may have a significant negative impact on our business, financial condition and results of operations.</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we have been working to transition many of these dealers to contracts with one-year committed terms (which effort has been slowed since the beginning of the COVID-19 pandemic), the majority of our contracts with dealers currently provide for one-month committed terms. The contracts do not contain contractual obligations requiring a dealer to maintain its relationship with us beyond the committed term. Accordingly, these dealers may cancel their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subscriptions with us in accordance with the terms of their subscription agreements. If a significant number of our paying dealers terminate their subscriptions with us, our business and financial results would be materially and adversely affected.</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As a result of the COVID-19 pandemic, many paying dealers cancelled their subscriptions with us (including, in some cases, with our permission prior to the end of the applicable contract term and notice period), which has caused a material adverse impact on our revenues, and it is possible that additional dealers will cancel their subscriptions as they continue to experience the effects of the COVID-19 pandemic. If paying dealers do not experience the volume of consumer connections that they expect during their subscription period, do not experience the level of car sales they expect from those connections, or fail to attribute any increases in consumer connections or sales to our platform, they may terminate their subscriptions at the conclusion of the committed term or may only be willing to renew their subscriptions at a lower level of fees. If we fail to maintain or expand our base of paying dealers or fail to maintain or increase the level of fees that we receive from them, our business and financial results would be materially and adversely affected.</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allow dealers to list their inventory in the CarGurus marketplace for free; however, we impose certain limitations on such free listings, such as capping the number of leads U.S. non-paying dealers receive within a 30-day period, excluding dealer identity and contact information, and these dealers do not receive access to the paid features of our marketplace. As a result of the COVID-19 pandemic, we temporarily suspended our free listings product, Restricted Listings, in the U.S. and Canada and put certain non-paying dealers into a suspended activity program. During this temporary program, which concluded in the U.S. during the second quarter of 2020 and is continuing in Canada, we continued (or continue, as applicable) to collect leads from consumers but did not (or do not, as applicable) provide these leads to non-paying dealers. This program included (or includes, as applicable) formerly paying dealers who terminated their paid subscription with us due to the COVID-19 pandemic. We have since forwarded (or continue to forward, as applicable) leads collected under this suspended activity program to dealers once they restored (or restore, as applicable) their paid subscription or on an anonymized basis once we reinstated (or reinstate, as applicable) Restricted Listings. In the future, we may decide to impose additional restrictions on free listings or modify the services available to non-paying dealers. If dealers do not subscribe to our paid offerings at the rates we expect, or if a greater than expected number of paying dealers elect to terminate their subscriptions or reduce their fees, our business and financial results would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dealers or other advertisers reduce their advertising spending with us and we are unable to attract new advertisers, our business would be harmed.</w:t>
      </w:r>
    </w:p>
    <w:p>
      <w:pPr>
        <w:spacing w:after="0" w:line="15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automotive marketplaces;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an attractive ROI to our advertisers for their advertising spend with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firstLine="510"/>
        <w:spacing w:after="0" w:line="286" w:lineRule="auto"/>
        <w:rPr>
          <w:sz w:val="20"/>
          <w:szCs w:val="20"/>
          <w:color w:val="auto"/>
        </w:rPr>
      </w:pPr>
      <w:r>
        <w:rPr>
          <w:rFonts w:ascii="Arial" w:cs="Arial" w:eastAsia="Arial" w:hAnsi="Arial"/>
          <w:sz w:val="16"/>
          <w:szCs w:val="16"/>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As a result of the COVID-19 pandemic, many paying dealers cancelled their subscriptions with us (including, in some cases, with our permission prior to the end of the applicable contract term and notice period), which has caused a material adverse impact on our revenues, and it is possible that additional paying dealers will cancel their subscriptions or decrease their advertising with us as they continue to experience the effects of the COVID-19 pandemic. Certain of our other advertising contracts, including those with auto manufacturers, typically do not have ongoing commitments to advertise in our marketplace beyond a committed term. As a result of the COVID-19 pandemic, some advertisers have cancelled or reduced their advertising with us, which has caused a material adverse impact on our revenues, and it is possible that advertising customers will continue to cancel or reduce their advertising with us as they continue to experience the effects of the COVID-19 pandemic. In addition, a reduction in consumer visits to our sites during the COVID-19 pandemic resulted in the delivery of fewer impressions for our advertising customers in the second quarter of 2020, which has caused, and may continue to cause, an adverse impact on our advertising revenues.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If we fail to continue to provide a compelling vehicle search experience to consumers, the number of connections between consumers and dealers through our marketplace could decline, which in turn could lead dealers to pause listing their inventory in our marketplace, cancel their subscriptions, or reduce their advertising spend with us. If dealers pause or cancel listing their inventory in our marketplace, we may not be able to attract a large consumer audience, which may cause other dealers to pause or cancel their use of our marketplace. This reduction in the number of dealers using our marketplace would likely materially and adversely affect our marketplace and our business and financial results. As consumers increasingly use their mobile devices to access the internet and our marketplace, our success depends,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84"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display a wide variety of automobile inventory to attract more consumers to our websites;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applications with operating systems, such as iOS and Android, and with popular mobile devices running such operating systems; and</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and analyze a sufficient amount of data to enable us to provide relevant information to consumers, including pricing information and accurate vehicle details.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or if our competitors’ internet search engine optimization efforts are more successful than ours, our ability to attract a large consumer audience could diminish and our traffic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websites, and mobile applications useful for consumers and dealers or that otherwise provide value to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and our ability to engage in these activities may decline as a result of the impact of the COVID-19 pandemic on our business.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negatively impact our business and financial results.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effects of the COVID-19 pandemic. Our marketplace could be negatively affected if any current provider terminates its relationship with us or our service from any provider is interrupted, whether as a result of the COVID-19 pandemic or otherwise.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negatively affect our business and operating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failure to build, maintain and protect our brand would harm our ability to attract a large consumer audience and to expand the use of our marketplace by consumers and dealers.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Our ability to protect our brand is also impacted by the success of our efforts to optimize our significant brand spend and overcome the intense competition in brand marketing across our industry, including competitors that may imitate our messaging in response to our success. In addition, as a result of the suppression in consumer interest in the automotive industry during the beginning of the COVID-19 pandemic, we reduced our brand spend and we may decide to continue to suppress our brand spend in the future depending on the continued impact of the COVID-19 pandemic. If consumers were to believe that we are not focused on providing them with a better automobile shopping experience, or if we fail to overcome brand marketing competition and maintain a differentiated value proposition in consumers’ minds, our reputation and the strength of our brand may be adversely affected.</w:t>
      </w:r>
    </w:p>
    <w:p>
      <w:pPr>
        <w:spacing w:after="0" w:line="17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8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Portions of our platform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past growth is not indicative of our future growth, and our ability to grow our revenue in the future is uncertain due to the impact of the COVID-19 pandemic.</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revenue increased to $588.9 million for the year ended December 31, 2019 from $454.1 million for the year ended December 31, 2018, representing a 30% increase between such periods, and decreased to $252.4 million for the six months ended June 30, 2020 from $280.3 million for the six months ended June 30, 2019, representing a 10% decrease between such periods, primarily due to COVID-19-related effects. We expect further revenue declines in 2020 as a result of the COVID-19 pandemic, and the continued impact of the COVID-19 pandemic also makes our future revenue beyond 2020 uncertain. If our revenue declines further or fails to grow, investors’ perceptions of our business may be adversely affected and the market price of our Class A common stock could decline. In addition, we will not be able to grow as expected, or at all, if we do not accomplish the following:</w:t>
      </w:r>
    </w:p>
    <w:p>
      <w:pPr>
        <w:spacing w:after="0" w:line="56"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marketplaces and maintain and increase the fees that they are paying;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 the number of connections between consumers and dealers using our marketplace and connections to paying dealers, in particular.</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expense reduction efforts in response to the COVID-19 pandemic may not be successful and may have unintended consequences.</w:t>
      </w:r>
    </w:p>
    <w:p>
      <w:pPr>
        <w:spacing w:after="0" w:line="12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April 13, 2020, our board of directors approved an expense reduction plan to address the impact of the COVID-19 pandemic on our business, pursuant to which we initiated a reduction in our workforce of approximately 13%, paused hiring for the foreseeable future, limited discretionary spend across our business, reduced consumer marketing spend across both algorithmic traffic acquisition and brand, ceased operation of our Germany, Italy and Spain marketplaces, and halted expansion efforts in any new international markets. These expense reduction activities, and any future cost savings actions that we may take, may yield unintended consequences and costs, such as loss of key employees, attrition beyond our intended reduction in force, diversion of management’s attention from normal daily operations of the business, a decrease in cash available for future cash expenditures in connection with the reduction in force, and the risk that we may not achieve the anticipated cost savings at the levels we expect, any of which may have a material adverse effect on our results of operations or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cash flows have been significantly and adversely impacted by the COVID-19 pandemic, and the effects of the COVID-19 pandemic may further impact our profitability and/or ability to generate positive cash flows in the future. If we are unable to generate sufficient cash flows, we would require additional capital to pursue our business objectives and respond to business opportunities, challenges, or unforeseen circumstances, including the effects of the COVID-19 pandemic, as well as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particularly as a result of the COVID-19 pandemic, may also have an adverse effect on our ability to obtain debt financing.</w:t>
      </w:r>
    </w:p>
    <w:p>
      <w:pPr>
        <w:spacing w:after="0" w:line="19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grow effectively in our existing domestic and international markets our revenue, business, and financial results will be harmed.</w:t>
      </w:r>
    </w:p>
    <w:p>
      <w:pPr>
        <w:spacing w:after="0" w:line="12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While we ceased operations of our marketplaces in Germany, Italy and Spain and stopped development of emerging marketplaces, we continue to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expect, as we have in the past, to incur significant losses in the United Kingdom and Canada, and face various other challenges, such as obtaining and maintaining access to data, competition for consumers and dealers using our products, new and different competitors, monetizing dealers and other customers, other regulatory environments and laws, different consumer behavior than we are familiar with, and our ability to maintain the account managers to cover those markets. Our operation of several marketplaces requires significant resources and management attention. Furthermore, operations in international markets may not yield results similar to those we have achieved in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involve risks that are different from, or in addition to, the risks we may experience as a result of our domestic operations.</w:t>
      </w:r>
    </w:p>
    <w:p>
      <w:pPr>
        <w:spacing w:after="0" w:line="15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the United Kingdom and Canada, we were not the first market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 Dealers may also be parties to agreements with other dealers and syndicates that prevent them from being able to access our marketplace. Any of these barriers could impede our operations in international markets, which could affect our business and potential growth.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ind w:firstLine="510"/>
        <w:spacing w:after="0" w:line="255" w:lineRule="auto"/>
        <w:rPr>
          <w:sz w:val="20"/>
          <w:szCs w:val="20"/>
          <w:color w:val="auto"/>
        </w:rPr>
      </w:pPr>
      <w:r>
        <w:rPr>
          <w:rFonts w:ascii="Arial" w:cs="Arial" w:eastAsia="Arial" w:hAnsi="Arial"/>
          <w:sz w:val="18"/>
          <w:szCs w:val="18"/>
          <w:color w:val="auto"/>
        </w:rPr>
        <w:t>In addition to English, we have made portions of our platform available in French and Spanish. We may have difficulty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w:t>
      </w:r>
    </w:p>
    <w:p>
      <w:pPr>
        <w:spacing w:after="0" w:line="84" w:lineRule="exact"/>
        <w:rPr>
          <w:sz w:val="20"/>
          <w:szCs w:val="20"/>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managing and retaining qualified multilingual employees, including sales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adapting our websites and mobile applications to conform to local consumer behavior;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competition from local websites and mobile applications and potential preferences by local populations for local providers;</w:t>
      </w:r>
    </w:p>
    <w:p>
      <w:pPr>
        <w:spacing w:after="0" w:line="128" w:lineRule="exact"/>
        <w:rPr>
          <w:rFonts w:ascii="Arial" w:cs="Arial" w:eastAsia="Arial" w:hAnsi="Arial"/>
          <w:sz w:val="17"/>
          <w:szCs w:val="17"/>
          <w:color w:val="auto"/>
        </w:rPr>
      </w:pPr>
    </w:p>
    <w:p>
      <w:pPr>
        <w:ind w:left="8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solutions in different languages and for different cultures, which may require that we modify our solutions and features so they are culturally relevant in different countries;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anti-bribery laws, including compliance with the Foreign Corrupt Practices Act and the United Kingdom Bribery Act;</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trade relationships among foreign countries and/or between the United States and such countries;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arising from the tax laws of the United States or the foreign jurisdictions in which we operate;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face significant competition from companies that provide listings, information, lead generation, marketing, and car-buying services designed to help consumers shop for cars and to enable dealers to reach these consumers. Our competitors offer various marketplaces, products, and services that compete with us. Some of these competitors include:</w:t>
      </w:r>
    </w:p>
    <w:p>
      <w:pPr>
        <w:spacing w:after="0" w:line="76"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major United States online automotive marketplaces: AutoTrader.com, Cars.com, and TrueCar.com;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United States automotive websites, such as Edmunds.com, KBB.com, and Carfax.com;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automotive marketplaces and websites in our international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digital marketing providers;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peer to peer marketplaces, such as Craigslist;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sites operated by individual automobile dealers;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dealerships, such as Carvana and Vroom.</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 we may not be able to maintain or grow the number of dealers subscribing to, and advertising on, our marketplace, and our business and financial results may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jc w:val="both"/>
        <w:ind w:firstLine="510"/>
        <w:spacing w:after="0" w:line="263" w:lineRule="auto"/>
        <w:rPr>
          <w:sz w:val="20"/>
          <w:szCs w:val="20"/>
          <w:color w:val="auto"/>
        </w:rPr>
      </w:pPr>
      <w:r>
        <w:rPr>
          <w:rFonts w:ascii="Arial" w:cs="Arial" w:eastAsia="Arial" w:hAnsi="Arial"/>
          <w:sz w:val="18"/>
          <w:szCs w:val="18"/>
          <w:color w:val="auto"/>
        </w:rPr>
        <w:t>We also expect that new competitors will continue to enter the online automotive retail industry with competing marketplaces, products, and services, or that existing competitors will expand to offer competing products or services, which could have an adverse effect on our business and financial results.</w:t>
      </w:r>
    </w:p>
    <w:p>
      <w:pPr>
        <w:spacing w:after="0" w:line="18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 or could offer discounts that could significantly impede our ability to maintain our pricing structure. Our competitors may also develop and market new technologies that render our existing or future platform and associated products less competitive, unmarketable, or obsolete. In addition, if our competitors develop platforms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6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7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Although the dealership industry is highly fragmented, a small number of interested parties have significant influence over the industry. These parties include national and regional dealership associations, national and local regulators, automotive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7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Furthermore, auto manufacturers may provide their franchise dealers with financial or other marketing support conditioned upon such dealers’ adherence to certain marketing guidelines, which guidelines may evolve as a result of the COVID-19 pandemic. Auto manufacturers may determine that the manner in which certain of their franchise dealers use our platform is inconsistent with the terms of such marketing guidelines, which determination could result in potential or actual loss of the manufacturers’ financial or other marketing support to the dealers whose use of our platform is deemed objectionable. The potential or actual loss of such marketing support may cause such dealers to cease paying for our paid features, which may adversely affect our ability to maintain or grow the number of our paying dealers.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and we expect this will occur as a result of the COVID-19 pandemic.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Our success depends upon our relationships with third parties, including our payment processor, our data center hosts, our information technology providers, our data providers for inventory and vehicle information, our human resources information system provider, our billing subscription software provider, our customer relationship management software provider, our financial planning and analysis software provider, our information integration platform providers, our marketing platform providers, our business intelligence and data analytics providers, our search engine and social media advertising providers, our invoice and expense provider, our equity administration provider, and our general ledger provider, as well as our strategic partners, including consumer lenders. If these third parties experience difficulty meeting our requirements or standards, have adverse audit results, violate the terms of our relationship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whether as a result of the COVID-19 pandemic or otherwise, face financial distress or other business disruptions, increase their fees, or if our relationships with these providers or partners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materially and adversely affected.</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and we may become less competitive in attracting and retaining employees as a result of our recent expense reduction efforts and temporary freeze in hiring due to the COVID-19 pandemic. In addition, the loss of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While our business has grown rapidly as consumers and dealers have increasingly accessed our marketplace, we expect that our business will evolve in ways which may be difficult to predict, including as a result of the COVID-19 pandemic. For example, we anticipate that over time we may reach a point when investments in new user traffic are less productive and the growth of our revenue will require more focus on developing new products for consumers and dealers, and increasing our fees for our products. It is also possible that consumers and dealers could broadly determine that they no longer believe in the value of our marketplace. Our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provide consumers using our marketplace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many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 and could result in legal disputes.</w:t>
      </w: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we acquire other companies or technologies, such activities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success depends, in part, on our ability to grow our business in response to the demands of consumers, dealers, and other constituents within the automotive industry as well as competitive pressures. In some circumstances, we have and will continue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including as a result of the COVID-19 pandemic. The risks we face in connection with acquisitions include:</w:t>
      </w:r>
    </w:p>
    <w:p>
      <w:pPr>
        <w:spacing w:after="0" w:line="80"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and other third parties.</w:t>
      </w:r>
    </w:p>
    <w:p>
      <w:pPr>
        <w:spacing w:after="0" w:line="19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cause us to be reluctant to engage in future transactions, and harm our business generally. Acquisitions could 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17"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9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jurisdictions, or could require us to make adjustments to our marketplace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ind w:firstLine="510"/>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Laws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Antitrust and competition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6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seek to grow our operations internationally,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is subject to risks related to the larger automotive industry ecosystem, including consumer demand, global supply chain challenges, trade relations between the United States and China and other macroeconomic issues, including the ongoing effects of the COVID-19 pandemic, which could have a material adverse effect on our business, revenue, results of operations, and financial condition.</w:t>
      </w:r>
    </w:p>
    <w:p>
      <w:pPr>
        <w:spacing w:after="0" w:line="5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and we expect that we are entering such a period as a result of the COVID-19 pandemic.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which may reduce the demand for consumer credit due to the higher cost of borrowing; reductions in business and consumer confidence; stock market volatility; increased unemployment; and changing trade barriers, including increased tariff rates or custom duties.</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ind w:firstLine="510"/>
        <w:spacing w:after="0" w:line="263"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changes to trade policies, trade relations between the United States and China and other macroeconomic issues. These factors could have a material adverse effect on our business, revenue, results of operations, and financial condition.</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consequences we may face from the exit of the United Kingdom from the European Union could have a material adverse effect on our business, revenue, results of operations, and financial condition.</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United Kingdom’s exit from the European Union, or the EU, commonly referred to as “Brexit”, could adversely affect European and global economic or market conditions, contribute to instability in global financial markets</w:t>
      </w:r>
      <w:r>
        <w:rPr>
          <w:rFonts w:ascii="Arial" w:cs="Arial" w:eastAsia="Arial" w:hAnsi="Arial"/>
          <w:sz w:val="18"/>
          <w:szCs w:val="18"/>
          <w:color w:val="212529"/>
        </w:rPr>
        <w:t>, create uncertainty in the wider commercial, legal, and regulatory</w:t>
      </w:r>
      <w:r>
        <w:rPr>
          <w:rFonts w:ascii="Arial" w:cs="Arial" w:eastAsia="Arial" w:hAnsi="Arial"/>
          <w:sz w:val="18"/>
          <w:szCs w:val="18"/>
          <w:color w:val="auto"/>
        </w:rPr>
        <w:t xml:space="preserve"> </w:t>
      </w:r>
      <w:r>
        <w:rPr>
          <w:rFonts w:ascii="Arial" w:cs="Arial" w:eastAsia="Arial" w:hAnsi="Arial"/>
          <w:sz w:val="18"/>
          <w:szCs w:val="18"/>
          <w:color w:val="212529"/>
        </w:rPr>
        <w:t>environment</w:t>
      </w:r>
      <w:r>
        <w:rPr>
          <w:rFonts w:ascii="Arial" w:cs="Arial" w:eastAsia="Arial" w:hAnsi="Arial"/>
          <w:sz w:val="18"/>
          <w:szCs w:val="18"/>
          <w:color w:val="000000"/>
        </w:rPr>
        <w:t>, and cause disruptions to our business and operations in the United Kingdom</w:t>
      </w:r>
      <w:r>
        <w:rPr>
          <w:rFonts w:ascii="Arial" w:cs="Arial" w:eastAsia="Arial" w:hAnsi="Arial"/>
          <w:sz w:val="18"/>
          <w:szCs w:val="18"/>
          <w:color w:val="212529"/>
        </w:rPr>
        <w:t xml:space="preserve">, including with respect to our customers, suppliers, and consumers in the United Kingdom. As a result of this economic uncertainty, our dealer customers in particular may be unwilling to subscribe to our websites or renew or increase their existing subscriptions, as applicable. We may also face new regulatory costs and challenges that could have an adverse effect on our operations. Brexit has created economic uncertainty and its consequences </w:t>
      </w:r>
      <w:r>
        <w:rPr>
          <w:rFonts w:ascii="Arial" w:cs="Arial" w:eastAsia="Arial" w:hAnsi="Arial"/>
          <w:sz w:val="18"/>
          <w:szCs w:val="18"/>
          <w:color w:val="000000"/>
        </w:rPr>
        <w:t>could have a material adverse effect on our business, revenue,</w:t>
      </w:r>
      <w:r>
        <w:rPr>
          <w:rFonts w:ascii="Arial" w:cs="Arial" w:eastAsia="Arial" w:hAnsi="Arial"/>
          <w:sz w:val="18"/>
          <w:szCs w:val="18"/>
          <w:color w:val="212529"/>
        </w:rPr>
        <w:t xml:space="preserve"> </w:t>
      </w:r>
      <w:r>
        <w:rPr>
          <w:rFonts w:ascii="Arial" w:cs="Arial" w:eastAsia="Arial" w:hAnsi="Arial"/>
          <w:sz w:val="18"/>
          <w:szCs w:val="18"/>
          <w:color w:val="000000"/>
        </w:rPr>
        <w:t>results of operations, and financial condition.</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In addition, we recently provided paying dealers with reduced marketplace subscriptions for the April, May and June 2020 service periods in an effort to help our paying dealers maintain their business health during the COVID-19 pandemic. However, these strategies may not result in the long-term benefits that we expect, in which case our user traffic and engagement, business, and financial results could be harmed.</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 operating results, and financial condition.</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brand,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or physical or electronic break-ins, could affect the security or availability of our marketplace on our websites and mobile applications,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9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Substantially all of the communications, network, and computer hardware used to operate our platform is located in the United States near Boston, Massachusetts, and internationally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ind w:firstLine="510"/>
        <w:spacing w:after="0" w:line="257"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2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16"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Some functions of our marketplace involve the storage and transmission of consumers’ information, such as IP addresses, contact information of users who connect with dealers and profile information of users who create accounts on our marketplace,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8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6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curtail or stop use of our marketplace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17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jc w:val="both"/>
        <w:ind w:firstLine="510"/>
        <w:spacing w:after="0" w:line="268" w:lineRule="auto"/>
        <w:rPr>
          <w:sz w:val="20"/>
          <w:szCs w:val="20"/>
          <w:color w:val="auto"/>
        </w:rPr>
      </w:pPr>
      <w:r>
        <w:rPr>
          <w:rFonts w:ascii="Arial" w:cs="Arial" w:eastAsia="Arial" w:hAnsi="Arial"/>
          <w:sz w:val="17"/>
          <w:szCs w:val="17"/>
          <w:color w:val="auto"/>
        </w:rPr>
        <w:t>We seek to comply with industry standards and are subject to the terms of our privacy policies and privacy-related obligations to third parties, as well as all applicable laws, policies, legal obligations, and industry codes of conduct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California Consumer Privacy Act, or the CCPA, which went into effect on January 1, 2020. The CCPA, among other things, contains new disclosure obligations for businesses that collect personal information about California residents and provides California residents with additional rights relating to their personal information. The GDPR and CCPA in particular have already required, and may further require, us to change our policies and procedures and may in the future require us to make changes to our marketplace and other products. These and other requirements could reduce demand for our marketplace and other offerings, require us to take on more onerous obligations in our contracts and restrict our ability to store, transfer, and process data, which may seriously harm our business. Similarly, Brexit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or CCPA requirements.</w:t>
      </w:r>
    </w:p>
    <w:p>
      <w:pPr>
        <w:spacing w:after="0" w:line="18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attract consumers to our own websites and for our advertising clients depends on the collection of consumer data from various sources, which may be restricted by consumer choice, privacy restrictions imposed by advertising partners, web browsers or other software, and developments in laws, regulations and industry standards.</w:t>
      </w:r>
    </w:p>
    <w:p>
      <w:pPr>
        <w:spacing w:after="0" w:line="7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success of our consumer marketing and the delivery of internet advertisements for our clients depends on our ability to leverage data, including data that we collect from our clients, data we receive from our publisher partners and third parties, and data from our operations. Using cookies and non-cookie-based technologies, such as mobile advertising identifiers, we collect information about the interactions of users with our clients’ and publishers’ digital properties (including, for example, information about the placement of advertisements and users’ shopping or other interactions with our clients’ websites or advertisements). Our ability to successfully leverage such data depends on our continued ability to access and use such data, which could be restricted by a number of factors, including:</w:t>
      </w:r>
    </w:p>
    <w:p>
      <w:pPr>
        <w:spacing w:after="0" w:line="84"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consumer adoption of “do not track” mechanisms as a result of legislation including GDPR and CCPA;</w:t>
      </w:r>
    </w:p>
    <w:p>
      <w:pPr>
        <w:spacing w:after="0" w:line="117"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developments in, or new interpretations of, privacy laws, regulations and industry standards.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clients. If we are unsuccessful in evolving our advertising and marketing strategies to adapt to and mitigate these evolving consumer data limitations, our business results could be materially impacted.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are subject to claims and litigation by third parties that we infringe their intellectual property rights, and we may face allegations in the future that we have infringed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 We have encountered lawsuits in the past containing such allegations.</w:t>
      </w:r>
    </w:p>
    <w:p>
      <w:pPr>
        <w:spacing w:after="0" w:line="188"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 and features while we develop non-infringing substitutes, which could require significant effort and expense and may ultimately not be successful.</w:t>
      </w:r>
    </w:p>
    <w:p>
      <w:pPr>
        <w:spacing w:after="0" w:line="166"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6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92"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While we have registered the CARGURUS and CG logos in the U.S. Canada, the EU and the United Kingdom, as well as the word-mark CARGURUS in the U.S., Canada, Italy, France, Spain, the United Kingdom and, for a subset of services, Ireland, we were not able to register the word-mark CARGURUS in the EU and Germany as the mark was deemed to be non-distinctive, and thus not registerable.</w:t>
      </w:r>
    </w:p>
    <w:p>
      <w:pPr>
        <w:spacing w:after="0" w:line="183"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have created and may in the future create copycat or squatter domains to deceive consumers, which could harm our brand, interfere with our ability to register domain names, and result in additional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in the future if we fail to sufficiently manage our costs effectively.</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expect our annual revenue growth rate to halt or decline this year due to the COVID-19 pandemic and it is likely to continue to decline in the future as a result of a variety of factors. In addition, our new product launches will cause our costs to increase in future periods as we continue to expend substantial financial resources to promote such new products. If we fail to manage these additional costs as our annual revenue growth rate declines, we may incur losses in the future.</w:t>
      </w:r>
    </w:p>
    <w:p>
      <w:pPr>
        <w:spacing w:after="0" w:line="2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3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any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Across the retail automotive industry, consumer purchases are typically greatest in the first three quarters of each year, due in part to the introduction of new vehicle models from manufacturers, and our consumer-marketing spend generally fluctuates accordingly. As consumer automotive purchases slow in the fourth quarter, our rate of marketing spend typically also slows. This seasonality has not been immediately apparent historically due to the overall growth of other operating expenses. As our growth rates begin to moderate or cease, the impact of these seasonality trends on our results of operations could become more pronounced. Redistribution of our marketing spend in response to COVID-19-related expense management and shifts in demand from dealers and consumers could impact the efficiency of our marketing spend. For example, a larger portion of our advertising may run during peak holiday seasonality for retail advertisers, inflating our media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revenue and results of operations could vary significantly from period to period and may fail to match expectations as a result of a variety of factors, some of which are outside of our control, including the effects of the COVID-19 pandemic.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adverse changes in applicable tax laws, regulations and interpretations, as well as challenges to our tax positions.</w:t>
      </w:r>
    </w:p>
    <w:p>
      <w:pPr>
        <w:spacing w:after="0" w:line="14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 xml:space="preserve">In addition, tax laws and regulations are complex and subject to varying interpretations. For instance, on June 21, 2018, the United States Supreme Court issued its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or the Wayfair Decision, which overturned prior case law that held that out-of-state merchants were not required to collect sales taxes unless they had a physical presence in the buyer’s state. The Wayfair Decision has created uncertainty over sales tax liability, and could precipitate reactions by legislators, regulators and courts that could adversely increase our tax administrative costs and tax risk, and negatively affect our overall business, results of operations, financial condition and cash flows.</w:t>
      </w:r>
    </w:p>
    <w:p>
      <w:pPr>
        <w:spacing w:after="0" w:line="176" w:lineRule="exact"/>
        <w:rPr>
          <w:sz w:val="20"/>
          <w:szCs w:val="20"/>
          <w:color w:val="auto"/>
        </w:rPr>
      </w:pPr>
    </w:p>
    <w:p>
      <w:pPr>
        <w:jc w:val="both"/>
        <w:ind w:firstLine="510"/>
        <w:spacing w:after="0" w:line="329" w:lineRule="auto"/>
        <w:rPr>
          <w:sz w:val="20"/>
          <w:szCs w:val="20"/>
          <w:color w:val="auto"/>
        </w:rPr>
      </w:pPr>
      <w:r>
        <w:rPr>
          <w:rFonts w:ascii="Arial" w:cs="Arial" w:eastAsia="Arial" w:hAnsi="Arial"/>
          <w:sz w:val="16"/>
          <w:szCs w:val="16"/>
          <w:color w:val="auto"/>
        </w:rPr>
        <w:t>We are also regularly subject to audits by tax authorities. For example, we are currently under audit by the Internal Revenue Service with respect to our 2016, 2017 and 2018 federal employment taxes. Any adverse development or outcome in connection with these tax audits, and any other audits or litigation, could materially and adversely impact our effective tax rate, tax payments, results of operations, financial condition and cash flows.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on the nature of our business we are exposed to potential fraudulent and illegal activity in our marketplace, including:</w:t>
      </w:r>
    </w:p>
    <w:p>
      <w:pPr>
        <w:spacing w:after="0" w:line="117"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listings of automobiles that are not owned by the purported dealer or that the dealer has no intention of selling at the listed price;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fraudulent leads that we may send to our dealers;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deceptive practices in our peer-to-peer marketplace, including through the seller’s listing of inventory without intent to sell or improper use of the private payment platform.</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measures we have in place to detect and limit the occurrence of such fraudulent and illegal activity in our marketplace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7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stockholders to influence corporate matters for the foreseeable future.</w:t>
      </w:r>
    </w:p>
    <w:p>
      <w:pPr>
        <w:spacing w:after="0" w:line="16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79"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2" w:name="page63"/>
    <w:bookmarkEnd w:id="62"/>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public’s reaction to our issuances of earnings guidance, as well as our press releases, other public announcements, and filings with the SEC;</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 or perceived inaccuracies in our key metrics;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including as related to the COVID-19 pandemic, and positive or negative growth of our markets.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these companies. Litigation of this type, if instituted against us, could result in substantial costs and a diversion of our management’s attention and resources.</w:t>
      </w:r>
    </w:p>
    <w:p>
      <w:pPr>
        <w:spacing w:after="0" w:line="30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business could be negatively affected as a result of actions of activist stockholders, which could be disruptive and potentially costly, and such activism could impact the trading value of our common stock and cause uncertainty about the strategic direction of our business.</w:t>
      </w:r>
    </w:p>
    <w:p>
      <w:pPr>
        <w:spacing w:after="0" w:line="29"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212529"/>
        </w:rPr>
        <w:t xml:space="preserve">Even though we are a controlled company, the actions of activist stockholders could nevertheless adversely affect our business. Activist stockholders may from time to time attempt to effect changes in our strategic direction, and in furtherance thereof, may seek changes in how our company is governed. </w:t>
      </w:r>
      <w:r>
        <w:rPr>
          <w:rFonts w:ascii="Arial" w:cs="Arial" w:eastAsia="Arial" w:hAnsi="Arial"/>
          <w:sz w:val="16"/>
          <w:szCs w:val="16"/>
          <w:color w:val="000000"/>
        </w:rPr>
        <w:t>Responding to strategic proposals by activist stockholders related to our business, strategy, management or operations, or the composition of our</w:t>
      </w:r>
      <w:r>
        <w:rPr>
          <w:rFonts w:ascii="Arial" w:cs="Arial" w:eastAsia="Arial" w:hAnsi="Arial"/>
          <w:sz w:val="16"/>
          <w:szCs w:val="16"/>
          <w:color w:val="212529"/>
        </w:rPr>
        <w:t xml:space="preserve"> </w:t>
      </w:r>
      <w:r>
        <w:rPr>
          <w:rFonts w:ascii="Arial" w:cs="Arial" w:eastAsia="Arial" w:hAnsi="Arial"/>
          <w:sz w:val="16"/>
          <w:szCs w:val="16"/>
          <w:color w:val="000000"/>
        </w:rPr>
        <w:t>board of directors, could disrupt our operations, be costly and time-consuming, or divert the attention of our board of directors and senior management from the pursuit of business strategies. In addition, perceived uncertainties as to the future strategic direction of our business in relation to the actions of an activist stockholder may be exploited by our competitors, cause concern to current or potential customers, result in the loss of potential business opportunities, make it more difficult to attract and retain qualified personnel and/or affect our relationships with vendors, customers and other third parties. Actions of an activist stockholder may also cause fluctuations in the trading price of our Class A common stock based on temporary or speculative market perceptions or other factors that do not necessarily reflect the underlying fundamentals and prospects of our business.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b w:val="1"/>
          <w:bCs w:val="1"/>
          <w:i w:val="1"/>
          <w:iCs w:val="1"/>
          <w:color w:val="auto"/>
        </w:rPr>
        <w:t>The exclusion of our Class A common stock from major stock indexes could adversely affect the trading market and price of our Class A common stock.</w:t>
      </w:r>
    </w:p>
    <w:p>
      <w:pPr>
        <w:spacing w:after="0" w:line="6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6"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jc w:val="both"/>
        <w:ind w:left="880" w:hanging="373"/>
        <w:spacing w:after="0" w:line="301"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49" w:lineRule="exact"/>
        <w:rPr>
          <w:rFonts w:ascii="Arial" w:cs="Arial" w:eastAsia="Arial" w:hAnsi="Arial"/>
          <w:sz w:val="16"/>
          <w:szCs w:val="16"/>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limiting the ability, from and after the threshold date, of stockholders to amend our amended and restated certificate of incorporation;</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 some stockholders holding more than 15% of our outstanding common stock from engaging in certain business combinations without approval of the holders of substantially all of our outstanding common stock.</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2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stock adversely, the trading price and trading volume of our Class A common stock could decline.</w:t>
      </w:r>
    </w:p>
    <w:p>
      <w:pPr>
        <w:spacing w:after="0" w:line="1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changes its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our stockholders may only receive a return on their investment in our Class A common stock if the trading price of their shares increases.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57"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880" w:right="20" w:hanging="373"/>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38" w:lineRule="exact"/>
        <w:rPr>
          <w:rFonts w:ascii="Arial" w:cs="Arial" w:eastAsia="Arial" w:hAnsi="Arial"/>
          <w:sz w:val="17"/>
          <w:szCs w:val="17"/>
          <w:color w:val="auto"/>
        </w:rPr>
      </w:pPr>
    </w:p>
    <w:p>
      <w:pPr>
        <w:ind w:left="880" w:right="2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2" w:lineRule="exact"/>
        <w:rPr>
          <w:rFonts w:ascii="Arial" w:cs="Arial" w:eastAsia="Arial" w:hAnsi="Arial"/>
          <w:sz w:val="18"/>
          <w:szCs w:val="18"/>
          <w:color w:val="auto"/>
        </w:rPr>
      </w:pPr>
    </w:p>
    <w:p>
      <w:pPr>
        <w:jc w:val="both"/>
        <w:ind w:left="880" w:hanging="373"/>
        <w:spacing w:after="0" w:line="286"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0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518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6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File</w:t>
            </w:r>
          </w:p>
        </w:tc>
        <w:tc>
          <w:tcPr>
            <w:tcW w:w="340" w:type="dxa"/>
            <w:vAlign w:val="bottom"/>
          </w:tcPr>
          <w:p>
            <w:pPr>
              <w:spacing w:after="0"/>
              <w:rPr>
                <w:sz w:val="10"/>
                <w:szCs w:val="10"/>
                <w:color w:val="auto"/>
              </w:rPr>
            </w:pPr>
          </w:p>
        </w:tc>
        <w:tc>
          <w:tcPr>
            <w:tcW w:w="10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Filing</w:t>
            </w:r>
          </w:p>
        </w:tc>
        <w:tc>
          <w:tcPr>
            <w:tcW w:w="110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tcPr>
          <w:p>
            <w:pP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180" w:type="dxa"/>
            <w:vAlign w:val="bottom"/>
            <w:gridSpan w:val="17"/>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w:t>
            </w: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02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Offer Letter, dated March 7, 2008, by and between the Registrant and</w:t>
              </w:r>
            </w:hyperlink>
          </w:p>
        </w:tc>
        <w:tc>
          <w:tcPr>
            <w:tcW w:w="160" w:type="dxa"/>
            <w:vAlign w:val="bottom"/>
            <w:tcBorders>
              <w:top w:val="single" w:sz="8" w:color="auto"/>
            </w:tcBorders>
            <w:gridSpan w:val="4"/>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Kyle Lomeli.</w:t>
              </w:r>
            </w:hyperlink>
          </w:p>
        </w:tc>
        <w:tc>
          <w:tcPr>
            <w:tcW w:w="422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0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Offer Letter, dated December 29, 2015, by and between the Registrant</w:t>
              </w:r>
            </w:hyperlink>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and Sarah Welch.</w:t>
              </w:r>
            </w:hyperlink>
          </w:p>
        </w:tc>
        <w:tc>
          <w:tcPr>
            <w:tcW w:w="392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50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First Amendment to Lease between S&amp;A P-12 Property LLC and the</w:t>
              </w:r>
            </w:hyperlink>
          </w:p>
        </w:tc>
        <w:tc>
          <w:tcPr>
            <w:tcW w:w="1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Registrant, dated as of June 12, 2020.</w:t>
              </w:r>
            </w:hyperlink>
          </w:p>
        </w:tc>
        <w:tc>
          <w:tcPr>
            <w:tcW w:w="24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18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Executive Officer Pursuant to Rules 13a-14(a)</w:t>
              </w:r>
            </w:hyperlink>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17"/>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and 15d-14(a) under the Securities Exchange Act of 1934, as Adopted</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Pursuant to Section 302 of the Sarbanes-Oxley Act of 2002.</w:t>
              </w:r>
            </w:hyperlink>
          </w:p>
        </w:tc>
        <w:tc>
          <w:tcPr>
            <w:tcW w:w="14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9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Certification of Principal Financial Officer and Principal Accounting</w:t>
              </w:r>
            </w:hyperlink>
          </w:p>
        </w:tc>
        <w:tc>
          <w:tcPr>
            <w:tcW w:w="20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17"/>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Officer Pursuant to Rules 13a-14(a) and 15d-14(a) under the Securities</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Exchange Act of 1934, as Adopted Pursuant to Section 302 of the</w:t>
              </w:r>
            </w:hyperlink>
          </w:p>
        </w:tc>
        <w:tc>
          <w:tcPr>
            <w:tcW w:w="360" w:type="dxa"/>
            <w:vAlign w:val="bottom"/>
            <w:tcBorders>
              <w:top w:val="single" w:sz="8" w:color="0000EE"/>
            </w:tcBorders>
            <w:gridSpan w:val="9"/>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Sarbanes-Oxley Act of 2002.</w:t>
              </w:r>
            </w:hyperlink>
          </w:p>
        </w:tc>
        <w:tc>
          <w:tcPr>
            <w:tcW w:w="308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7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Principal Executive Officer Pursuant to 18 U.S.C.</w:t>
              </w:r>
            </w:hyperlink>
          </w:p>
        </w:tc>
        <w:tc>
          <w:tcPr>
            <w:tcW w:w="4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Section 1350, as Adopted Pursuant to Section 906 of the Sarbanes-</w:t>
              </w:r>
            </w:hyperlink>
          </w:p>
        </w:tc>
        <w:tc>
          <w:tcPr>
            <w:tcW w:w="36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1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Oxley Act of 2002.</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Financial Officer and Principal Accounting</w:t>
              </w:r>
            </w:hyperlink>
          </w:p>
        </w:tc>
        <w:tc>
          <w:tcPr>
            <w:tcW w:w="22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Officer Pursuant to 18 U.S.C. Section 1350, as Adopted Pursuant to</w:t>
              </w:r>
            </w:hyperlink>
          </w:p>
        </w:tc>
        <w:tc>
          <w:tcPr>
            <w:tcW w:w="3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Section 906 of the Sarbanes-Oxley Act of 2002.</w:t>
              </w:r>
            </w:hyperlink>
          </w:p>
        </w:tc>
        <w:tc>
          <w:tcPr>
            <w:tcW w:w="172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Inline XBRL Instance Document – the instance document does not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embedded with the Inline XBRL document.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Inline XBRL Taxonomy Extension Calculation Linkbase Document.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80" w:type="dxa"/>
            <w:vAlign w:val="bottom"/>
            <w:gridSpan w:val="17"/>
          </w:tcPr>
          <w:p>
            <w:pPr>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80" w:type="dxa"/>
            <w:vAlign w:val="bottom"/>
            <w:gridSpan w:val="17"/>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3"/>
              </w:rPr>
              <w:t>The cover page from the Registrant’s Quarterly Report on Form 10-Q</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for the quarter ended June 30, 2020, formatted in Inline XBRL.</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50" w:lineRule="exact"/>
        <w:rPr>
          <w:sz w:val="20"/>
          <w:szCs w:val="20"/>
          <w:color w:val="auto"/>
        </w:rPr>
      </w:pPr>
    </w:p>
    <w:p>
      <w:pPr>
        <w:jc w:val="both"/>
        <w:ind w:left="380" w:right="20" w:hanging="372"/>
        <w:spacing w:after="0" w:line="26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August 6, 2020</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Langley Steinert</w:t>
            </w:r>
          </w:p>
        </w:tc>
      </w:tr>
      <w:tr>
        <w:trPr>
          <w:trHeight w:val="222"/>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August 6, 2020</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Jason Trevisan</w:t>
            </w:r>
          </w:p>
        </w:tc>
      </w:tr>
      <w:tr>
        <w:trPr>
          <w:trHeight w:val="222"/>
        </w:trPr>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648"/>
        </w:trPr>
        <w:tc>
          <w:tcPr>
            <w:tcW w:w="3540" w:type="dxa"/>
            <w:vAlign w:val="bottom"/>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Arial" w:cs="Arial" w:eastAsia="Arial" w:hAnsi="Arial"/>
                <w:sz w:val="18"/>
                <w:szCs w:val="18"/>
                <w:color w:val="auto"/>
              </w:rPr>
              <w:t>64</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CARGURUS,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Brattle Square,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Cambridge, MA 02138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Kyle Lomeli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Kyle,</w:t>
      </w:r>
    </w:p>
    <w:p>
      <w:pPr>
        <w:spacing w:after="0" w:line="225" w:lineRule="exact"/>
        <w:rPr>
          <w:sz w:val="20"/>
          <w:szCs w:val="20"/>
          <w:color w:val="auto"/>
        </w:rPr>
      </w:pPr>
    </w:p>
    <w:p>
      <w:pPr>
        <w:ind w:right="80" w:firstLine="610"/>
        <w:spacing w:after="0" w:line="263" w:lineRule="auto"/>
        <w:rPr>
          <w:sz w:val="20"/>
          <w:szCs w:val="20"/>
          <w:color w:val="auto"/>
        </w:rPr>
      </w:pPr>
      <w:r>
        <w:rPr>
          <w:rFonts w:ascii="Arial" w:cs="Arial" w:eastAsia="Arial" w:hAnsi="Arial"/>
          <w:sz w:val="18"/>
          <w:szCs w:val="18"/>
          <w:color w:val="auto"/>
        </w:rPr>
        <w:t>We are pleased to extend you this offer of full-time employment to become Sr. Engineer at CarGurus, LLC, a Massachusetts limited liability company (the “Company”). This offer, which will remain in effect until March 14 ,2008, can be accepted by countersigning the enclosed copy of this letter where indicated at the end of this letter and returning the countersigned copy to me.</w:t>
      </w:r>
    </w:p>
    <w:p>
      <w:pPr>
        <w:spacing w:after="0" w:line="184" w:lineRule="exact"/>
        <w:rPr>
          <w:sz w:val="20"/>
          <w:szCs w:val="20"/>
          <w:color w:val="auto"/>
        </w:rPr>
      </w:pPr>
    </w:p>
    <w:p>
      <w:pPr>
        <w:ind w:right="160" w:firstLine="610"/>
        <w:spacing w:after="0" w:line="277" w:lineRule="auto"/>
        <w:rPr>
          <w:sz w:val="20"/>
          <w:szCs w:val="20"/>
          <w:color w:val="auto"/>
        </w:rPr>
      </w:pPr>
      <w:r>
        <w:rPr>
          <w:rFonts w:ascii="Arial" w:cs="Arial" w:eastAsia="Arial" w:hAnsi="Arial"/>
          <w:sz w:val="18"/>
          <w:szCs w:val="18"/>
          <w:color w:val="auto"/>
        </w:rPr>
        <w:t>We are excited about the contributions that we expect you will make to the success of the Company, and would like your employment to begin as soon as possible. Accordingly, we and you mutually agree to a start date of April 7, 2008 (the “Start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Duties and Extent of Service</w:t>
      </w:r>
    </w:p>
    <w:p>
      <w:pPr>
        <w:spacing w:after="0" w:line="225" w:lineRule="exact"/>
        <w:rPr>
          <w:sz w:val="20"/>
          <w:szCs w:val="20"/>
          <w:color w:val="auto"/>
        </w:rPr>
      </w:pPr>
    </w:p>
    <w:p>
      <w:pPr>
        <w:jc w:val="both"/>
        <w:ind w:right="20" w:firstLine="610"/>
        <w:spacing w:after="0" w:line="286" w:lineRule="auto"/>
        <w:rPr>
          <w:sz w:val="20"/>
          <w:szCs w:val="20"/>
          <w:color w:val="auto"/>
        </w:rPr>
      </w:pPr>
      <w:r>
        <w:rPr>
          <w:rFonts w:ascii="Arial" w:cs="Arial" w:eastAsia="Arial" w:hAnsi="Arial"/>
          <w:sz w:val="17"/>
          <w:szCs w:val="17"/>
          <w:color w:val="auto"/>
        </w:rPr>
        <w:t>As Sr. Engineer you will be a member of the Development team. You will have responsibility for performing those duties as are customary for, and are consistent with, such position, as well as those duties as the CTO may from time to time designate. Except for vacations and absences due to temporary illness, you will be expected to devote your full time and effort to the business and affairs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left="1220" w:hanging="60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consideration of your employment with the Company, the Company will pay you a base salary of One Hundred Fifteen Thousand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($115,000) per year, such payments to be made as customarily disbursed by the Company to its employees. Along with other employees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your base salary will be reviewed for readjustment on an annual basis.</w:t>
      </w:r>
    </w:p>
    <w:p>
      <w:pPr>
        <w:spacing w:after="0" w:line="211" w:lineRule="exact"/>
        <w:rPr>
          <w:sz w:val="20"/>
          <w:szCs w:val="20"/>
          <w:color w:val="auto"/>
        </w:rPr>
      </w:pPr>
    </w:p>
    <w:p>
      <w:pPr>
        <w:ind w:left="1220" w:hanging="60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Annual Discretionary Bonus</w:t>
      </w:r>
    </w:p>
    <w:p>
      <w:pPr>
        <w:spacing w:after="0" w:line="225" w:lineRule="exact"/>
        <w:rPr>
          <w:sz w:val="20"/>
          <w:szCs w:val="20"/>
          <w:color w:val="auto"/>
        </w:rPr>
      </w:pPr>
    </w:p>
    <w:p>
      <w:pPr>
        <w:ind w:firstLine="610"/>
        <w:spacing w:after="0" w:line="277" w:lineRule="auto"/>
        <w:rPr>
          <w:sz w:val="20"/>
          <w:szCs w:val="20"/>
          <w:color w:val="auto"/>
        </w:rPr>
      </w:pPr>
      <w:r>
        <w:rPr>
          <w:rFonts w:ascii="Arial" w:cs="Arial" w:eastAsia="Arial" w:hAnsi="Arial"/>
          <w:sz w:val="18"/>
          <w:szCs w:val="18"/>
          <w:color w:val="auto"/>
        </w:rPr>
        <w:t>At such time as the company has a profitable year (defined as being cash flow positive for a full annual fiscal year), you will become eligible for an annual discretionary bonus.</w:t>
      </w:r>
    </w:p>
    <w:p>
      <w:pPr>
        <w:spacing w:after="0" w:line="170" w:lineRule="exact"/>
        <w:rPr>
          <w:sz w:val="20"/>
          <w:szCs w:val="20"/>
          <w:color w:val="auto"/>
        </w:rPr>
      </w:pPr>
    </w:p>
    <w:p>
      <w:pPr>
        <w:ind w:left="1220" w:hanging="605"/>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Fringe Benefits</w:t>
      </w:r>
    </w:p>
    <w:p>
      <w:pPr>
        <w:spacing w:after="0" w:line="225" w:lineRule="exact"/>
        <w:rPr>
          <w:sz w:val="20"/>
          <w:szCs w:val="20"/>
          <w:color w:val="auto"/>
        </w:rPr>
      </w:pPr>
    </w:p>
    <w:p>
      <w:pPr>
        <w:jc w:val="both"/>
        <w:ind w:right="60" w:firstLine="610"/>
        <w:spacing w:after="0" w:line="263" w:lineRule="auto"/>
        <w:rPr>
          <w:sz w:val="20"/>
          <w:szCs w:val="20"/>
          <w:color w:val="auto"/>
        </w:rPr>
      </w:pPr>
      <w:r>
        <w:rPr>
          <w:rFonts w:ascii="Arial" w:cs="Arial" w:eastAsia="Arial" w:hAnsi="Arial"/>
          <w:sz w:val="18"/>
          <w:szCs w:val="18"/>
          <w:color w:val="auto"/>
        </w:rPr>
        <w:t>You will be entitled to participate from time to time in all fringe benefits made available to employees of the Company. No representation is made, however, that any specific fringe benefit now available will continue or that any other fringe benefit will be made available. Notwithstanding the foregoing the following benefits will, in any event, be available to you.</w:t>
      </w:r>
    </w:p>
    <w:p>
      <w:pPr>
        <w:spacing w:after="0" w:line="184" w:lineRule="exact"/>
        <w:rPr>
          <w:sz w:val="20"/>
          <w:szCs w:val="20"/>
          <w:color w:val="auto"/>
        </w:rPr>
      </w:pPr>
    </w:p>
    <w:p>
      <w:pPr>
        <w:ind w:left="1840" w:right="140" w:hanging="617"/>
        <w:spacing w:after="0" w:line="263" w:lineRule="auto"/>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Health Insurance</w:t>
      </w:r>
      <w:r>
        <w:rPr>
          <w:rFonts w:ascii="Arial" w:cs="Arial" w:eastAsia="Arial" w:hAnsi="Arial"/>
          <w:sz w:val="18"/>
          <w:szCs w:val="18"/>
          <w:color w:val="auto"/>
        </w:rPr>
        <w:t>. If elected by you, you many participate in the company’s health insurance program, and the Company will pay that portion of the premium for you, on a basis and pursuant to a program, substantially the same as that offered to other employees of the Company.</w:t>
      </w:r>
    </w:p>
    <w:p>
      <w:pPr>
        <w:spacing w:after="0" w:line="183" w:lineRule="exact"/>
        <w:rPr>
          <w:rFonts w:ascii="Arial" w:cs="Arial" w:eastAsia="Arial" w:hAnsi="Arial"/>
          <w:sz w:val="18"/>
          <w:szCs w:val="18"/>
          <w:color w:val="auto"/>
        </w:rPr>
      </w:pPr>
    </w:p>
    <w:p>
      <w:pPr>
        <w:ind w:left="1840" w:right="400" w:hanging="617"/>
        <w:spacing w:after="0" w:line="277" w:lineRule="auto"/>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You will be entitled to three weeks’ paid vacation annually at such reasonable times as you and the Company may determine.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BUSDOCS/1531733.1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1840" w:right="400" w:hanging="617"/>
        <w:spacing w:after="0" w:line="277" w:lineRule="auto"/>
        <w:tabs>
          <w:tab w:leader="none" w:pos="1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The Company will reimburse you for all ordinary and necessary expenses incurred on behalf of the Company and in accordance with its reimbursement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w:t>
      </w:r>
    </w:p>
    <w:p>
      <w:pPr>
        <w:spacing w:after="0" w:line="225" w:lineRule="exact"/>
        <w:rPr>
          <w:sz w:val="20"/>
          <w:szCs w:val="20"/>
          <w:color w:val="auto"/>
        </w:rPr>
      </w:pPr>
    </w:p>
    <w:p>
      <w:pPr>
        <w:ind w:right="20" w:firstLine="610"/>
        <w:spacing w:after="0" w:line="269" w:lineRule="auto"/>
        <w:rPr>
          <w:sz w:val="20"/>
          <w:szCs w:val="20"/>
          <w:color w:val="auto"/>
        </w:rPr>
      </w:pPr>
      <w:r>
        <w:rPr>
          <w:rFonts w:ascii="Arial" w:cs="Arial" w:eastAsia="Arial" w:hAnsi="Arial"/>
          <w:sz w:val="17"/>
          <w:szCs w:val="17"/>
          <w:color w:val="auto"/>
        </w:rPr>
        <w:t>As a Sr. Engineer, the Company is prepared to offer to you the opportunity to acquire an equity interest in the Company upon the terms and conditions set forth below. The Company will grant you an option to purchase 56,536 Company Common Units at a price of fifteen cents ($.15) per unit (the “Option Units”) pursuant to the terms of the Company’s 2006 Unit Options Plan to be adopted by the Company (the “Plan”). The Option Units shall be subject to four year vesting during (and only during) your employment by the Company, with the first twenty five percent (25%) vesting on the first anniversary of the Start Date and an additional 6.25% vesting at the end of each three months thereafter unit all of the option to acquire Option Units are fully vested In addition to the vesting Provisions set forth above, all of any then unvested Option Units and options to acquire Option Units will become exercisable and vested if (a) the Company is sold or there is a “change in control” (as defined in the agreements referenced below), other than through transfers to employees, additional equity financing or public offerings Any Option Units that are unvested on the termination of your employment shall be void and of no force effect. Vested options for Option Units may be exercised up to the first to occur of the date which is the earlier of the expiration of five years from the Grant date, as defined in the plan, or ninety days after termination of your employment by the Company, in each case in accordance with the terms of the plan.</w:t>
      </w:r>
    </w:p>
    <w:p>
      <w:pPr>
        <w:spacing w:after="0" w:line="182" w:lineRule="exact"/>
        <w:rPr>
          <w:sz w:val="20"/>
          <w:szCs w:val="20"/>
          <w:color w:val="auto"/>
        </w:rPr>
      </w:pPr>
    </w:p>
    <w:p>
      <w:pPr>
        <w:ind w:right="100" w:firstLine="610"/>
        <w:spacing w:after="0" w:line="259" w:lineRule="auto"/>
        <w:rPr>
          <w:sz w:val="20"/>
          <w:szCs w:val="20"/>
          <w:color w:val="auto"/>
        </w:rPr>
      </w:pPr>
      <w:r>
        <w:rPr>
          <w:rFonts w:ascii="Arial" w:cs="Arial" w:eastAsia="Arial" w:hAnsi="Arial"/>
          <w:sz w:val="18"/>
          <w:szCs w:val="18"/>
          <w:color w:val="auto"/>
        </w:rPr>
        <w:t>Promptly following the Start Date, the Company will prepare any and all documentation necessary to implement your options for Option Unit and the vesting thereof as provided above. You understand that the Option Units purchased by you will be subject to the same risks as those facing other member of the Company, including, without limitation, the possibility of dilution in the event that the Company issues additional Preferred or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Proprietary Information and Inventions</w:t>
      </w:r>
    </w:p>
    <w:p>
      <w:pPr>
        <w:spacing w:after="0" w:line="225" w:lineRule="exact"/>
        <w:rPr>
          <w:sz w:val="20"/>
          <w:szCs w:val="20"/>
          <w:color w:val="auto"/>
        </w:rPr>
      </w:pPr>
    </w:p>
    <w:p>
      <w:pPr>
        <w:ind w:right="80" w:firstLine="610"/>
        <w:spacing w:after="0" w:line="259" w:lineRule="auto"/>
        <w:rPr>
          <w:sz w:val="20"/>
          <w:szCs w:val="20"/>
          <w:color w:val="auto"/>
        </w:rPr>
      </w:pPr>
      <w:r>
        <w:rPr>
          <w:rFonts w:ascii="Arial" w:cs="Arial" w:eastAsia="Arial" w:hAnsi="Arial"/>
          <w:sz w:val="18"/>
          <w:szCs w:val="18"/>
          <w:color w:val="auto"/>
        </w:rPr>
        <w:t xml:space="preserve">Prior to commencing your employment with the Company, you agree to sign a copy of the Company’s standard Nondisclosure, Developments and Non- Competition Agreement, a copy of which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By signing below you represent that you are free to enter into this agreement and the Nondisclosure, Developments and Non-Competition Agreement and carry out the obligations hereunder and thereunder without any conflict with any prior agreements to which you are a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firstLine="610"/>
        <w:spacing w:after="0" w:line="272" w:lineRule="auto"/>
        <w:rPr>
          <w:sz w:val="20"/>
          <w:szCs w:val="20"/>
          <w:color w:val="auto"/>
        </w:rPr>
      </w:pPr>
      <w:r>
        <w:rPr>
          <w:rFonts w:ascii="Arial" w:cs="Arial" w:eastAsia="Arial" w:hAnsi="Arial"/>
          <w:sz w:val="17"/>
          <w:szCs w:val="17"/>
          <w:color w:val="auto"/>
        </w:rPr>
        <w:t>You acknowledge that the employment relationship between the Company and you is at-will, meaning that the employment relationship may be terminated by the Company or you for any reason or for no reason. However, the Company and you agree to make reasonable efforts to provide the other party at least thirty (30) days’ written notice prior to termination of the employment relationship. You acknowledge that, in connection with any termination of your employment with the Company, you will assist the Company in its efforts to find a new Sr. Engineer and will provide such transitional assistance as the Company may reasonably require. In connection with foregoing, the Company agrees that should your employment be terminated, you will receive as your sole and only payments of account of such termination (and subject to execution of appropriate documentation to this effect) accrued compensation through the date of termination. In addition, COBRA rights will be available to you.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Governing Law and Jurisdiction</w:t>
      </w:r>
    </w:p>
    <w:p>
      <w:pPr>
        <w:spacing w:after="0" w:line="225" w:lineRule="exact"/>
        <w:rPr>
          <w:sz w:val="20"/>
          <w:szCs w:val="20"/>
          <w:color w:val="auto"/>
        </w:rPr>
      </w:pPr>
    </w:p>
    <w:p>
      <w:pPr>
        <w:ind w:right="120" w:firstLine="610"/>
        <w:spacing w:after="0" w:line="296" w:lineRule="auto"/>
        <w:rPr>
          <w:sz w:val="20"/>
          <w:szCs w:val="20"/>
          <w:color w:val="auto"/>
        </w:rPr>
      </w:pPr>
      <w:r>
        <w:rPr>
          <w:rFonts w:ascii="Arial" w:cs="Arial" w:eastAsia="Arial" w:hAnsi="Arial"/>
          <w:sz w:val="16"/>
          <w:szCs w:val="16"/>
          <w:color w:val="auto"/>
        </w:rPr>
        <w:t>This agreement shall be governed by and construed in accordance with the internal substantive laws of the Commonwealth of Massachusetts. The Company and you hereby expressly consent and agree that any dispute, controversy legal action or other proceeding that arises form, concerns or touches this agreement shall be brought in either the Superior Court of Massachusetts or the United States District Court for the District of Massachusetts. The Company and you hereby acknowledge that said courts have sole and exclusive jurisdiction over any such dispute or controversy, and that the Company and you hereby waive any objection to personal jurisdiction or venue in these courts, and waive any right to jury trial.</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BUSDOCS/1531733.1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Entire Agreement: Amendment</w:t>
      </w:r>
    </w:p>
    <w:p>
      <w:pPr>
        <w:spacing w:after="0" w:line="225" w:lineRule="exact"/>
        <w:rPr>
          <w:sz w:val="20"/>
          <w:szCs w:val="20"/>
          <w:color w:val="auto"/>
        </w:rPr>
      </w:pPr>
    </w:p>
    <w:p>
      <w:pPr>
        <w:ind w:firstLine="610"/>
        <w:spacing w:after="0" w:line="257" w:lineRule="auto"/>
        <w:rPr>
          <w:sz w:val="20"/>
          <w:szCs w:val="20"/>
          <w:color w:val="auto"/>
        </w:rPr>
      </w:pPr>
      <w:r>
        <w:rPr>
          <w:rFonts w:ascii="Arial" w:cs="Arial" w:eastAsia="Arial" w:hAnsi="Arial"/>
          <w:sz w:val="18"/>
          <w:szCs w:val="18"/>
          <w:color w:val="auto"/>
        </w:rPr>
        <w:t>This agreement (together with the Nondisclosure, Developments and Non-Competition Agreement) and the Plan set forth the sole and entire agreement and understanding between the Company and you with respect to the specific matters contemplated and addressed hereby and thereby. No prior agreement, whether written or oral, shall be construed to change or affect the operation of this agreement or the other agreements contemplated hereby in accordance with their terms, and any provision of any such prior agreement which conflicts with or contradicts any provision of this agreement or the other agreements contemplated hereby is hereby revoked and superseded.</w:t>
      </w:r>
    </w:p>
    <w:p>
      <w:pPr>
        <w:spacing w:after="0" w:line="188" w:lineRule="exact"/>
        <w:rPr>
          <w:sz w:val="20"/>
          <w:szCs w:val="20"/>
          <w:color w:val="auto"/>
        </w:rPr>
      </w:pPr>
    </w:p>
    <w:p>
      <w:pPr>
        <w:ind w:right="180" w:firstLine="610"/>
        <w:spacing w:after="0" w:line="277" w:lineRule="auto"/>
        <w:rPr>
          <w:sz w:val="20"/>
          <w:szCs w:val="20"/>
          <w:color w:val="auto"/>
        </w:rPr>
      </w:pPr>
      <w:r>
        <w:rPr>
          <w:rFonts w:ascii="Arial" w:cs="Arial" w:eastAsia="Arial" w:hAnsi="Arial"/>
          <w:sz w:val="18"/>
          <w:szCs w:val="18"/>
          <w:color w:val="auto"/>
        </w:rPr>
        <w:t>This agreement may be amended or terminated only by a written instrument executed both by you and the Company, acting through its Board of Directors.</w:t>
      </w:r>
    </w:p>
    <w:p>
      <w:pPr>
        <w:spacing w:after="0" w:line="170" w:lineRule="exact"/>
        <w:rPr>
          <w:sz w:val="20"/>
          <w:szCs w:val="20"/>
          <w:color w:val="auto"/>
        </w:rPr>
      </w:pPr>
    </w:p>
    <w:p>
      <w:pPr>
        <w:ind w:right="520" w:firstLine="610"/>
        <w:spacing w:after="0" w:line="277" w:lineRule="auto"/>
        <w:rPr>
          <w:sz w:val="20"/>
          <w:szCs w:val="20"/>
          <w:color w:val="auto"/>
        </w:rPr>
      </w:pPr>
      <w:r>
        <w:rPr>
          <w:rFonts w:ascii="Arial" w:cs="Arial" w:eastAsia="Arial" w:hAnsi="Arial"/>
          <w:sz w:val="18"/>
          <w:szCs w:val="18"/>
          <w:color w:val="auto"/>
        </w:rPr>
        <w:t>We are excited to have you on board as a Sr. Engineer. Please acknowledge your acceptance of this offer and the terms of this agreement by signing below and returning a copy to me.</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151765</wp:posOffset>
            </wp:positionV>
            <wp:extent cx="2554605" cy="557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546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hereby acknowledge that I have had a full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adequate opportunity to read, understand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 the terms and conditions contained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prior to signing hereunder.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KYLE LOMELI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03/13/2008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BUSDOCS/1531733.1</w:t>
      </w:r>
    </w:p>
    <w:p>
      <w:pPr>
        <w:sectPr>
          <w:pgSz w:w="11900" w:h="16838" w:orient="portrait"/>
          <w:cols w:equalWidth="0" w:num="1">
            <w:col w:w="11180"/>
          </w:cols>
          <w:pgMar w:left="320" w:top="125" w:right="39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CARGURUS, INC.</w:t>
      </w:r>
    </w:p>
    <w:p>
      <w:pPr>
        <w:jc w:val="center"/>
        <w:spacing w:after="0" w:line="238" w:lineRule="auto"/>
        <w:rPr>
          <w:sz w:val="20"/>
          <w:szCs w:val="20"/>
          <w:color w:val="auto"/>
        </w:rPr>
      </w:pPr>
      <w:r>
        <w:rPr>
          <w:rFonts w:ascii="Arial" w:cs="Arial" w:eastAsia="Arial" w:hAnsi="Arial"/>
          <w:sz w:val="22"/>
          <w:szCs w:val="22"/>
          <w:color w:val="auto"/>
        </w:rPr>
        <w:t>Two Canal Park</w:t>
      </w:r>
    </w:p>
    <w:p>
      <w:pPr>
        <w:jc w:val="center"/>
        <w:spacing w:after="0"/>
        <w:rPr>
          <w:sz w:val="20"/>
          <w:szCs w:val="20"/>
          <w:color w:val="auto"/>
        </w:rPr>
      </w:pPr>
      <w:r>
        <w:rPr>
          <w:rFonts w:ascii="Arial" w:cs="Arial" w:eastAsia="Arial" w:hAnsi="Arial"/>
          <w:sz w:val="22"/>
          <w:szCs w:val="22"/>
          <w:color w:val="auto"/>
        </w:rPr>
        <w:t>Cambridge, MA 02141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29, 2015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Sarah Amory Welch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Sarah,</w:t>
      </w:r>
    </w:p>
    <w:p>
      <w:pPr>
        <w:spacing w:after="0" w:line="206" w:lineRule="exact"/>
        <w:rPr>
          <w:sz w:val="20"/>
          <w:szCs w:val="20"/>
          <w:color w:val="auto"/>
        </w:rPr>
      </w:pPr>
    </w:p>
    <w:p>
      <w:pPr>
        <w:jc w:val="both"/>
        <w:ind w:firstLine="610"/>
        <w:spacing w:after="0" w:line="248" w:lineRule="auto"/>
        <w:rPr>
          <w:sz w:val="20"/>
          <w:szCs w:val="20"/>
          <w:color w:val="auto"/>
        </w:rPr>
      </w:pPr>
      <w:r>
        <w:rPr>
          <w:rFonts w:ascii="Arial" w:cs="Arial" w:eastAsia="Arial" w:hAnsi="Arial"/>
          <w:sz w:val="21"/>
          <w:szCs w:val="21"/>
          <w:color w:val="auto"/>
        </w:rPr>
        <w:t>We are pleased to extend you this offer of full-time employment to become the Senior Vice President-Marketing (“SVPM”) at CarGurus, Inc., a Delaware corporation (the “Company”). This offer is contingent upon your successful completion of the Company’s background screening process, which will require you to sign the Electronic Disclosure and Authorization Form with our provider: Talentwise. This offer, which will remain in effect until the date that is seven (7) days from the date listed above, can be accepted by countersigned copy to me. The purpose of this letter (this “Agreement”) is to summarize the key terms of your employment with the Company, should you accept our offer.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Start Date</w:t>
      </w:r>
    </w:p>
    <w:p>
      <w:pPr>
        <w:spacing w:after="0" w:line="206" w:lineRule="exact"/>
        <w:rPr>
          <w:sz w:val="20"/>
          <w:szCs w:val="20"/>
          <w:color w:val="auto"/>
        </w:rPr>
      </w:pPr>
    </w:p>
    <w:p>
      <w:pPr>
        <w:jc w:val="both"/>
        <w:ind w:firstLine="610"/>
        <w:spacing w:after="0"/>
        <w:rPr>
          <w:sz w:val="20"/>
          <w:szCs w:val="20"/>
          <w:color w:val="auto"/>
        </w:rPr>
      </w:pPr>
      <w:r>
        <w:rPr>
          <w:rFonts w:ascii="Arial" w:cs="Arial" w:eastAsia="Arial" w:hAnsi="Arial"/>
          <w:sz w:val="22"/>
          <w:szCs w:val="22"/>
          <w:color w:val="auto"/>
        </w:rPr>
        <w:t>We are excited about the contributions that we expect you will make to the success of the Company, and would like your employment to begin as soon as possible. Accordingly, we and you mutually agree to a start date of February 22, 2016 (“Start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Duties and Extent of Service</w:t>
      </w:r>
    </w:p>
    <w:p>
      <w:pPr>
        <w:spacing w:after="0" w:line="206" w:lineRule="exact"/>
        <w:rPr>
          <w:sz w:val="20"/>
          <w:szCs w:val="20"/>
          <w:color w:val="auto"/>
        </w:rPr>
      </w:pPr>
    </w:p>
    <w:p>
      <w:pPr>
        <w:jc w:val="both"/>
        <w:ind w:firstLine="610"/>
        <w:spacing w:after="0" w:line="238" w:lineRule="auto"/>
        <w:rPr>
          <w:sz w:val="20"/>
          <w:szCs w:val="20"/>
          <w:color w:val="auto"/>
        </w:rPr>
      </w:pPr>
      <w:r>
        <w:rPr>
          <w:rFonts w:ascii="Arial" w:cs="Arial" w:eastAsia="Arial" w:hAnsi="Arial"/>
          <w:sz w:val="22"/>
          <w:szCs w:val="22"/>
          <w:color w:val="auto"/>
        </w:rPr>
        <w:t>As a SVPM you will be a member of the Executive Team. You will have responsibility for performing those duties as are customary for, and are consistent with, such position, as well as those duties as the Chief Executive Officer (“CEO”) may from time to time designate. Except for vacations and absences due to temporary illness, you will be expected to devote your full time and effort to the business and affairs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Compensation</w:t>
      </w:r>
    </w:p>
    <w:p>
      <w:pPr>
        <w:spacing w:after="0" w:line="206" w:lineRule="exact"/>
        <w:rPr>
          <w:sz w:val="20"/>
          <w:szCs w:val="20"/>
          <w:color w:val="auto"/>
        </w:rPr>
      </w:pPr>
    </w:p>
    <w:p>
      <w:pPr>
        <w:ind w:left="1060" w:hanging="445"/>
        <w:spacing w:after="0"/>
        <w:tabs>
          <w:tab w:leader="none" w:pos="10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Base Salary</w:t>
      </w:r>
    </w:p>
    <w:p>
      <w:pPr>
        <w:spacing w:after="0" w:line="206" w:lineRule="exact"/>
        <w:rPr>
          <w:sz w:val="20"/>
          <w:szCs w:val="20"/>
          <w:color w:val="auto"/>
        </w:rPr>
      </w:pPr>
    </w:p>
    <w:p>
      <w:pPr>
        <w:jc w:val="both"/>
        <w:ind w:firstLine="610"/>
        <w:spacing w:after="0"/>
        <w:rPr>
          <w:sz w:val="20"/>
          <w:szCs w:val="20"/>
          <w:color w:val="auto"/>
        </w:rPr>
      </w:pPr>
      <w:r>
        <w:rPr>
          <w:rFonts w:ascii="Arial" w:cs="Arial" w:eastAsia="Arial" w:hAnsi="Arial"/>
          <w:sz w:val="22"/>
          <w:szCs w:val="22"/>
          <w:color w:val="auto"/>
        </w:rPr>
        <w:t>In consideration of your employment with the Company, the Company will pay you a base salary of Two Hundred Fifty Thousand Dollars ($250,000) per year, such payments to be a made as customarily disbursed reviewed for adjustment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ind w:left="1060" w:hanging="445"/>
        <w:spacing w:after="0"/>
        <w:tabs>
          <w:tab w:leader="none" w:pos="10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Sign-on Bonus</w:t>
      </w:r>
    </w:p>
    <w:p>
      <w:pPr>
        <w:spacing w:after="0" w:line="207" w:lineRule="exact"/>
        <w:rPr>
          <w:sz w:val="20"/>
          <w:szCs w:val="20"/>
          <w:color w:val="auto"/>
        </w:rPr>
      </w:pPr>
    </w:p>
    <w:p>
      <w:pPr>
        <w:jc w:val="both"/>
        <w:ind w:firstLine="610"/>
        <w:spacing w:after="0" w:line="245" w:lineRule="auto"/>
        <w:rPr>
          <w:sz w:val="20"/>
          <w:szCs w:val="20"/>
          <w:color w:val="auto"/>
        </w:rPr>
      </w:pPr>
      <w:r>
        <w:rPr>
          <w:rFonts w:ascii="Arial" w:cs="Arial" w:eastAsia="Arial" w:hAnsi="Arial"/>
          <w:sz w:val="21"/>
          <w:szCs w:val="21"/>
          <w:color w:val="auto"/>
        </w:rPr>
        <w:t>In consideration of your employment with the Company, the Company will pay you a one-time cash sign-on bonus equal to Thirty-Seven Thousand Five Hundred Dollars ($37,500) (“Sign-On Bonus”). The Sign-On Bonus will paid to you within two weeks following the Start Date, provided that you are employed on the date of payment. This Sign-On Bonus will be subject to recoupment in whole if your employment does not continue uninterrupted through three months following your Start Date and will be subject to partial, pro rata recoupment based on the number of months of service through nine months following such three-month period; provided however, that: (i) there shall be no such recoupment during either period if your employment does not continue during such periods solely because you are terminated by the Company without Cause (as defined below); and (ii) there shall be full recoupment also during the nine-month period described above if your employment does not continue during that period because you are terminated for Cause.</w:t>
      </w:r>
    </w:p>
    <w:p>
      <w:pPr>
        <w:spacing w:after="0" w:line="184" w:lineRule="exact"/>
        <w:rPr>
          <w:sz w:val="20"/>
          <w:szCs w:val="20"/>
          <w:color w:val="auto"/>
        </w:rPr>
      </w:pPr>
    </w:p>
    <w:p>
      <w:pPr>
        <w:ind w:left="1060" w:hanging="445"/>
        <w:spacing w:after="0"/>
        <w:tabs>
          <w:tab w:leader="none" w:pos="10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Annual Discretionary Bonus</w:t>
      </w:r>
    </w:p>
    <w:p>
      <w:pPr>
        <w:spacing w:after="0" w:line="206" w:lineRule="exact"/>
        <w:rPr>
          <w:sz w:val="20"/>
          <w:szCs w:val="20"/>
          <w:color w:val="auto"/>
        </w:rPr>
      </w:pPr>
    </w:p>
    <w:p>
      <w:pPr>
        <w:jc w:val="both"/>
        <w:ind w:firstLine="610"/>
        <w:spacing w:after="0" w:line="279" w:lineRule="auto"/>
        <w:rPr>
          <w:sz w:val="20"/>
          <w:szCs w:val="20"/>
          <w:color w:val="auto"/>
        </w:rPr>
      </w:pPr>
      <w:r>
        <w:rPr>
          <w:rFonts w:ascii="Arial" w:cs="Arial" w:eastAsia="Arial" w:hAnsi="Arial"/>
          <w:sz w:val="19"/>
          <w:szCs w:val="19"/>
          <w:color w:val="auto"/>
        </w:rPr>
        <w:t>You will also be eligible for an annual discretionary bonus. Your target discretionary bonus will be Seventy-Five Thousand Dollars ($75,000), but the actual amount will be subject to the achievement of the Company and individual performance metrics, as determined by the CEO each year and communicated to you prior to the end of the first quarter of the fiscal year with respect to which such bonus pertains (“Annual Discretionary Bonus”). Notwithstanding the foregoing, any Annual Discretionary Bonus for fiscal year 2016 will be multiplied by a fraction, the numerator of which is the number of days during which you were employed by the Company during fiscal year 2016 and the denominator of which is 365.</w:t>
      </w:r>
    </w:p>
    <w:p>
      <w:pPr>
        <w:spacing w:after="0" w:line="150" w:lineRule="exact"/>
        <w:rPr>
          <w:sz w:val="20"/>
          <w:szCs w:val="20"/>
          <w:color w:val="auto"/>
        </w:rPr>
      </w:pPr>
    </w:p>
    <w:p>
      <w:pPr>
        <w:ind w:left="1060" w:hanging="445"/>
        <w:spacing w:after="0"/>
        <w:tabs>
          <w:tab w:leader="none" w:pos="10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Employee Benefits</w:t>
      </w:r>
    </w:p>
    <w:p>
      <w:pPr>
        <w:spacing w:after="0" w:line="206" w:lineRule="exact"/>
        <w:rPr>
          <w:sz w:val="20"/>
          <w:szCs w:val="20"/>
          <w:color w:val="auto"/>
        </w:rPr>
      </w:pPr>
    </w:p>
    <w:p>
      <w:pPr>
        <w:jc w:val="both"/>
        <w:ind w:firstLine="610"/>
        <w:spacing w:after="0" w:line="252" w:lineRule="auto"/>
        <w:rPr>
          <w:sz w:val="20"/>
          <w:szCs w:val="20"/>
          <w:color w:val="auto"/>
        </w:rPr>
      </w:pPr>
      <w:r>
        <w:rPr>
          <w:rFonts w:ascii="Arial" w:cs="Arial" w:eastAsia="Arial" w:hAnsi="Arial"/>
          <w:sz w:val="21"/>
          <w:szCs w:val="21"/>
          <w:color w:val="auto"/>
        </w:rPr>
        <w:t>You will be eligible to participate from time to time in all employee benefits made available to employees of the Company, subject to the terms of such benefit plans or policies. No representation is made, however, that any specific employee benefits now available will continue or that any other employee benefits will be made available. Notwithstanding the foregoing, the following benefits will in any event, be available to you, effective as of the Start Date.</w:t>
      </w:r>
    </w:p>
    <w:p>
      <w:pPr>
        <w:spacing w:after="0" w:line="174" w:lineRule="exact"/>
        <w:rPr>
          <w:sz w:val="20"/>
          <w:szCs w:val="20"/>
          <w:color w:val="auto"/>
        </w:rPr>
      </w:pPr>
    </w:p>
    <w:p>
      <w:pPr>
        <w:jc w:val="both"/>
        <w:ind w:left="1500" w:hanging="453"/>
        <w:spacing w:after="0"/>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Health Insurance</w:t>
      </w:r>
      <w:r>
        <w:rPr>
          <w:rFonts w:ascii="Arial" w:cs="Arial" w:eastAsia="Arial" w:hAnsi="Arial"/>
          <w:sz w:val="22"/>
          <w:szCs w:val="22"/>
          <w:color w:val="auto"/>
        </w:rPr>
        <w:t>. If elected by you, you may participate in the Company’s health insurance program, and the Company will pay that portion of the premium for you, on a basis and pursuant to a program, substantially the same as that offered to other employees of the Company.</w:t>
      </w:r>
    </w:p>
    <w:p>
      <w:pPr>
        <w:spacing w:after="0" w:line="186" w:lineRule="exact"/>
        <w:rPr>
          <w:rFonts w:ascii="Arial" w:cs="Arial" w:eastAsia="Arial" w:hAnsi="Arial"/>
          <w:sz w:val="22"/>
          <w:szCs w:val="22"/>
          <w:color w:val="auto"/>
        </w:rPr>
      </w:pPr>
    </w:p>
    <w:p>
      <w:pPr>
        <w:ind w:left="1500" w:right="20" w:hanging="453"/>
        <w:spacing w:after="0" w:line="250"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You will be entitled to three week’s paid vacation annually at such reasonable times as you and the Company may determine, subject to the Company’s vacation and paid time off policies.</w:t>
      </w:r>
    </w:p>
    <w:p>
      <w:pPr>
        <w:spacing w:after="0" w:line="174" w:lineRule="exact"/>
        <w:rPr>
          <w:rFonts w:ascii="Arial" w:cs="Arial" w:eastAsia="Arial" w:hAnsi="Arial"/>
          <w:sz w:val="22"/>
          <w:szCs w:val="22"/>
          <w:color w:val="auto"/>
        </w:rPr>
      </w:pPr>
    </w:p>
    <w:p>
      <w:pPr>
        <w:ind w:left="1500" w:hanging="453"/>
        <w:spacing w:after="0" w:line="250"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Expense Reimbursement</w:t>
      </w:r>
      <w:r>
        <w:rPr>
          <w:rFonts w:ascii="Arial" w:cs="Arial" w:eastAsia="Arial" w:hAnsi="Arial"/>
          <w:sz w:val="22"/>
          <w:szCs w:val="22"/>
          <w:color w:val="auto"/>
        </w:rPr>
        <w:t>. The Company will reimburse you for all ordinary and necessary expenses incurred on behalf of the Company and in accordance with its reimbursement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445" w:hanging="445"/>
        <w:spacing w:after="0"/>
        <w:tabs>
          <w:tab w:leader="none" w:pos="445"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RSU Grant</w:t>
      </w:r>
    </w:p>
    <w:p>
      <w:pPr>
        <w:spacing w:after="0" w:line="206" w:lineRule="exact"/>
        <w:rPr>
          <w:rFonts w:ascii="Arial" w:cs="Arial" w:eastAsia="Arial" w:hAnsi="Arial"/>
          <w:sz w:val="22"/>
          <w:szCs w:val="22"/>
          <w:color w:val="auto"/>
        </w:rPr>
      </w:pPr>
    </w:p>
    <w:p>
      <w:pPr>
        <w:jc w:val="both"/>
        <w:ind w:left="885" w:hanging="453"/>
        <w:spacing w:after="0" w:line="282" w:lineRule="auto"/>
        <w:tabs>
          <w:tab w:leader="none" w:pos="885"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As the SVPM, the Company is prepared to offer to you the opportunity to acquire an equity interest in the Company upon the terms and conditions set forth below. Subject to the approval of the Company’s Board of Directors, the Company will grant you 44,000 restricted stock units (the “RSU”), subject in all respects to the terms and conditions of the Company’s Amended and Restated 2015 Equity Incentive Plan (the “Plan”) and the RSU grant agreement evidencing the terms and conditions of the grant.</w:t>
      </w:r>
    </w:p>
    <w:p>
      <w:pPr>
        <w:spacing w:after="0" w:line="147" w:lineRule="exact"/>
        <w:rPr>
          <w:rFonts w:ascii="Arial" w:cs="Arial" w:eastAsia="Arial" w:hAnsi="Arial"/>
          <w:sz w:val="19"/>
          <w:szCs w:val="19"/>
          <w:color w:val="auto"/>
        </w:rPr>
      </w:pPr>
    </w:p>
    <w:p>
      <w:pPr>
        <w:jc w:val="both"/>
        <w:ind w:left="885" w:hanging="453"/>
        <w:spacing w:after="0" w:line="244" w:lineRule="auto"/>
        <w:tabs>
          <w:tab w:leader="none" w:pos="885"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Vesting Conditions</w:t>
      </w:r>
      <w:r>
        <w:rPr>
          <w:rFonts w:ascii="Arial" w:cs="Arial" w:eastAsia="Arial" w:hAnsi="Arial"/>
          <w:sz w:val="21"/>
          <w:szCs w:val="21"/>
          <w:color w:val="auto"/>
        </w:rPr>
        <w:t xml:space="preserve">. The RSU will have a seven year term and will be subject to service-based vesting and liquidity event-based vesting. The RSU will not vest (in whole or in part) if only one (or id neither) of the vesting requirements is satisfied on or before the seventh anniversary of the date of grant. If both the service-based requirement and the event-based requirement are satisfied on a before the seventh anniversary of the date of grant, the vesting is a follows: four year vesting during your employment with the Company, with the first 25% vesting on the first anniversary of the Start Date and an additional 6.25% vesting at the end of each three month period thereafter until the fourth anniversary of the Start Date. If a Transaction (as defined in the Plan) occurs during your employment and before the fourth anniversary of the Start Date, 50% of the portion of the RSU that is not vested as to the service-based vesting condition will accelerate and become fully vested. The liquidity event-based vesting is as follows: the first to occur of a Public Offering (as defined in the Plan) or the consummation of a Transaction. The liquidity event must occur within seven years following the grant date. </w:t>
      </w:r>
      <w:r>
        <w:rPr>
          <w:rFonts w:ascii="Arial" w:cs="Arial" w:eastAsia="Arial" w:hAnsi="Arial"/>
          <w:sz w:val="21"/>
          <w:szCs w:val="21"/>
          <w:color w:val="222222"/>
        </w:rPr>
        <w:t>If</w:t>
      </w:r>
      <w:r>
        <w:rPr>
          <w:rFonts w:ascii="Arial" w:cs="Arial" w:eastAsia="Arial" w:hAnsi="Arial"/>
          <w:sz w:val="21"/>
          <w:szCs w:val="21"/>
          <w:color w:val="auto"/>
        </w:rPr>
        <w:t xml:space="preserve"> </w:t>
      </w:r>
      <w:r>
        <w:rPr>
          <w:rFonts w:ascii="Arial" w:cs="Arial" w:eastAsia="Arial" w:hAnsi="Arial"/>
          <w:sz w:val="21"/>
          <w:szCs w:val="21"/>
          <w:color w:val="222222"/>
        </w:rPr>
        <w:t>the first to occur during the seven-year term is a public Offering, the RSU will be settled on the 180</w:t>
      </w:r>
      <w:r>
        <w:rPr>
          <w:rFonts w:ascii="Arial" w:cs="Arial" w:eastAsia="Arial" w:hAnsi="Arial"/>
          <w:sz w:val="17"/>
          <w:szCs w:val="17"/>
          <w:color w:val="222222"/>
        </w:rPr>
        <w:t>th</w:t>
      </w:r>
      <w:r>
        <w:rPr>
          <w:rFonts w:ascii="Arial" w:cs="Arial" w:eastAsia="Arial" w:hAnsi="Arial"/>
          <w:sz w:val="21"/>
          <w:szCs w:val="21"/>
          <w:color w:val="222222"/>
        </w:rPr>
        <w:t xml:space="preserve"> day following a Public Offering.</w:t>
      </w:r>
    </w:p>
    <w:p>
      <w:pPr>
        <w:spacing w:after="0" w:line="183" w:lineRule="exact"/>
        <w:rPr>
          <w:rFonts w:ascii="Arial" w:cs="Arial" w:eastAsia="Arial" w:hAnsi="Arial"/>
          <w:sz w:val="21"/>
          <w:szCs w:val="21"/>
          <w:color w:val="auto"/>
        </w:rPr>
      </w:pPr>
    </w:p>
    <w:p>
      <w:pPr>
        <w:jc w:val="both"/>
        <w:ind w:left="885" w:hanging="453"/>
        <w:spacing w:after="0" w:line="275" w:lineRule="auto"/>
        <w:tabs>
          <w:tab w:leader="none" w:pos="885" w:val="left"/>
        </w:tabs>
        <w:numPr>
          <w:ilvl w:val="1"/>
          <w:numId w:val="33"/>
        </w:numPr>
        <w:rPr>
          <w:rFonts w:ascii="Arial" w:cs="Arial" w:eastAsia="Arial" w:hAnsi="Arial"/>
          <w:sz w:val="19"/>
          <w:szCs w:val="19"/>
          <w:color w:val="222222"/>
        </w:rPr>
      </w:pPr>
      <w:r>
        <w:rPr>
          <w:rFonts w:ascii="Arial" w:cs="Arial" w:eastAsia="Arial" w:hAnsi="Arial"/>
          <w:sz w:val="19"/>
          <w:szCs w:val="19"/>
          <w:u w:val="single" w:color="auto"/>
          <w:color w:val="222222"/>
        </w:rPr>
        <w:t>Termination of Employment</w:t>
      </w:r>
      <w:r>
        <w:rPr>
          <w:rFonts w:ascii="Arial" w:cs="Arial" w:eastAsia="Arial" w:hAnsi="Arial"/>
          <w:sz w:val="19"/>
          <w:szCs w:val="19"/>
          <w:color w:val="222222"/>
        </w:rPr>
        <w:t>. If your employment is terminated by the Company without Cause (as defined below) or by you for any reason during the seven-year term of the RSU and before the liquidity event occurs, you will retain any portion of the RSU that has vested as to the service -based vesting condition and any portion of the RSU that has not vested as to the service-based vesting condition, will be forfeited upon termination of employment. The vested RSU may vest as to the liquidity event-based vesting condition following termination of employment other than for Cause to the extent the liquidity event occurs before the end of the seven-year term. If your employment is terminated by the Company for Cause during the seven-year term, any portion of the RSU, whether vested, or unvested, will be forfeited.</w:t>
      </w:r>
    </w:p>
    <w:p>
      <w:pPr>
        <w:spacing w:after="0" w:line="157" w:lineRule="exact"/>
        <w:rPr>
          <w:rFonts w:ascii="Arial" w:cs="Arial" w:eastAsia="Arial" w:hAnsi="Arial"/>
          <w:sz w:val="19"/>
          <w:szCs w:val="19"/>
          <w:color w:val="222222"/>
        </w:rPr>
      </w:pPr>
    </w:p>
    <w:p>
      <w:pPr>
        <w:jc w:val="both"/>
        <w:ind w:left="885" w:hanging="453"/>
        <w:spacing w:after="0" w:line="270" w:lineRule="auto"/>
        <w:tabs>
          <w:tab w:leader="none" w:pos="885"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Definition of Cause</w:t>
      </w:r>
      <w:r>
        <w:rPr>
          <w:rFonts w:ascii="Arial" w:cs="Arial" w:eastAsia="Arial" w:hAnsi="Arial"/>
          <w:sz w:val="19"/>
          <w:szCs w:val="19"/>
          <w:color w:val="auto"/>
        </w:rPr>
        <w:t>. For purposes of this Agreement and the RSU, “Cause” means a finding by the Board of Directors that you have (A) materially breached this Agreement, which breach has not been remedied by you within 30 days after written notice has been provided to you of such breach, (B) engaged in disloyalty to the Company, including, without limitation, fraud, embezzlement, theft, commission of a felony or proven dishonesty, (C) disclosed trade secrets or confidential information of the Company to persons not entitled to receive such information, (D) breached the Nondisclosure, Developments and Non-Competition Agreement, or</w:t>
      </w:r>
    </w:p>
    <w:p>
      <w:pPr>
        <w:spacing w:after="0" w:line="1" w:lineRule="exact"/>
        <w:rPr>
          <w:rFonts w:ascii="Arial" w:cs="Arial" w:eastAsia="Arial" w:hAnsi="Arial"/>
          <w:sz w:val="19"/>
          <w:szCs w:val="19"/>
          <w:color w:val="auto"/>
        </w:rPr>
      </w:pPr>
    </w:p>
    <w:p>
      <w:pPr>
        <w:ind w:left="885" w:hanging="7"/>
        <w:spacing w:after="0" w:line="236" w:lineRule="auto"/>
        <w:tabs>
          <w:tab w:leader="none" w:pos="1255" w:val="left"/>
        </w:tabs>
        <w:numPr>
          <w:ilvl w:val="2"/>
          <w:numId w:val="33"/>
        </w:numPr>
        <w:rPr>
          <w:rFonts w:ascii="Arial" w:cs="Arial" w:eastAsia="Arial" w:hAnsi="Arial"/>
          <w:sz w:val="22"/>
          <w:szCs w:val="22"/>
          <w:color w:val="auto"/>
        </w:rPr>
      </w:pPr>
      <w:r>
        <w:rPr>
          <w:rFonts w:ascii="Arial" w:cs="Arial" w:eastAsia="Arial" w:hAnsi="Arial"/>
          <w:sz w:val="22"/>
          <w:szCs w:val="22"/>
          <w:color w:val="auto"/>
        </w:rPr>
        <w:t>engaged in such other behavior detrimental to the interests of the Company as the Board of Directors reasonably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509270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25"/>
          </w:cols>
          <w:pgMar w:left="935" w:top="118"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u w:val="single" w:color="auto"/>
          <w:color w:val="auto"/>
        </w:rPr>
        <w:t>Proprietary Information and Inventions</w:t>
      </w:r>
    </w:p>
    <w:p>
      <w:pPr>
        <w:spacing w:after="0" w:line="206" w:lineRule="exact"/>
        <w:rPr>
          <w:sz w:val="20"/>
          <w:szCs w:val="20"/>
          <w:color w:val="auto"/>
        </w:rPr>
      </w:pPr>
    </w:p>
    <w:p>
      <w:pPr>
        <w:jc w:val="both"/>
        <w:ind w:firstLine="610"/>
        <w:spacing w:after="0" w:line="236" w:lineRule="auto"/>
        <w:rPr>
          <w:sz w:val="20"/>
          <w:szCs w:val="20"/>
          <w:color w:val="auto"/>
        </w:rPr>
      </w:pPr>
      <w:r>
        <w:rPr>
          <w:rFonts w:ascii="Arial" w:cs="Arial" w:eastAsia="Arial" w:hAnsi="Arial"/>
          <w:sz w:val="22"/>
          <w:szCs w:val="22"/>
          <w:color w:val="auto"/>
        </w:rPr>
        <w:t xml:space="preserve">Prior to commencing your employment with the Company, you agree to sign a copy of the Company’s standard Nondisclosure, Development and Non-Competition Agreement, a copy of which is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By signing below, you represent that you are free to enter into this Agreement and the Nondisclosure, Developments and Non-Competition Agreement and carry out the obligations hereunder and thereunder without any conflict with any prior agreements to which you are a party.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of Employment</w:t>
      </w:r>
    </w:p>
    <w:p>
      <w:pPr>
        <w:spacing w:after="0" w:line="206" w:lineRule="exact"/>
        <w:rPr>
          <w:sz w:val="20"/>
          <w:szCs w:val="20"/>
          <w:color w:val="auto"/>
        </w:rPr>
      </w:pPr>
    </w:p>
    <w:p>
      <w:pPr>
        <w:jc w:val="both"/>
        <w:ind w:firstLine="610"/>
        <w:spacing w:after="0" w:line="272" w:lineRule="auto"/>
        <w:rPr>
          <w:sz w:val="20"/>
          <w:szCs w:val="20"/>
          <w:color w:val="auto"/>
        </w:rPr>
      </w:pPr>
      <w:r>
        <w:rPr>
          <w:rFonts w:ascii="Arial" w:cs="Arial" w:eastAsia="Arial" w:hAnsi="Arial"/>
          <w:sz w:val="19"/>
          <w:szCs w:val="19"/>
          <w:color w:val="auto"/>
        </w:rPr>
        <w:t>You acknowledge that the employment relationship between the Company and you is at-will, meaning that the employment relationship may be terminated by the Company or you for any reason or for no reason. However, the Company and you agree to make reasonable efforts to provide the other party at least 30 days’ written notice prior to termination of the employment relationship. You acknowledge that, in connection with any termination of your employment with the Company, you will assist the company in its efforts to find a new SVPM and will provide such transitional assistance as the Company may reasonably require. In connection with the foregoing, the Company agrees that should your employment be terminated, you will receive as your sole and only payments on account of such termination (and subject to execution of appropriate documentation to this effect) accrued compensation and benefits through the date of termination. For the avoidance of doubt, if you terminate your employment for any reason during the seven-year term of the RSU, you will retain the portion of the RSU that vested as to the service-based vesting conditions as of your termination of employment, as described in subsection (e) (iii) in the “Compensation” section above. If you are a participant in the Company’s health plans at the time of termination of employment, COBRA rights will be available to you.</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409 A</w:t>
      </w:r>
    </w:p>
    <w:p>
      <w:pPr>
        <w:spacing w:after="0" w:line="206"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9"/>
          <w:szCs w:val="19"/>
          <w:color w:val="auto"/>
        </w:rPr>
        <w:t>This Agreement is intended to comply with Section 409A of the Internal Revenue Code of 1986, as amended, and its corresponding regulations (“Section 409A”), or an exemption, and payments may only be made under this Agreement upon an event and in a manner permitted by Section 409A, to the extent applicable. Severance benefits under the Agreement are intended to be exempt from Section 409A under the “short-term deferral” exception. For purposed of Section 409A of the Code, all payments to be made upon a termination of employment under this Agreement may only be made upon a “separation from service” within the meaning of such term under section 409A and each payment made under this Agreement shall be treated as a separate payment. In no event shall you, directly or indirectly, designate the calendar year of payment. All reimbursements and in-kind benefits provided under this Agreement shall be made or provided in accordance with the requirements of Section 409A. To the extent you are a “specified employee” for purposes of Section 409A and it is necessary to postpone the commencement of any severance payments otherwise payable pursuant to this Agreement as a result of such separation from service to prevent any accelerated or additional tax under Section 409A, then the Company will postpone the commencement of the payment of any such payments hereunder (without any reduction in such payments ultimately paid or provided to you) that are not otherwise exempt from Section 409A, until the first payroll date that occurs after the date that is six months following the your separation from service with the Company. If you die during the postponement period prior to the payment of the postponed amount, the amounts withheld on account of Section 409A shall be paid to the personal representative of your estate within 60 days after the date of your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647065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u w:val="single" w:color="auto"/>
          <w:color w:val="auto"/>
        </w:rPr>
        <w:t>Governing Law and Jurisdiction</w:t>
      </w:r>
    </w:p>
    <w:p>
      <w:pPr>
        <w:spacing w:after="0" w:line="206" w:lineRule="exact"/>
        <w:rPr>
          <w:sz w:val="20"/>
          <w:szCs w:val="20"/>
          <w:color w:val="auto"/>
        </w:rPr>
      </w:pPr>
    </w:p>
    <w:p>
      <w:pPr>
        <w:jc w:val="both"/>
        <w:ind w:firstLine="610"/>
        <w:spacing w:after="0" w:line="279" w:lineRule="auto"/>
        <w:rPr>
          <w:sz w:val="20"/>
          <w:szCs w:val="20"/>
          <w:color w:val="auto"/>
        </w:rPr>
      </w:pPr>
      <w:r>
        <w:rPr>
          <w:rFonts w:ascii="Arial" w:cs="Arial" w:eastAsia="Arial" w:hAnsi="Arial"/>
          <w:sz w:val="19"/>
          <w:szCs w:val="19"/>
          <w:color w:val="auto"/>
        </w:rPr>
        <w:t>This Agreement shall be governed by and construed in accordance with the internal substantive laws of the Commonwealth of Massachusetts. The Company and you hereby expressly consent and agree that any dispute, controversy, legal action or other proceeding that arises from, concerns or touches this Agreements shall be brought in either the Superior Court Of Massachusetts or the United States District Court for the District of Massachusetts. The Company and you herby acknowledge that said courts have sole and exclusive jurisdiction over any such dispute or controversy, and that the Company and you hereby waive any objection to personal jurisdiction or venue in these courts, and waive any right to jury trial.</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Entire Agreement; Amendment</w:t>
      </w:r>
    </w:p>
    <w:p>
      <w:pPr>
        <w:spacing w:after="0" w:line="206" w:lineRule="exact"/>
        <w:rPr>
          <w:sz w:val="20"/>
          <w:szCs w:val="20"/>
          <w:color w:val="auto"/>
        </w:rPr>
      </w:pPr>
    </w:p>
    <w:p>
      <w:pPr>
        <w:jc w:val="both"/>
        <w:ind w:firstLine="610"/>
        <w:spacing w:after="0" w:line="279" w:lineRule="auto"/>
        <w:rPr>
          <w:sz w:val="20"/>
          <w:szCs w:val="20"/>
          <w:color w:val="auto"/>
        </w:rPr>
      </w:pPr>
      <w:r>
        <w:rPr>
          <w:rFonts w:ascii="Arial" w:cs="Arial" w:eastAsia="Arial" w:hAnsi="Arial"/>
          <w:sz w:val="19"/>
          <w:szCs w:val="19"/>
          <w:color w:val="auto"/>
        </w:rPr>
        <w:t>This Agreement (together with the Nondisclosure, Developments and Non-Competition Agreement), the RSU grant agreement and the Plan set forth the sole and entire agreement and understanding between the Company and you with respect to the specific matters contemplated and addressed hereby and thereby. No prior agreements, whether written or oral, shall be construed to change or affect the operation of this Agreement or the other agreements contemplated hereby in accordance with their terms, and any provisions of any such prior agreements which conflicts with or contradicts any provisions of this Agreement or the other agreements contemplated hereby is hereby revoked and superseded.</w:t>
      </w:r>
    </w:p>
    <w:p>
      <w:pPr>
        <w:spacing w:after="0" w:line="150" w:lineRule="exact"/>
        <w:rPr>
          <w:sz w:val="20"/>
          <w:szCs w:val="20"/>
          <w:color w:val="auto"/>
        </w:rPr>
      </w:pPr>
    </w:p>
    <w:p>
      <w:pPr>
        <w:jc w:val="both"/>
        <w:ind w:firstLine="610"/>
        <w:spacing w:after="0" w:line="250" w:lineRule="auto"/>
        <w:rPr>
          <w:sz w:val="20"/>
          <w:szCs w:val="20"/>
          <w:color w:val="auto"/>
        </w:rPr>
      </w:pPr>
      <w:r>
        <w:rPr>
          <w:rFonts w:ascii="Arial" w:cs="Arial" w:eastAsia="Arial" w:hAnsi="Arial"/>
          <w:sz w:val="22"/>
          <w:szCs w:val="22"/>
          <w:color w:val="auto"/>
        </w:rPr>
        <w:t>This Agreement may be amended or terminated only by a written instrument executed both by you and the Company, acting through its Board of Directors.</w:t>
      </w:r>
    </w:p>
    <w:p>
      <w:pPr>
        <w:spacing w:after="0" w:line="175" w:lineRule="exact"/>
        <w:rPr>
          <w:sz w:val="20"/>
          <w:szCs w:val="20"/>
          <w:color w:val="auto"/>
        </w:rPr>
      </w:pPr>
    </w:p>
    <w:p>
      <w:pPr>
        <w:jc w:val="both"/>
        <w:ind w:firstLine="610"/>
        <w:spacing w:after="0" w:line="250" w:lineRule="auto"/>
        <w:rPr>
          <w:sz w:val="20"/>
          <w:szCs w:val="20"/>
          <w:color w:val="auto"/>
        </w:rPr>
      </w:pPr>
      <w:r>
        <w:rPr>
          <w:rFonts w:ascii="Arial" w:cs="Arial" w:eastAsia="Arial" w:hAnsi="Arial"/>
          <w:sz w:val="22"/>
          <w:szCs w:val="22"/>
          <w:color w:val="auto"/>
        </w:rPr>
        <w:t>We are excited to have you on board as the SVPM. Please acknowledge your acceptance of this offer and the terms of this Agreement by signing below and returning a copy to me.</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144145</wp:posOffset>
            </wp:positionV>
            <wp:extent cx="2785745" cy="6254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857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4500"/>
        <w:spacing w:after="0"/>
        <w:rPr>
          <w:sz w:val="20"/>
          <w:szCs w:val="20"/>
          <w:color w:val="auto"/>
        </w:rPr>
      </w:pPr>
      <w:r>
        <w:rPr>
          <w:rFonts w:ascii="Arial" w:cs="Arial" w:eastAsia="Arial" w:hAnsi="Arial"/>
          <w:sz w:val="22"/>
          <w:szCs w:val="22"/>
          <w:color w:val="auto"/>
        </w:rPr>
        <w:t>I hereby acknowledge that I have had a full and adequate opportunity to read, understand and discuss the terms and conditions contained in this Agreement prior to signing hereunder.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Sarah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2773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2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Date:</w:t>
        <w:tab/>
        <w:t>1/7/16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6985</wp:posOffset>
            </wp:positionV>
            <wp:extent cx="38061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AMENDMENT TO LEASE</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FIRST AMENDMENT TO LEASE (“</w:t>
      </w:r>
      <w:r>
        <w:rPr>
          <w:rFonts w:ascii="Arial" w:cs="Arial" w:eastAsia="Arial" w:hAnsi="Arial"/>
          <w:sz w:val="22"/>
          <w:szCs w:val="22"/>
          <w:u w:val="single" w:color="auto"/>
          <w:color w:val="auto"/>
        </w:rPr>
        <w:t>Amendment</w:t>
      </w:r>
      <w:r>
        <w:rPr>
          <w:rFonts w:ascii="Arial" w:cs="Arial" w:eastAsia="Arial" w:hAnsi="Arial"/>
          <w:sz w:val="22"/>
          <w:szCs w:val="22"/>
          <w:color w:val="auto"/>
        </w:rPr>
        <w:t>”), is made as of the 12</w:t>
      </w:r>
      <w:r>
        <w:rPr>
          <w:rFonts w:ascii="Arial" w:cs="Arial" w:eastAsia="Arial" w:hAnsi="Arial"/>
          <w:sz w:val="18"/>
          <w:szCs w:val="18"/>
          <w:color w:val="auto"/>
        </w:rPr>
        <w:t>th</w:t>
      </w:r>
      <w:r>
        <w:rPr>
          <w:rFonts w:ascii="Arial" w:cs="Arial" w:eastAsia="Arial" w:hAnsi="Arial"/>
          <w:sz w:val="22"/>
          <w:szCs w:val="22"/>
          <w:color w:val="auto"/>
        </w:rPr>
        <w:t xml:space="preserve"> day of June, 2020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S&amp;A P-12 PROPERTY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 CARGURUS, INC.,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WITNESSETH:</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Reference is hereby made to the following facts:</w:t>
      </w:r>
    </w:p>
    <w:p>
      <w:pPr>
        <w:spacing w:after="0" w:line="206" w:lineRule="exact"/>
        <w:rPr>
          <w:sz w:val="20"/>
          <w:szCs w:val="20"/>
          <w:color w:val="auto"/>
        </w:rPr>
      </w:pPr>
    </w:p>
    <w:p>
      <w:pPr>
        <w:jc w:val="both"/>
        <w:ind w:firstLine="872"/>
        <w:spacing w:after="0" w:line="249" w:lineRule="auto"/>
        <w:tabs>
          <w:tab w:leader="none" w:pos="1721" w:val="left"/>
        </w:tabs>
        <w:numPr>
          <w:ilvl w:val="0"/>
          <w:numId w:val="34"/>
        </w:numPr>
        <w:rPr>
          <w:rFonts w:ascii="Arial" w:cs="Arial" w:eastAsia="Arial" w:hAnsi="Arial"/>
          <w:sz w:val="21"/>
          <w:szCs w:val="21"/>
          <w:color w:val="auto"/>
        </w:rPr>
      </w:pPr>
      <w:r>
        <w:rPr>
          <w:rFonts w:ascii="Arial" w:cs="Arial" w:eastAsia="Arial" w:hAnsi="Arial"/>
          <w:sz w:val="21"/>
          <w:szCs w:val="21"/>
          <w:color w:val="auto"/>
        </w:rPr>
        <w:t>Landlord and Tenant are parties to that certain Lease dated December 19, 2019 (the “</w:t>
      </w:r>
      <w:r>
        <w:rPr>
          <w:rFonts w:ascii="Arial" w:cs="Arial" w:eastAsia="Arial" w:hAnsi="Arial"/>
          <w:sz w:val="21"/>
          <w:szCs w:val="21"/>
          <w:u w:val="single" w:color="auto"/>
          <w:color w:val="auto"/>
        </w:rPr>
        <w:t>Existing Lease</w:t>
      </w:r>
      <w:r>
        <w:rPr>
          <w:rFonts w:ascii="Arial" w:cs="Arial" w:eastAsia="Arial" w:hAnsi="Arial"/>
          <w:sz w:val="21"/>
          <w:szCs w:val="21"/>
          <w:color w:val="auto"/>
        </w:rPr>
        <w:t>”) for 273,595 square feet on the tenth (10</w:t>
      </w:r>
      <w:r>
        <w:rPr>
          <w:rFonts w:ascii="Arial" w:cs="Arial" w:eastAsia="Arial" w:hAnsi="Arial"/>
          <w:sz w:val="17"/>
          <w:szCs w:val="17"/>
          <w:color w:val="auto"/>
        </w:rPr>
        <w:t>th</w:t>
      </w:r>
      <w:r>
        <w:rPr>
          <w:rFonts w:ascii="Arial" w:cs="Arial" w:eastAsia="Arial" w:hAnsi="Arial"/>
          <w:sz w:val="21"/>
          <w:szCs w:val="21"/>
          <w:color w:val="auto"/>
        </w:rPr>
        <w:t>) through twentieth (20</w:t>
      </w:r>
      <w:r>
        <w:rPr>
          <w:rFonts w:ascii="Arial" w:cs="Arial" w:eastAsia="Arial" w:hAnsi="Arial"/>
          <w:sz w:val="17"/>
          <w:szCs w:val="17"/>
          <w:color w:val="auto"/>
        </w:rPr>
        <w:t>th</w:t>
      </w:r>
      <w:r>
        <w:rPr>
          <w:rFonts w:ascii="Arial" w:cs="Arial" w:eastAsia="Arial" w:hAnsi="Arial"/>
          <w:sz w:val="21"/>
          <w:szCs w:val="21"/>
          <w:color w:val="auto"/>
        </w:rPr>
        <w:t>) floors of that certain building to be located at 1001 Boylston Street, Boston, Massachusetts (as more particularly described in the Existing Lease). All capitalized words and phrases not otherwise defined herein shall have the meanings ascribed to them in the Existing Lease. The Existing Lease, as modified and amended by this Amendment, is referred to herein as the “</w:t>
      </w:r>
      <w:r>
        <w:rPr>
          <w:rFonts w:ascii="Arial" w:cs="Arial" w:eastAsia="Arial" w:hAnsi="Arial"/>
          <w:sz w:val="21"/>
          <w:szCs w:val="21"/>
          <w:u w:val="single" w:color="auto"/>
          <w:color w:val="auto"/>
        </w:rPr>
        <w:t>Lease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872"/>
        <w:spacing w:after="0" w:line="282" w:lineRule="auto"/>
        <w:tabs>
          <w:tab w:leader="none" w:pos="171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accordance with the provisions of Article 18 of the Existing Lease, Tenant has delivered an Adjustment Notice and exercised the Initial Premises Adjustment to contract the Premises by removing the tenth (10</w:t>
      </w:r>
      <w:r>
        <w:rPr>
          <w:rFonts w:ascii="Arial" w:cs="Arial" w:eastAsia="Arial" w:hAnsi="Arial"/>
          <w:sz w:val="16"/>
          <w:szCs w:val="16"/>
          <w:color w:val="auto"/>
        </w:rPr>
        <w:t>th</w:t>
      </w:r>
      <w:r>
        <w:rPr>
          <w:rFonts w:ascii="Arial" w:cs="Arial" w:eastAsia="Arial" w:hAnsi="Arial"/>
          <w:sz w:val="19"/>
          <w:szCs w:val="19"/>
          <w:color w:val="auto"/>
        </w:rPr>
        <w:t>) and eleventh (11</w:t>
      </w:r>
      <w:r>
        <w:rPr>
          <w:rFonts w:ascii="Arial" w:cs="Arial" w:eastAsia="Arial" w:hAnsi="Arial"/>
          <w:sz w:val="16"/>
          <w:szCs w:val="16"/>
          <w:color w:val="auto"/>
        </w:rPr>
        <w:t>th</w:t>
      </w:r>
      <w:r>
        <w:rPr>
          <w:rFonts w:ascii="Arial" w:cs="Arial" w:eastAsia="Arial" w:hAnsi="Arial"/>
          <w:sz w:val="19"/>
          <w:szCs w:val="19"/>
          <w:color w:val="auto"/>
        </w:rPr>
        <w:t>) floors of the Building from the Prime Premises (as defined in Section 18.1 of the Existing Lease, the “</w:t>
      </w:r>
      <w:r>
        <w:rPr>
          <w:rFonts w:ascii="Arial" w:cs="Arial" w:eastAsia="Arial" w:hAnsi="Arial"/>
          <w:sz w:val="19"/>
          <w:szCs w:val="19"/>
          <w:u w:val="single" w:color="auto"/>
          <w:color w:val="auto"/>
        </w:rPr>
        <w:t>Adjustment Premises</w:t>
      </w:r>
      <w:r>
        <w:rPr>
          <w:rFonts w:ascii="Arial" w:cs="Arial" w:eastAsia="Arial" w:hAnsi="Arial"/>
          <w:sz w:val="19"/>
          <w:szCs w:val="19"/>
          <w:color w:val="auto"/>
        </w:rPr>
        <w:t>”). Accordingly, Landlord and Tenant have agreed to enter into this Amendment to confirm the exercise of the Initial Premises Adjustment and to otherwise modify and amend the Existing Lease, all in the manner hereinafter set forth.</w:t>
      </w:r>
    </w:p>
    <w:p>
      <w:pPr>
        <w:spacing w:after="0" w:line="147"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NOW THEREFORE, in consideration of Ten Dollars ($10.00) and other good and valuable consideration, the receipt, sufficiency and delivery of which are hereby acknowledged, the parties agree that the Lease is hereby amended as follows:</w:t>
      </w:r>
    </w:p>
    <w:p>
      <w:pPr>
        <w:spacing w:after="0" w:line="105" w:lineRule="exact"/>
        <w:rPr>
          <w:sz w:val="20"/>
          <w:szCs w:val="20"/>
          <w:color w:val="auto"/>
        </w:rPr>
      </w:pPr>
    </w:p>
    <w:p>
      <w:pPr>
        <w:ind w:left="860" w:hanging="852"/>
        <w:spacing w:after="0" w:line="250" w:lineRule="auto"/>
        <w:tabs>
          <w:tab w:leader="none" w:pos="8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Premises</w:t>
      </w:r>
      <w:r>
        <w:rPr>
          <w:rFonts w:ascii="Arial" w:cs="Arial" w:eastAsia="Arial" w:hAnsi="Arial"/>
          <w:sz w:val="22"/>
          <w:szCs w:val="22"/>
          <w:color w:val="auto"/>
        </w:rPr>
        <w:t>. The definition of “Premises” in Section 1.2 of the Existing Lease is hereby amended by deleting the reference to the number “10” and replacing said reference with the number “12”.</w:t>
      </w:r>
    </w:p>
    <w:p>
      <w:pPr>
        <w:spacing w:after="0" w:line="174" w:lineRule="exact"/>
        <w:rPr>
          <w:rFonts w:ascii="Arial" w:cs="Arial" w:eastAsia="Arial" w:hAnsi="Arial"/>
          <w:sz w:val="22"/>
          <w:szCs w:val="22"/>
          <w:color w:val="auto"/>
        </w:rPr>
      </w:pPr>
    </w:p>
    <w:p>
      <w:pPr>
        <w:ind w:left="860" w:hanging="852"/>
        <w:spacing w:after="0" w:line="274" w:lineRule="auto"/>
        <w:tabs>
          <w:tab w:leader="none" w:pos="86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Rentable Floor Area of the Premises</w:t>
      </w:r>
      <w:r>
        <w:rPr>
          <w:rFonts w:ascii="Arial" w:cs="Arial" w:eastAsia="Arial" w:hAnsi="Arial"/>
          <w:sz w:val="21"/>
          <w:szCs w:val="21"/>
          <w:color w:val="auto"/>
        </w:rPr>
        <w:t>. The definition of “Rentable Floor Area of the Premises in Section 1.2 of the Existing Lease is hereby deleted in its entirety and replaced with “Agreed to be 225,428 square feet.”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ind w:left="860" w:right="20" w:hanging="852"/>
        <w:spacing w:after="0" w:line="250" w:lineRule="auto"/>
        <w:tabs>
          <w:tab w:leader="none" w:pos="8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Annual Fixed Rent</w:t>
      </w:r>
      <w:r>
        <w:rPr>
          <w:rFonts w:ascii="Arial" w:cs="Arial" w:eastAsia="Arial" w:hAnsi="Arial"/>
          <w:sz w:val="22"/>
          <w:szCs w:val="22"/>
          <w:color w:val="auto"/>
        </w:rPr>
        <w:t>. The rent table set forth in clause (a) of the definition of “Annual Fixed Rent” in Section 1.2 of the Existing Lease is hereby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3223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22326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Period of Time</w:t>
            </w:r>
          </w:p>
        </w:tc>
        <w:tc>
          <w:tcPr>
            <w:tcW w:w="3660" w:type="dxa"/>
            <w:vAlign w:val="bottom"/>
            <w:tcBorders>
              <w:top w:val="single" w:sz="8" w:color="auto"/>
            </w:tcBorders>
            <w:gridSpan w:val="3"/>
          </w:tcPr>
          <w:p>
            <w:pPr>
              <w:ind w:left="440"/>
              <w:spacing w:after="0" w:line="216" w:lineRule="exact"/>
              <w:rPr>
                <w:sz w:val="20"/>
                <w:szCs w:val="20"/>
                <w:color w:val="auto"/>
              </w:rPr>
            </w:pPr>
            <w:r>
              <w:rPr>
                <w:rFonts w:ascii="Arial" w:cs="Arial" w:eastAsia="Arial" w:hAnsi="Arial"/>
                <w:sz w:val="22"/>
                <w:szCs w:val="22"/>
                <w:color w:val="auto"/>
              </w:rPr>
              <w:t>Annual Fixed Rent</w:t>
            </w:r>
          </w:p>
        </w:tc>
        <w:tc>
          <w:tcPr>
            <w:tcW w:w="252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Monthly Fixed Rent</w:t>
            </w:r>
          </w:p>
        </w:tc>
      </w:tr>
      <w:tr>
        <w:trPr>
          <w:trHeight w:val="237"/>
        </w:trPr>
        <w:tc>
          <w:tcPr>
            <w:tcW w:w="1700" w:type="dxa"/>
            <w:vAlign w:val="bottom"/>
            <w:tcBorders>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5"/>
        </w:trPr>
        <w:tc>
          <w:tcPr>
            <w:tcW w:w="506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8"/>
              </w:rPr>
              <w:t>Commencement Date through the day immediately</w:t>
            </w:r>
          </w:p>
        </w:tc>
        <w:tc>
          <w:tcPr>
            <w:tcW w:w="2080" w:type="dxa"/>
            <w:vAlign w:val="bottom"/>
            <w:gridSpan w:val="2"/>
          </w:tcPr>
          <w:p>
            <w:pPr>
              <w:jc w:val="center"/>
              <w:ind w:left="332"/>
              <w:spacing w:after="0" w:line="216" w:lineRule="exact"/>
              <w:rPr>
                <w:sz w:val="20"/>
                <w:szCs w:val="20"/>
                <w:color w:val="auto"/>
              </w:rPr>
            </w:pPr>
            <w:r>
              <w:rPr>
                <w:rFonts w:ascii="Arial" w:cs="Arial" w:eastAsia="Arial" w:hAnsi="Arial"/>
                <w:sz w:val="22"/>
                <w:szCs w:val="22"/>
                <w:color w:val="auto"/>
                <w:w w:val="81"/>
              </w:rPr>
              <w:t>$0</w:t>
            </w:r>
          </w:p>
        </w:tc>
        <w:tc>
          <w:tcPr>
            <w:tcW w:w="1580" w:type="dxa"/>
            <w:vAlign w:val="bottom"/>
          </w:tcPr>
          <w:p>
            <w:pPr>
              <w:spacing w:after="0"/>
              <w:rPr>
                <w:sz w:val="18"/>
                <w:szCs w:val="18"/>
                <w:color w:val="auto"/>
              </w:rPr>
            </w:pPr>
          </w:p>
        </w:tc>
        <w:tc>
          <w:tcPr>
            <w:tcW w:w="1740" w:type="dxa"/>
            <w:vAlign w:val="bottom"/>
          </w:tcPr>
          <w:p>
            <w:pPr>
              <w:jc w:val="center"/>
              <w:spacing w:after="0" w:line="216" w:lineRule="exact"/>
              <w:rPr>
                <w:sz w:val="20"/>
                <w:szCs w:val="20"/>
                <w:color w:val="auto"/>
              </w:rPr>
            </w:pPr>
            <w:r>
              <w:rPr>
                <w:rFonts w:ascii="Arial" w:cs="Arial" w:eastAsia="Arial" w:hAnsi="Arial"/>
                <w:sz w:val="22"/>
                <w:szCs w:val="22"/>
                <w:color w:val="auto"/>
                <w:w w:val="89"/>
              </w:rPr>
              <w:t>$0</w:t>
            </w:r>
          </w:p>
        </w:tc>
        <w:tc>
          <w:tcPr>
            <w:tcW w:w="780" w:type="dxa"/>
            <w:vAlign w:val="bottom"/>
          </w:tcPr>
          <w:p>
            <w:pPr>
              <w:spacing w:after="0"/>
              <w:rPr>
                <w:sz w:val="18"/>
                <w:szCs w:val="18"/>
                <w:color w:val="auto"/>
              </w:rPr>
            </w:pPr>
          </w:p>
        </w:tc>
      </w:tr>
      <w:tr>
        <w:trPr>
          <w:trHeight w:val="264"/>
        </w:trPr>
        <w:tc>
          <w:tcPr>
            <w:tcW w:w="5060" w:type="dxa"/>
            <w:vAlign w:val="bottom"/>
            <w:tcBorders>
              <w:bottom w:val="single" w:sz="8" w:color="auto"/>
            </w:tcBorders>
            <w:gridSpan w:val="3"/>
          </w:tcPr>
          <w:p>
            <w:pPr>
              <w:ind w:left="160"/>
              <w:spacing w:after="0"/>
              <w:rPr>
                <w:sz w:val="20"/>
                <w:szCs w:val="20"/>
                <w:color w:val="auto"/>
              </w:rPr>
            </w:pPr>
            <w:r>
              <w:rPr>
                <w:rFonts w:ascii="Arial" w:cs="Arial" w:eastAsia="Arial" w:hAnsi="Arial"/>
                <w:sz w:val="22"/>
                <w:szCs w:val="22"/>
                <w:color w:val="auto"/>
              </w:rPr>
              <w:t>preceding the Fixed Rent Commencement Date</w:t>
            </w:r>
          </w:p>
        </w:tc>
        <w:tc>
          <w:tcPr>
            <w:tcW w:w="4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15"/>
        </w:trPr>
        <w:tc>
          <w:tcPr>
            <w:tcW w:w="5060" w:type="dxa"/>
            <w:vAlign w:val="bottom"/>
            <w:gridSpan w:val="3"/>
          </w:tcPr>
          <w:p>
            <w:pPr>
              <w:ind w:left="160"/>
              <w:spacing w:after="0" w:line="216" w:lineRule="exact"/>
              <w:rPr>
                <w:sz w:val="20"/>
                <w:szCs w:val="20"/>
                <w:color w:val="auto"/>
              </w:rPr>
            </w:pPr>
            <w:r>
              <w:rPr>
                <w:rFonts w:ascii="Arial" w:cs="Arial" w:eastAsia="Arial" w:hAnsi="Arial"/>
                <w:sz w:val="22"/>
                <w:szCs w:val="22"/>
                <w:color w:val="auto"/>
                <w:w w:val="96"/>
              </w:rPr>
              <w:t>Fixed Rent Commencement Date though the end of</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4"/>
        </w:trPr>
        <w:tc>
          <w:tcPr>
            <w:tcW w:w="5060" w:type="dxa"/>
            <w:vAlign w:val="bottom"/>
            <w:tcBorders>
              <w:bottom w:val="single" w:sz="8" w:color="auto"/>
            </w:tcBorders>
            <w:gridSpan w:val="3"/>
          </w:tcPr>
          <w:p>
            <w:pPr>
              <w:ind w:left="160"/>
              <w:spacing w:after="0"/>
              <w:rPr>
                <w:sz w:val="20"/>
                <w:szCs w:val="20"/>
                <w:color w:val="auto"/>
              </w:rPr>
            </w:pPr>
            <w:r>
              <w:rPr>
                <w:rFonts w:ascii="Arial" w:cs="Arial" w:eastAsia="Arial" w:hAnsi="Arial"/>
                <w:sz w:val="22"/>
                <w:szCs w:val="22"/>
                <w:color w:val="auto"/>
              </w:rPr>
              <w:t>Rent Year 1</w:t>
            </w:r>
          </w:p>
        </w:tc>
        <w:tc>
          <w:tcPr>
            <w:tcW w:w="208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22"/>
                <w:szCs w:val="22"/>
                <w:color w:val="auto"/>
                <w:w w:val="89"/>
              </w:rPr>
              <w:t>$14,641,548.60*</w:t>
            </w:r>
          </w:p>
        </w:tc>
        <w:tc>
          <w:tcPr>
            <w:tcW w:w="15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$1,220,129.05</w:t>
            </w:r>
          </w:p>
        </w:tc>
        <w:tc>
          <w:tcPr>
            <w:tcW w:w="780" w:type="dxa"/>
            <w:vAlign w:val="bottom"/>
            <w:tcBorders>
              <w:bottom w:val="single" w:sz="8" w:color="auto"/>
            </w:tcBorders>
          </w:tcPr>
          <w:p>
            <w:pPr>
              <w:spacing w:after="0"/>
              <w:rPr>
                <w:sz w:val="22"/>
                <w:szCs w:val="22"/>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2</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$14,934,605.00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$1,244,550.42</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3</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$15,227,661.40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$1,268,971.78</w:t>
            </w:r>
          </w:p>
        </w:tc>
        <w:tc>
          <w:tcPr>
            <w:tcW w:w="780" w:type="dxa"/>
            <w:vAlign w:val="bottom"/>
            <w:tcBorders>
              <w:bottom w:val="single" w:sz="8" w:color="auto"/>
            </w:tcBorders>
          </w:tcPr>
          <w:p>
            <w:pPr>
              <w:spacing w:after="0"/>
              <w:rPr>
                <w:sz w:val="20"/>
                <w:szCs w:val="20"/>
                <w:color w:val="auto"/>
              </w:rPr>
            </w:pPr>
          </w:p>
        </w:tc>
      </w:tr>
      <w:tr>
        <w:trPr>
          <w:trHeight w:val="236"/>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4</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$15,520,717.80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$1,293,393.15</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5</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$15,813,774.20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$1,317,814.52</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6</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$16,106,830.60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$1,342,235.88</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7</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$16,399,887.00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$1,366,657.25</w:t>
            </w:r>
          </w:p>
        </w:tc>
        <w:tc>
          <w:tcPr>
            <w:tcW w:w="780" w:type="dxa"/>
            <w:vAlign w:val="bottom"/>
            <w:tcBorders>
              <w:bottom w:val="single" w:sz="8" w:color="auto"/>
            </w:tcBorders>
          </w:tcPr>
          <w:p>
            <w:pPr>
              <w:spacing w:after="0"/>
              <w:rPr>
                <w:sz w:val="20"/>
                <w:szCs w:val="20"/>
                <w:color w:val="auto"/>
              </w:rPr>
            </w:pPr>
          </w:p>
        </w:tc>
      </w:tr>
      <w:tr>
        <w:trPr>
          <w:trHeight w:val="236"/>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8</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$16,692,943.40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$1,391,078.62</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9</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$16,985,999.80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$1,415,499.98</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10</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$17,279,056.20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$1,439,921.35</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11</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$17,572,112.60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$1,464,342.72</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12</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$17,865,169.00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$1,488,764.08</w:t>
            </w:r>
          </w:p>
        </w:tc>
        <w:tc>
          <w:tcPr>
            <w:tcW w:w="780" w:type="dxa"/>
            <w:vAlign w:val="bottom"/>
            <w:tcBorders>
              <w:bottom w:val="single" w:sz="8" w:color="auto"/>
            </w:tcBorders>
          </w:tcPr>
          <w:p>
            <w:pPr>
              <w:spacing w:after="0"/>
              <w:rPr>
                <w:sz w:val="20"/>
                <w:szCs w:val="20"/>
                <w:color w:val="auto"/>
              </w:rPr>
            </w:pPr>
          </w:p>
        </w:tc>
      </w:tr>
      <w:tr>
        <w:trPr>
          <w:trHeight w:val="236"/>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13</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$18,158,225.40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$1,513,185.45</w:t>
            </w:r>
          </w:p>
        </w:tc>
        <w:tc>
          <w:tcPr>
            <w:tcW w:w="7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gridSpan w:val="3"/>
          </w:tcPr>
          <w:p>
            <w:pPr>
              <w:ind w:left="160"/>
              <w:spacing w:after="0" w:line="237" w:lineRule="exact"/>
              <w:rPr>
                <w:sz w:val="20"/>
                <w:szCs w:val="20"/>
                <w:color w:val="auto"/>
              </w:rPr>
            </w:pPr>
            <w:r>
              <w:rPr>
                <w:rFonts w:ascii="Arial" w:cs="Arial" w:eastAsia="Arial" w:hAnsi="Arial"/>
                <w:sz w:val="22"/>
                <w:szCs w:val="22"/>
                <w:color w:val="auto"/>
              </w:rPr>
              <w:t>Rent Year 14</w:t>
            </w:r>
          </w:p>
        </w:tc>
        <w:tc>
          <w:tcPr>
            <w:tcW w:w="2080" w:type="dxa"/>
            <w:vAlign w:val="bottom"/>
            <w:tcBorders>
              <w:bottom w:val="single" w:sz="8" w:color="auto"/>
            </w:tcBorders>
            <w:gridSpan w:val="2"/>
          </w:tcPr>
          <w:p>
            <w:pPr>
              <w:jc w:val="center"/>
              <w:ind w:left="332"/>
              <w:spacing w:after="0" w:line="237" w:lineRule="exact"/>
              <w:rPr>
                <w:sz w:val="20"/>
                <w:szCs w:val="20"/>
                <w:color w:val="auto"/>
              </w:rPr>
            </w:pPr>
            <w:r>
              <w:rPr>
                <w:rFonts w:ascii="Arial" w:cs="Arial" w:eastAsia="Arial" w:hAnsi="Arial"/>
                <w:sz w:val="22"/>
                <w:szCs w:val="22"/>
                <w:color w:val="auto"/>
                <w:w w:val="88"/>
              </w:rPr>
              <w:t>$18,451,281.80</w:t>
            </w:r>
          </w:p>
        </w:tc>
        <w:tc>
          <w:tcPr>
            <w:tcW w:w="15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$1,537,606.82</w:t>
            </w:r>
          </w:p>
        </w:tc>
        <w:tc>
          <w:tcPr>
            <w:tcW w:w="780" w:type="dxa"/>
            <w:vAlign w:val="bottom"/>
            <w:tcBorders>
              <w:bottom w:val="single" w:sz="8" w:color="auto"/>
            </w:tcBorders>
          </w:tcPr>
          <w:p>
            <w:pPr>
              <w:spacing w:after="0"/>
              <w:rPr>
                <w:sz w:val="20"/>
                <w:szCs w:val="20"/>
                <w:color w:val="auto"/>
              </w:rPr>
            </w:pPr>
          </w:p>
        </w:tc>
      </w:tr>
      <w:tr>
        <w:trPr>
          <w:trHeight w:val="247"/>
        </w:trPr>
        <w:tc>
          <w:tcPr>
            <w:tcW w:w="5060" w:type="dxa"/>
            <w:vAlign w:val="bottom"/>
            <w:gridSpan w:val="3"/>
          </w:tcPr>
          <w:p>
            <w:pPr>
              <w:ind w:left="160"/>
              <w:spacing w:after="0" w:line="246" w:lineRule="exact"/>
              <w:rPr>
                <w:sz w:val="20"/>
                <w:szCs w:val="20"/>
                <w:color w:val="auto"/>
              </w:rPr>
            </w:pPr>
            <w:r>
              <w:rPr>
                <w:rFonts w:ascii="Arial" w:cs="Arial" w:eastAsia="Arial" w:hAnsi="Arial"/>
                <w:sz w:val="22"/>
                <w:szCs w:val="22"/>
                <w:color w:val="auto"/>
              </w:rPr>
              <w:t>Rent Year 15</w:t>
            </w:r>
          </w:p>
        </w:tc>
        <w:tc>
          <w:tcPr>
            <w:tcW w:w="2080" w:type="dxa"/>
            <w:vAlign w:val="bottom"/>
            <w:gridSpan w:val="2"/>
          </w:tcPr>
          <w:p>
            <w:pPr>
              <w:jc w:val="center"/>
              <w:ind w:left="332"/>
              <w:spacing w:after="0" w:line="246" w:lineRule="exact"/>
              <w:rPr>
                <w:sz w:val="20"/>
                <w:szCs w:val="20"/>
                <w:color w:val="auto"/>
              </w:rPr>
            </w:pPr>
            <w:r>
              <w:rPr>
                <w:rFonts w:ascii="Arial" w:cs="Arial" w:eastAsia="Arial" w:hAnsi="Arial"/>
                <w:sz w:val="22"/>
                <w:szCs w:val="22"/>
                <w:color w:val="auto"/>
                <w:w w:val="88"/>
              </w:rPr>
              <w:t>$18,744,338.20</w:t>
            </w:r>
          </w:p>
        </w:tc>
        <w:tc>
          <w:tcPr>
            <w:tcW w:w="1580" w:type="dxa"/>
            <w:vAlign w:val="bottom"/>
          </w:tcPr>
          <w:p>
            <w:pPr>
              <w:spacing w:after="0"/>
              <w:rPr>
                <w:sz w:val="21"/>
                <w:szCs w:val="21"/>
                <w:color w:val="auto"/>
              </w:rPr>
            </w:pPr>
          </w:p>
        </w:tc>
        <w:tc>
          <w:tcPr>
            <w:tcW w:w="1740" w:type="dxa"/>
            <w:vAlign w:val="bottom"/>
          </w:tcPr>
          <w:p>
            <w:pPr>
              <w:jc w:val="center"/>
              <w:spacing w:after="0" w:line="246" w:lineRule="exact"/>
              <w:rPr>
                <w:sz w:val="20"/>
                <w:szCs w:val="20"/>
                <w:color w:val="auto"/>
              </w:rPr>
            </w:pPr>
            <w:r>
              <w:rPr>
                <w:rFonts w:ascii="Arial" w:cs="Arial" w:eastAsia="Arial" w:hAnsi="Arial"/>
                <w:sz w:val="22"/>
                <w:szCs w:val="22"/>
                <w:color w:val="auto"/>
                <w:w w:val="88"/>
              </w:rPr>
              <w:t>$1,562,028.18</w:t>
            </w:r>
          </w:p>
        </w:tc>
        <w:tc>
          <w:tcPr>
            <w:tcW w:w="78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22"/>
          <w:szCs w:val="22"/>
          <w:color w:val="auto"/>
        </w:rPr>
        <w:t>*Annualized</w:t>
      </w:r>
    </w:p>
    <w:p>
      <w:pPr>
        <w:spacing w:after="0" w:line="188" w:lineRule="exact"/>
        <w:rPr>
          <w:sz w:val="20"/>
          <w:szCs w:val="20"/>
          <w:color w:val="auto"/>
        </w:rPr>
      </w:pPr>
    </w:p>
    <w:p>
      <w:pPr>
        <w:jc w:val="both"/>
        <w:ind w:left="860" w:hanging="852"/>
        <w:spacing w:after="0"/>
        <w:tabs>
          <w:tab w:leader="none" w:pos="8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Maximum Amount of Landlord’s Allowance</w:t>
      </w:r>
      <w:r>
        <w:rPr>
          <w:rFonts w:ascii="Arial" w:cs="Arial" w:eastAsia="Arial" w:hAnsi="Arial"/>
          <w:sz w:val="22"/>
          <w:szCs w:val="22"/>
          <w:color w:val="auto"/>
        </w:rPr>
        <w:t>. The definition of “Maximum Amount of Landlord’s Allowance” in Section 1.2 of the Existing Lease is hereby amended by deleting the reference to “$35,567,350.00” and replacing said reference with “$36,305,640.00.”</w:t>
      </w:r>
    </w:p>
    <w:p>
      <w:pPr>
        <w:spacing w:after="0" w:line="186" w:lineRule="exact"/>
        <w:rPr>
          <w:rFonts w:ascii="Arial" w:cs="Arial" w:eastAsia="Arial" w:hAnsi="Arial"/>
          <w:sz w:val="22"/>
          <w:szCs w:val="22"/>
          <w:color w:val="auto"/>
        </w:rPr>
      </w:pPr>
    </w:p>
    <w:p>
      <w:pPr>
        <w:ind w:left="860" w:right="20" w:hanging="852"/>
        <w:spacing w:after="0" w:line="328" w:lineRule="auto"/>
        <w:tabs>
          <w:tab w:leader="none" w:pos="86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Parking</w:t>
      </w:r>
      <w:r>
        <w:rPr>
          <w:rFonts w:ascii="Arial" w:cs="Arial" w:eastAsia="Arial" w:hAnsi="Arial"/>
          <w:sz w:val="19"/>
          <w:szCs w:val="19"/>
          <w:color w:val="auto"/>
        </w:rPr>
        <w:t>. Sections 10.1(a) and 10.1(c) of the Existing Lease are hereby amended by deleting all references to the number “ninety-one (91)” and replacing said references with the number “seventy-five (75)” in each instance.</w:t>
      </w:r>
    </w:p>
    <w:p>
      <w:pPr>
        <w:spacing w:after="0" w:line="104" w:lineRule="exact"/>
        <w:rPr>
          <w:rFonts w:ascii="Arial" w:cs="Arial" w:eastAsia="Arial" w:hAnsi="Arial"/>
          <w:sz w:val="19"/>
          <w:szCs w:val="19"/>
          <w:color w:val="auto"/>
        </w:rPr>
      </w:pPr>
    </w:p>
    <w:p>
      <w:pPr>
        <w:ind w:left="860" w:hanging="852"/>
        <w:spacing w:after="0" w:line="250" w:lineRule="auto"/>
        <w:tabs>
          <w:tab w:leader="none" w:pos="8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Outside Construction Commencement Date</w:t>
      </w:r>
      <w:r>
        <w:rPr>
          <w:rFonts w:ascii="Arial" w:cs="Arial" w:eastAsia="Arial" w:hAnsi="Arial"/>
          <w:sz w:val="22"/>
          <w:szCs w:val="22"/>
          <w:color w:val="auto"/>
        </w:rPr>
        <w:t>. Paragraph (ii) of Section II.C. of the Work Letter attached as Exhibit 2.1 of the Lease is hereby deleted in its entirely and replaced with the following:</w:t>
      </w:r>
    </w:p>
    <w:p>
      <w:pPr>
        <w:spacing w:after="0" w:line="175" w:lineRule="exact"/>
        <w:rPr>
          <w:sz w:val="20"/>
          <w:szCs w:val="20"/>
          <w:color w:val="auto"/>
        </w:rPr>
      </w:pPr>
    </w:p>
    <w:p>
      <w:pPr>
        <w:jc w:val="both"/>
        <w:ind w:left="1740" w:right="860"/>
        <w:spacing w:after="0" w:line="277" w:lineRule="auto"/>
        <w:rPr>
          <w:sz w:val="20"/>
          <w:szCs w:val="20"/>
          <w:color w:val="auto"/>
        </w:rPr>
      </w:pPr>
      <w:r>
        <w:rPr>
          <w:rFonts w:ascii="Arial" w:cs="Arial" w:eastAsia="Arial" w:hAnsi="Arial"/>
          <w:sz w:val="19"/>
          <w:szCs w:val="19"/>
          <w:color w:val="auto"/>
        </w:rPr>
        <w:t>“Notwithstanding the foregoing, if for any reason the Construction Commencement Date shall not have occurred on or before July 13, 2020 (the “</w:t>
      </w:r>
      <w:r>
        <w:rPr>
          <w:rFonts w:ascii="Arial" w:cs="Arial" w:eastAsia="Arial" w:hAnsi="Arial"/>
          <w:sz w:val="19"/>
          <w:szCs w:val="19"/>
          <w:b w:val="1"/>
          <w:bCs w:val="1"/>
          <w:color w:val="auto"/>
        </w:rPr>
        <w:t>Outside Construction Commencement Date</w:t>
      </w:r>
      <w:r>
        <w:rPr>
          <w:rFonts w:ascii="Arial" w:cs="Arial" w:eastAsia="Arial" w:hAnsi="Arial"/>
          <w:sz w:val="19"/>
          <w:szCs w:val="19"/>
          <w:color w:val="auto"/>
        </w:rPr>
        <w:t>”), then, as Tenant’s sole and exclusive remedy on account thereof, the Lease shall terminate effective on the date immediately following the Outside Construction Commencement Date. If this Lease so terminates as set forth in this paragraph, the Lease shall be null and void and of no further force and effect, and except as expressly and specifically set forth herein, the parties shall have no further liabilities, responsibilities or obligations hereunder.”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4852-5482-1308,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7" w:name="page78"/>
    <w:bookmarkEnd w:id="77"/>
    <w:p>
      <w:pPr>
        <w:ind w:left="860" w:right="20" w:hanging="852"/>
        <w:spacing w:after="0" w:line="250" w:lineRule="auto"/>
        <w:tabs>
          <w:tab w:leader="none" w:pos="8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Scheduled Delivery Date</w:t>
      </w:r>
      <w:r>
        <w:rPr>
          <w:rFonts w:ascii="Arial" w:cs="Arial" w:eastAsia="Arial" w:hAnsi="Arial"/>
          <w:sz w:val="22"/>
          <w:szCs w:val="22"/>
          <w:color w:val="auto"/>
        </w:rPr>
        <w:t>. Section II.D(i) of the Work Letter attached as Exhibit 2.1 of the Lease is hereby amended by deleting the reference to “March 15, 2022” and replacing said reference with “June 15, 2022”.</w:t>
      </w:r>
    </w:p>
    <w:p>
      <w:pPr>
        <w:spacing w:after="0" w:line="174" w:lineRule="exact"/>
        <w:rPr>
          <w:rFonts w:ascii="Arial" w:cs="Arial" w:eastAsia="Arial" w:hAnsi="Arial"/>
          <w:sz w:val="22"/>
          <w:szCs w:val="22"/>
          <w:color w:val="auto"/>
        </w:rPr>
      </w:pPr>
    </w:p>
    <w:p>
      <w:pPr>
        <w:ind w:left="860" w:hanging="852"/>
        <w:spacing w:after="0" w:line="250" w:lineRule="auto"/>
        <w:tabs>
          <w:tab w:leader="none" w:pos="8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Third Outside Delivery Date</w:t>
      </w:r>
      <w:r>
        <w:rPr>
          <w:rFonts w:ascii="Arial" w:cs="Arial" w:eastAsia="Arial" w:hAnsi="Arial"/>
          <w:sz w:val="22"/>
          <w:szCs w:val="22"/>
          <w:color w:val="auto"/>
        </w:rPr>
        <w:t>. Paragraph (iii) of Section II.D. of the Work Letter attached as Exhibit 2.1 of the Lease is hereby deleted in its entirely and replaced with the following:</w:t>
      </w:r>
    </w:p>
    <w:p>
      <w:pPr>
        <w:spacing w:after="0" w:line="169" w:lineRule="exact"/>
        <w:rPr>
          <w:sz w:val="20"/>
          <w:szCs w:val="20"/>
          <w:color w:val="auto"/>
        </w:rPr>
      </w:pPr>
    </w:p>
    <w:p>
      <w:pPr>
        <w:jc w:val="both"/>
        <w:ind w:left="1740" w:right="860"/>
        <w:spacing w:after="0" w:line="270"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Third Outside Delivery Date</w:t>
      </w:r>
      <w:r>
        <w:rPr>
          <w:rFonts w:ascii="Arial" w:cs="Arial" w:eastAsia="Arial" w:hAnsi="Arial"/>
          <w:sz w:val="19"/>
          <w:szCs w:val="19"/>
          <w:color w:val="auto"/>
        </w:rPr>
        <w:t>” shall mean the Initial Third Outside Delivery Date, the First Extended Third Outside Delivery Date, or the Second Extended Outside Delivery Date, as applicable, in each case as the same shall be extended for delays arising out of or resulting from Force Majeure, such Force Majeure not to exceed ninety (90) days in the aggregate. The “</w:t>
      </w:r>
      <w:r>
        <w:rPr>
          <w:rFonts w:ascii="Arial" w:cs="Arial" w:eastAsia="Arial" w:hAnsi="Arial"/>
          <w:sz w:val="19"/>
          <w:szCs w:val="19"/>
          <w:b w:val="1"/>
          <w:bCs w:val="1"/>
          <w:color w:val="auto"/>
        </w:rPr>
        <w:t>Initial</w:t>
      </w:r>
      <w:r>
        <w:rPr>
          <w:rFonts w:ascii="Arial" w:cs="Arial" w:eastAsia="Arial" w:hAnsi="Arial"/>
          <w:sz w:val="19"/>
          <w:szCs w:val="19"/>
          <w:color w:val="auto"/>
        </w:rPr>
        <w:t xml:space="preserve"> </w:t>
      </w:r>
      <w:r>
        <w:rPr>
          <w:rFonts w:ascii="Arial" w:cs="Arial" w:eastAsia="Arial" w:hAnsi="Arial"/>
          <w:sz w:val="19"/>
          <w:szCs w:val="19"/>
          <w:b w:val="1"/>
          <w:bCs w:val="1"/>
          <w:color w:val="auto"/>
        </w:rPr>
        <w:t>Third Outside Delivery Date</w:t>
      </w:r>
      <w:r>
        <w:rPr>
          <w:rFonts w:ascii="Arial" w:cs="Arial" w:eastAsia="Arial" w:hAnsi="Arial"/>
          <w:sz w:val="19"/>
          <w:szCs w:val="19"/>
          <w:color w:val="auto"/>
        </w:rPr>
        <w:t>” shall mean the date one hundred eighty (180) days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Scheduled Delivery Date. The “</w:t>
      </w:r>
      <w:r>
        <w:rPr>
          <w:rFonts w:ascii="Arial" w:cs="Arial" w:eastAsia="Arial" w:hAnsi="Arial"/>
          <w:sz w:val="19"/>
          <w:szCs w:val="19"/>
          <w:b w:val="1"/>
          <w:bCs w:val="1"/>
          <w:color w:val="auto"/>
        </w:rPr>
        <w:t>First Extended Third Outside Delivery Date</w:t>
      </w:r>
      <w:r>
        <w:rPr>
          <w:rFonts w:ascii="Arial" w:cs="Arial" w:eastAsia="Arial" w:hAnsi="Arial"/>
          <w:sz w:val="19"/>
          <w:szCs w:val="19"/>
          <w:color w:val="auto"/>
        </w:rPr>
        <w:t>” shall mean the date which occurs thirty (30) days after the Initial Third Outside Delivery Date. The “</w:t>
      </w:r>
      <w:r>
        <w:rPr>
          <w:rFonts w:ascii="Arial" w:cs="Arial" w:eastAsia="Arial" w:hAnsi="Arial"/>
          <w:sz w:val="19"/>
          <w:szCs w:val="19"/>
          <w:b w:val="1"/>
          <w:b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color w:val="auto"/>
        </w:rPr>
        <w:t>Extended Third Outside Delivery Date</w:t>
      </w:r>
      <w:r>
        <w:rPr>
          <w:rFonts w:ascii="Arial" w:cs="Arial" w:eastAsia="Arial" w:hAnsi="Arial"/>
          <w:sz w:val="19"/>
          <w:szCs w:val="19"/>
          <w:color w:val="auto"/>
        </w:rPr>
        <w:t>” shall mean the date which occurs thirty (30) days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Extended Third Outside Delivery Date. Notwithstanding the foregoing, if for any reason the Delivery Date shall not have occurred on or before the Third Outside Delivery Date, then Tenant may elect, as its sole and exclusive remedy on account thereof, to terminate the Lease by giving Landlord a Termination Notice, which Termination Notice may be given not earlier than the Third Outside Delivery Date and not later than thirty (30) days following the Third Outside Delivery Date, with such termination to be effective on the date which is thirty (30) days after the delivery of such Termination Notice; provided however, Landlord shall have the right to vitiate Tenant’s said termination of the Lease if, by the thirtieth (30</w:t>
      </w:r>
      <w:r>
        <w:rPr>
          <w:rFonts w:ascii="Arial" w:cs="Arial" w:eastAsia="Arial" w:hAnsi="Arial"/>
          <w:sz w:val="16"/>
          <w:szCs w:val="16"/>
          <w:color w:val="auto"/>
        </w:rPr>
        <w:t>th</w:t>
      </w:r>
      <w:r>
        <w:rPr>
          <w:rFonts w:ascii="Arial" w:cs="Arial" w:eastAsia="Arial" w:hAnsi="Arial"/>
          <w:sz w:val="19"/>
          <w:szCs w:val="19"/>
          <w:color w:val="auto"/>
        </w:rPr>
        <w:t>) day immediately following delivery of Tenant’s Termination Notice, Landlord notifies Tenant that the Delivery Date has occurred. If Tenant validly terminates the Lease in accordance with the foregoing provisions, the Lease shall be null and void and of no further force and effect, and except as expressly and specifically set forth herein, the parties shall have no further liabilities, responsibilities or obligations hereunder.</w:t>
      </w:r>
    </w:p>
    <w:p>
      <w:pPr>
        <w:spacing w:after="0" w:line="200" w:lineRule="exact"/>
        <w:rPr>
          <w:sz w:val="20"/>
          <w:szCs w:val="20"/>
          <w:color w:val="auto"/>
        </w:rPr>
      </w:pPr>
    </w:p>
    <w:p>
      <w:pPr>
        <w:spacing w:after="0" w:line="212" w:lineRule="exact"/>
        <w:rPr>
          <w:sz w:val="20"/>
          <w:szCs w:val="20"/>
          <w:color w:val="auto"/>
        </w:rPr>
      </w:pPr>
    </w:p>
    <w:p>
      <w:pPr>
        <w:jc w:val="both"/>
        <w:ind w:left="1740" w:right="860"/>
        <w:spacing w:after="0" w:line="245" w:lineRule="auto"/>
        <w:rPr>
          <w:sz w:val="20"/>
          <w:szCs w:val="20"/>
          <w:color w:val="auto"/>
        </w:rPr>
      </w:pPr>
      <w:r>
        <w:rPr>
          <w:rFonts w:ascii="Arial" w:cs="Arial" w:eastAsia="Arial" w:hAnsi="Arial"/>
          <w:sz w:val="21"/>
          <w:szCs w:val="21"/>
          <w:color w:val="auto"/>
        </w:rPr>
        <w:t>Without limiting the foregoing, Landlord may elect, in Landlord’s sole and absolute discretion, upon written notice delivered to Tenant not later than ten (10) days prior to the Initial Third Outside Delivery Date (the “</w:t>
      </w:r>
      <w:r>
        <w:rPr>
          <w:rFonts w:ascii="Arial" w:cs="Arial" w:eastAsia="Arial" w:hAnsi="Arial"/>
          <w:sz w:val="21"/>
          <w:szCs w:val="21"/>
          <w:b w:val="1"/>
          <w:bCs w:val="1"/>
          <w:color w:val="auto"/>
        </w:rPr>
        <w:t>First Outside Delivery Date Extension Notice</w:t>
      </w:r>
      <w:r>
        <w:rPr>
          <w:rFonts w:ascii="Arial" w:cs="Arial" w:eastAsia="Arial" w:hAnsi="Arial"/>
          <w:sz w:val="21"/>
          <w:szCs w:val="21"/>
          <w:color w:val="auto"/>
        </w:rPr>
        <w:t>”), to extend the Initial Third Outside Delivery Date to the First Extended Third Outside Delivery Date. In addition, Landlord may elect, in Landlord’s sole and absolute discretion, upon written notice delivered to Tenant not later than ten (10) days prior to the First Extended Third Outside Delivery Date (the “</w:t>
      </w:r>
      <w:r>
        <w:rPr>
          <w:rFonts w:ascii="Arial" w:cs="Arial" w:eastAsia="Arial" w:hAnsi="Arial"/>
          <w:sz w:val="21"/>
          <w:szCs w:val="21"/>
          <w:b w:val="1"/>
          <w:bCs w:val="1"/>
          <w:color w:val="auto"/>
        </w:rPr>
        <w:t>Second</w:t>
      </w:r>
      <w:r>
        <w:rPr>
          <w:rFonts w:ascii="Arial" w:cs="Arial" w:eastAsia="Arial" w:hAnsi="Arial"/>
          <w:sz w:val="21"/>
          <w:szCs w:val="21"/>
          <w:color w:val="auto"/>
        </w:rPr>
        <w:t xml:space="preserve"> </w:t>
      </w:r>
      <w:r>
        <w:rPr>
          <w:rFonts w:ascii="Arial" w:cs="Arial" w:eastAsia="Arial" w:hAnsi="Arial"/>
          <w:sz w:val="21"/>
          <w:szCs w:val="21"/>
          <w:b w:val="1"/>
          <w:bCs w:val="1"/>
          <w:color w:val="auto"/>
        </w:rPr>
        <w:t>Outside Delivery Date Extension Notice</w:t>
      </w:r>
      <w:r>
        <w:rPr>
          <w:rFonts w:ascii="Arial" w:cs="Arial" w:eastAsia="Arial" w:hAnsi="Arial"/>
          <w:sz w:val="21"/>
          <w:szCs w:val="21"/>
          <w:color w:val="auto"/>
        </w:rPr>
        <w:t>”), to extend the First Extended Third Outside Delivery</w:t>
      </w:r>
      <w:r>
        <w:rPr>
          <w:rFonts w:ascii="Arial" w:cs="Arial" w:eastAsia="Arial" w:hAnsi="Arial"/>
          <w:sz w:val="21"/>
          <w:szCs w:val="21"/>
          <w:b w:val="1"/>
          <w:bCs w:val="1"/>
          <w:color w:val="auto"/>
        </w:rPr>
        <w:t xml:space="preserve"> </w:t>
      </w:r>
      <w:r>
        <w:rPr>
          <w:rFonts w:ascii="Arial" w:cs="Arial" w:eastAsia="Arial" w:hAnsi="Arial"/>
          <w:sz w:val="21"/>
          <w:szCs w:val="21"/>
          <w:color w:val="auto"/>
        </w:rPr>
        <w:t>Date to the Second Extended Third Outside Delivery Date. In the event that Landlord delivers a First Outside Delivery Date Extension Notice, Landlord shall be obligated to pay to Tenant an additional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4852-5482-1308,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8" w:name="page79"/>
    <w:bookmarkEnd w:id="78"/>
    <w:p>
      <w:pPr>
        <w:jc w:val="both"/>
        <w:ind w:left="1740" w:right="860"/>
        <w:spacing w:after="0" w:line="247" w:lineRule="auto"/>
        <w:rPr>
          <w:sz w:val="20"/>
          <w:szCs w:val="20"/>
          <w:color w:val="auto"/>
        </w:rPr>
      </w:pPr>
      <w:r>
        <w:rPr>
          <w:rFonts w:ascii="Arial" w:cs="Arial" w:eastAsia="Arial" w:hAnsi="Arial"/>
          <w:sz w:val="21"/>
          <w:szCs w:val="21"/>
          <w:color w:val="auto"/>
        </w:rPr>
        <w:t>tenant improvement allowance (the “</w:t>
      </w:r>
      <w:r>
        <w:rPr>
          <w:rFonts w:ascii="Arial" w:cs="Arial" w:eastAsia="Arial" w:hAnsi="Arial"/>
          <w:sz w:val="21"/>
          <w:szCs w:val="21"/>
          <w:b w:val="1"/>
          <w:bCs w:val="1"/>
          <w:color w:val="auto"/>
        </w:rPr>
        <w:t>Delivery Date Extension Allowance</w:t>
      </w:r>
      <w:r>
        <w:rPr>
          <w:rFonts w:ascii="Arial" w:cs="Arial" w:eastAsia="Arial" w:hAnsi="Arial"/>
          <w:sz w:val="21"/>
          <w:szCs w:val="21"/>
          <w:color w:val="auto"/>
        </w:rPr>
        <w:t>”) of Two Million Five Hundred Thousand and 00/100 Dollars ($2,500,000.00). In the event that Landlord delivers a Second Outside Delivery Date Extension Notice, the amount of the Delivery Date Extension Allowance shall be increased by an additional Two Million Five Hundred Thousand and 00/100 Dollars ($2,500,000.00). The Delivery Date Extension Allowance shall be payable to Tenant for Permitted Costs of Tenant’s Work in accordance with the terms and conditions of Section III below, after completion of Tenant’s Work and delivery to Landlord for the items required under Section III(E) in connection with the final Requisition.”</w:t>
      </w:r>
    </w:p>
    <w:p>
      <w:pPr>
        <w:spacing w:after="0" w:line="178" w:lineRule="exact"/>
        <w:rPr>
          <w:sz w:val="20"/>
          <w:szCs w:val="20"/>
          <w:color w:val="auto"/>
        </w:rPr>
      </w:pPr>
    </w:p>
    <w:p>
      <w:pPr>
        <w:ind w:left="860" w:hanging="852"/>
        <w:spacing w:after="0" w:line="328" w:lineRule="auto"/>
        <w:tabs>
          <w:tab w:leader="none" w:pos="86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Holdover Compensation</w:t>
      </w:r>
      <w:r>
        <w:rPr>
          <w:rFonts w:ascii="Arial" w:cs="Arial" w:eastAsia="Arial" w:hAnsi="Arial"/>
          <w:sz w:val="19"/>
          <w:szCs w:val="19"/>
          <w:color w:val="auto"/>
        </w:rPr>
        <w:t>. Section VI.B of the Work Letter attached as Exhibit 2.1 of the Lease is hereby amended by deleting the reference to “the Scheduled Delivery Date” and replacing said reference with “March 15, 2022”.</w:t>
      </w:r>
    </w:p>
    <w:p>
      <w:pPr>
        <w:spacing w:after="0" w:line="104" w:lineRule="exact"/>
        <w:rPr>
          <w:rFonts w:ascii="Arial" w:cs="Arial" w:eastAsia="Arial" w:hAnsi="Arial"/>
          <w:sz w:val="19"/>
          <w:szCs w:val="19"/>
          <w:color w:val="auto"/>
        </w:rPr>
      </w:pPr>
    </w:p>
    <w:p>
      <w:pPr>
        <w:jc w:val="both"/>
        <w:ind w:left="860" w:hanging="852"/>
        <w:spacing w:after="0" w:line="238" w:lineRule="auto"/>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Additional Allowance</w:t>
      </w:r>
      <w:r>
        <w:rPr>
          <w:rFonts w:ascii="Arial" w:cs="Arial" w:eastAsia="Arial" w:hAnsi="Arial"/>
          <w:sz w:val="22"/>
          <w:szCs w:val="22"/>
          <w:color w:val="auto"/>
        </w:rPr>
        <w:t>. Section II.F of the Work Letter attached as Exhibit 2.1 of the Lease is hereby deleted in its entirety and shall be of no further force or effect. All references in the Lease to Additional Allowance and Section II.F of the Work Letter attached as Exhibit 2.1 of the Lease are hereby deleted in their entirety and shall be of no further force or effect.</w:t>
      </w:r>
    </w:p>
    <w:p>
      <w:pPr>
        <w:spacing w:after="0" w:line="184" w:lineRule="exact"/>
        <w:rPr>
          <w:rFonts w:ascii="Arial" w:cs="Arial" w:eastAsia="Arial" w:hAnsi="Arial"/>
          <w:sz w:val="22"/>
          <w:szCs w:val="22"/>
          <w:color w:val="auto"/>
        </w:rPr>
      </w:pPr>
    </w:p>
    <w:p>
      <w:pPr>
        <w:jc w:val="both"/>
        <w:ind w:left="860" w:hanging="852"/>
        <w:spacing w:after="0"/>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Deleted and Inapplicable Lease Provisions</w:t>
      </w:r>
      <w:r>
        <w:rPr>
          <w:rFonts w:ascii="Arial" w:cs="Arial" w:eastAsia="Arial" w:hAnsi="Arial"/>
          <w:sz w:val="22"/>
          <w:szCs w:val="22"/>
          <w:color w:val="auto"/>
        </w:rPr>
        <w:t>. The following sections and provisions of the Existing Lease are hereby deleted in the entirety, and shall be null and void, and of no further force or effect: Article XVIII of the Existing Lease and Pages 1 and 2 of Exhibit 1.2-1 attached to the Existing Lease.</w:t>
      </w:r>
    </w:p>
    <w:p>
      <w:pPr>
        <w:spacing w:after="0" w:line="186" w:lineRule="exact"/>
        <w:rPr>
          <w:rFonts w:ascii="Arial" w:cs="Arial" w:eastAsia="Arial" w:hAnsi="Arial"/>
          <w:sz w:val="22"/>
          <w:szCs w:val="22"/>
          <w:color w:val="auto"/>
        </w:rPr>
      </w:pPr>
    </w:p>
    <w:p>
      <w:pPr>
        <w:jc w:val="both"/>
        <w:ind w:left="860" w:hanging="852"/>
        <w:spacing w:after="0" w:line="246" w:lineRule="auto"/>
        <w:tabs>
          <w:tab w:leader="none" w:pos="86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Tenant hereby represents and warrants to Landlord that the execution and delivery of this Amendment by Tenant has been duly authorized by all requisite corporate action, and Landlord hereby represents and warrants to Tenant that the execution and delivery of this Amendment by Landlord has been duly authorized by all requisite limited liability company action. This Amendment shall not be binding upon Landlord or Tenant unless and until Landlord and Tenant each shall have executed and delivered a fully executed copy of this Amendment to the other. Except as expressly and specifically set forth in this Amendment, the Existing Lease is hereby ratified and confirmed, and all of the terms, covenants, agreements and provisions of the Existing Lease shall remain unaltered and unmodified and in full force and effect.</w:t>
      </w:r>
    </w:p>
    <w:p>
      <w:pPr>
        <w:spacing w:after="0" w:line="179" w:lineRule="exact"/>
        <w:rPr>
          <w:rFonts w:ascii="Arial" w:cs="Arial" w:eastAsia="Arial" w:hAnsi="Arial"/>
          <w:sz w:val="21"/>
          <w:szCs w:val="21"/>
          <w:color w:val="auto"/>
        </w:rPr>
      </w:pPr>
    </w:p>
    <w:p>
      <w:pPr>
        <w:jc w:val="both"/>
        <w:ind w:left="860" w:hanging="852"/>
        <w:spacing w:after="0" w:line="248" w:lineRule="auto"/>
        <w:tabs>
          <w:tab w:leader="none" w:pos="86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counterparts and by each of the undersigned on separate counterparts, which counterparts taken together shall constitute one and the same instrument. This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4852-5482-1308,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9" w:name="page80"/>
    <w:bookmarkEnd w:id="79"/>
    <w:p>
      <w:pPr>
        <w:ind w:left="880"/>
        <w:spacing w:after="0"/>
        <w:rPr>
          <w:sz w:val="20"/>
          <w:szCs w:val="20"/>
          <w:color w:val="auto"/>
        </w:rPr>
      </w:pPr>
      <w:r>
        <w:rPr>
          <w:rFonts w:ascii="Arial" w:cs="Arial" w:eastAsia="Arial" w:hAnsi="Arial"/>
          <w:sz w:val="19"/>
          <w:szCs w:val="19"/>
          <w:color w:val="auto"/>
        </w:rPr>
        <w:t>EXECUTED as an instrument under seal as of the date first above-written.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S&amp;A P-12 PROPERTY LLC</w:t>
      </w:r>
      <w:r>
        <w:rPr>
          <w:rFonts w:ascii="Arial" w:cs="Arial" w:eastAsia="Arial" w:hAnsi="Arial"/>
          <w:sz w:val="22"/>
          <w:szCs w:val="22"/>
          <w:color w:val="auto"/>
        </w:rPr>
        <w:t>, a Delaware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limited liability company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P-12 Vertical Investment LLC, a</w:t>
      </w:r>
    </w:p>
    <w:p>
      <w:pPr>
        <w:spacing w:after="0" w:line="238" w:lineRule="auto"/>
        <w:rPr>
          <w:sz w:val="20"/>
          <w:szCs w:val="20"/>
          <w:color w:val="auto"/>
        </w:rPr>
      </w:pPr>
      <w:r>
        <w:rPr>
          <w:rFonts w:ascii="Arial" w:cs="Arial" w:eastAsia="Arial" w:hAnsi="Arial"/>
          <w:sz w:val="22"/>
          <w:szCs w:val="22"/>
          <w:color w:val="auto"/>
        </w:rPr>
        <w:t>Delaware limited liability company, its</w:t>
      </w:r>
    </w:p>
    <w:p>
      <w:pPr>
        <w:spacing w:after="0"/>
        <w:rPr>
          <w:sz w:val="20"/>
          <w:szCs w:val="20"/>
          <w:color w:val="auto"/>
        </w:rPr>
      </w:pPr>
      <w:r>
        <w:rPr>
          <w:rFonts w:ascii="Arial" w:cs="Arial" w:eastAsia="Arial" w:hAnsi="Arial"/>
          <w:sz w:val="22"/>
          <w:szCs w:val="22"/>
          <w:color w:val="auto"/>
        </w:rPr>
        <w:t>Manager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J-S P-12 MANAGING MEMBER LLC,</w:t>
      </w:r>
    </w:p>
    <w:p>
      <w:pPr>
        <w:spacing w:after="0" w:line="238" w:lineRule="auto"/>
        <w:rPr>
          <w:sz w:val="20"/>
          <w:szCs w:val="20"/>
          <w:color w:val="auto"/>
        </w:rPr>
      </w:pPr>
      <w:r>
        <w:rPr>
          <w:rFonts w:ascii="Arial" w:cs="Arial" w:eastAsia="Arial" w:hAnsi="Arial"/>
          <w:sz w:val="22"/>
          <w:szCs w:val="22"/>
          <w:color w:val="auto"/>
        </w:rPr>
        <w:t>a Delaware limited liability company, its</w:t>
      </w:r>
    </w:p>
    <w:p>
      <w:pPr>
        <w:spacing w:after="0"/>
        <w:rPr>
          <w:sz w:val="20"/>
          <w:szCs w:val="20"/>
          <w:color w:val="auto"/>
        </w:rPr>
      </w:pPr>
      <w:r>
        <w:rPr>
          <w:rFonts w:ascii="Arial" w:cs="Arial" w:eastAsia="Arial" w:hAnsi="Arial"/>
          <w:sz w:val="22"/>
          <w:szCs w:val="22"/>
          <w:color w:val="auto"/>
        </w:rPr>
        <w:t>Managing Member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S&amp;A P-12 HOLDINGS LLC, a</w:t>
      </w:r>
    </w:p>
    <w:p>
      <w:pPr>
        <w:spacing w:after="0" w:line="238" w:lineRule="auto"/>
        <w:rPr>
          <w:sz w:val="20"/>
          <w:szCs w:val="20"/>
          <w:color w:val="auto"/>
        </w:rPr>
      </w:pPr>
      <w:r>
        <w:rPr>
          <w:rFonts w:ascii="Arial" w:cs="Arial" w:eastAsia="Arial" w:hAnsi="Arial"/>
          <w:sz w:val="22"/>
          <w:szCs w:val="22"/>
          <w:color w:val="auto"/>
        </w:rPr>
        <w:t>Delaware limited liability company, its</w:t>
      </w:r>
    </w:p>
    <w:p>
      <w:pPr>
        <w:spacing w:after="0"/>
        <w:rPr>
          <w:sz w:val="20"/>
          <w:szCs w:val="20"/>
          <w:color w:val="auto"/>
        </w:rPr>
      </w:pPr>
      <w:r>
        <w:rPr>
          <w:rFonts w:ascii="Arial" w:cs="Arial" w:eastAsia="Arial" w:hAnsi="Arial"/>
          <w:sz w:val="22"/>
          <w:szCs w:val="22"/>
          <w:color w:val="auto"/>
        </w:rPr>
        <w:t>Managing Member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S&amp;A GP LLC, a Massachusetts limited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liability company, its Manager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Steven B. Samuels</w:t>
            </w:r>
          </w:p>
        </w:tc>
      </w:tr>
      <w:tr>
        <w:trPr>
          <w:trHeight w:val="236"/>
        </w:trPr>
        <w:tc>
          <w:tcPr>
            <w:tcW w:w="80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482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Steven B. Samuels</w:t>
            </w:r>
          </w:p>
        </w:tc>
      </w:tr>
      <w:tr>
        <w:trPr>
          <w:trHeight w:val="247"/>
        </w:trPr>
        <w:tc>
          <w:tcPr>
            <w:tcW w:w="800" w:type="dxa"/>
            <w:vAlign w:val="bottom"/>
          </w:tcPr>
          <w:p>
            <w:pPr>
              <w:spacing w:after="0" w:line="246" w:lineRule="exact"/>
              <w:rPr>
                <w:sz w:val="20"/>
                <w:szCs w:val="20"/>
                <w:color w:val="auto"/>
              </w:rPr>
            </w:pPr>
            <w:r>
              <w:rPr>
                <w:rFonts w:ascii="Arial" w:cs="Arial" w:eastAsia="Arial" w:hAnsi="Arial"/>
                <w:sz w:val="22"/>
                <w:szCs w:val="22"/>
                <w:color w:val="auto"/>
              </w:rPr>
              <w:t>Title:</w:t>
            </w:r>
          </w:p>
        </w:tc>
        <w:tc>
          <w:tcPr>
            <w:tcW w:w="4820" w:type="dxa"/>
            <w:vAlign w:val="bottom"/>
          </w:tcPr>
          <w:p>
            <w:pPr>
              <w:spacing w:after="0" w:line="246" w:lineRule="exact"/>
              <w:rPr>
                <w:sz w:val="20"/>
                <w:szCs w:val="20"/>
                <w:color w:val="auto"/>
              </w:rPr>
            </w:pPr>
            <w:r>
              <w:rPr>
                <w:rFonts w:ascii="Arial" w:cs="Arial" w:eastAsia="Arial" w:hAnsi="Arial"/>
                <w:sz w:val="22"/>
                <w:szCs w:val="22"/>
                <w:color w:val="auto"/>
              </w:rPr>
              <w:t>Manager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30600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Hereunto duly authorized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CARGURUS, INC.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Jason Trevisan</w:t>
            </w:r>
          </w:p>
        </w:tc>
      </w:tr>
      <w:tr>
        <w:trPr>
          <w:trHeight w:val="236"/>
        </w:trPr>
        <w:tc>
          <w:tcPr>
            <w:tcW w:w="800" w:type="dxa"/>
            <w:vAlign w:val="bottom"/>
          </w:tcPr>
          <w:p>
            <w:pPr>
              <w:spacing w:after="0"/>
              <w:rPr>
                <w:sz w:val="20"/>
                <w:szCs w:val="20"/>
                <w:color w:val="auto"/>
              </w:rPr>
            </w:pPr>
          </w:p>
        </w:tc>
        <w:tc>
          <w:tcPr>
            <w:tcW w:w="80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402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Jason Trevisan</w:t>
            </w:r>
          </w:p>
        </w:tc>
      </w:tr>
      <w:tr>
        <w:trPr>
          <w:trHeight w:val="247"/>
        </w:trPr>
        <w:tc>
          <w:tcPr>
            <w:tcW w:w="800" w:type="dxa"/>
            <w:vAlign w:val="bottom"/>
          </w:tcPr>
          <w:p>
            <w:pPr>
              <w:spacing w:after="0"/>
              <w:rPr>
                <w:sz w:val="21"/>
                <w:szCs w:val="21"/>
                <w:color w:val="auto"/>
              </w:rPr>
            </w:pPr>
          </w:p>
        </w:tc>
        <w:tc>
          <w:tcPr>
            <w:tcW w:w="800" w:type="dxa"/>
            <w:vAlign w:val="bottom"/>
          </w:tcPr>
          <w:p>
            <w:pPr>
              <w:spacing w:after="0" w:line="246" w:lineRule="exact"/>
              <w:rPr>
                <w:sz w:val="20"/>
                <w:szCs w:val="20"/>
                <w:color w:val="auto"/>
              </w:rPr>
            </w:pPr>
            <w:r>
              <w:rPr>
                <w:rFonts w:ascii="Arial" w:cs="Arial" w:eastAsia="Arial" w:hAnsi="Arial"/>
                <w:sz w:val="22"/>
                <w:szCs w:val="22"/>
                <w:color w:val="auto"/>
              </w:rPr>
              <w:t>Title:</w:t>
            </w:r>
          </w:p>
        </w:tc>
        <w:tc>
          <w:tcPr>
            <w:tcW w:w="4020" w:type="dxa"/>
            <w:vAlign w:val="bottom"/>
          </w:tcPr>
          <w:p>
            <w:pPr>
              <w:spacing w:after="0" w:line="246" w:lineRule="exact"/>
              <w:rPr>
                <w:sz w:val="20"/>
                <w:szCs w:val="20"/>
                <w:color w:val="auto"/>
              </w:rPr>
            </w:pPr>
            <w:r>
              <w:rPr>
                <w:rFonts w:ascii="Arial" w:cs="Arial" w:eastAsia="Arial" w:hAnsi="Arial"/>
                <w:sz w:val="22"/>
                <w:szCs w:val="22"/>
                <w:color w:val="auto"/>
              </w:rPr>
              <w:t>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-5715</wp:posOffset>
            </wp:positionV>
            <wp:extent cx="2554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22"/>
          <w:szCs w:val="22"/>
          <w:color w:val="auto"/>
        </w:rPr>
        <w:t>Hereunto duly authorized</w:t>
      </w: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4852-5482-1308, v. 3</w:t>
      </w:r>
    </w:p>
    <w:p>
      <w:pPr>
        <w:sectPr>
          <w:pgSz w:w="11900" w:h="16838" w:orient="portrait"/>
          <w:cols w:equalWidth="0" w:num="1">
            <w:col w:w="10139"/>
          </w:cols>
          <w:pgMar w:left="320" w:top="361"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6, 2020</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Langley Steinert</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6, 2020</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Jason Trevisan</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June 30, 2020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65"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6, 2020</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Langley Steinert</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In connection with the Quarterly Report on Form 10-Q of CarGurus, Inc. (the “Company”) for the period ending June 30, 2020 as filed with the Securities and Exchange Commission on the date hereof (the “Report”), I, Jason Trevisan, Chief Financial Officer and President, International of the Company, certify, pursuant to 18 U.S.C. § 1350, as adopted pursuant to § 906 of the Sarbanes-Oxley Act of 2002, that, based on my knowledge:</w:t>
      </w:r>
    </w:p>
    <w:p>
      <w:pPr>
        <w:spacing w:after="0" w:line="149"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6, 2020</w:t>
            </w:r>
          </w:p>
        </w:tc>
        <w:tc>
          <w:tcPr>
            <w:tcW w:w="7620" w:type="dxa"/>
            <w:vAlign w:val="bottom"/>
            <w:gridSpan w:val="2"/>
          </w:tcPr>
          <w:p>
            <w:pPr>
              <w:ind w:left="2080"/>
              <w:spacing w:after="0"/>
              <w:rPr>
                <w:sz w:val="20"/>
                <w:szCs w:val="20"/>
                <w:color w:val="auto"/>
              </w:rPr>
            </w:pPr>
            <w:r>
              <w:rPr>
                <w:rFonts w:ascii="Arial" w:cs="Arial" w:eastAsia="Arial" w:hAnsi="Arial"/>
                <w:sz w:val="18"/>
                <w:szCs w:val="18"/>
                <w:color w:val="auto"/>
              </w:rPr>
              <w:t>By: /s/ Jason Trevisan</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2"/>
    </w:lvl>
  </w:abstractNum>
  <w:abstractNum w:abstractNumId="24">
    <w:nsid w:val="614FD4A1"/>
    <w:multiLevelType w:val="hybridMultilevel"/>
    <w:lvl w:ilvl="0">
      <w:lvlJc w:val="left"/>
      <w:lvlText w:val="%1."/>
      <w:numFmt w:val="lowerLetter"/>
      <w:start w:val="3"/>
    </w:lvl>
  </w:abstractNum>
  <w:abstractNum w:abstractNumId="25">
    <w:nsid w:val="419AC241"/>
    <w:multiLevelType w:val="hybridMultilevel"/>
    <w:lvl w:ilvl="0">
      <w:lvlJc w:val="left"/>
      <w:lvlText w:val="(%1)"/>
      <w:numFmt w:val="lowerRoman"/>
      <w:start w:val="1"/>
    </w:lvl>
  </w:abstractNum>
  <w:abstractNum w:abstractNumId="26">
    <w:nsid w:val="5577F8E1"/>
    <w:multiLevelType w:val="hybridMultilevel"/>
    <w:lvl w:ilvl="0">
      <w:lvlJc w:val="left"/>
      <w:lvlText w:val="(%1)"/>
      <w:numFmt w:val="lowerRoman"/>
      <w:start w:val="3"/>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3"/>
    </w:lvl>
  </w:abstractNum>
  <w:abstractNum w:abstractNumId="30">
    <w:nsid w:val="77465F01"/>
    <w:multiLevelType w:val="hybridMultilevel"/>
    <w:lvl w:ilvl="0">
      <w:lvlJc w:val="left"/>
      <w:lvlText w:val="(%1)"/>
      <w:numFmt w:val="lowerLetter"/>
      <w:start w:val="4"/>
    </w:lvl>
  </w:abstractNum>
  <w:abstractNum w:abstractNumId="31">
    <w:nsid w:val="7724C67E"/>
    <w:multiLevelType w:val="hybridMultilevel"/>
    <w:lvl w:ilvl="0">
      <w:lvlJc w:val="left"/>
      <w:lvlText w:val="(%1)"/>
      <w:numFmt w:val="lowerRoman"/>
      <w:start w:val="1"/>
    </w:lvl>
  </w:abstractNum>
  <w:abstractNum w:abstractNumId="32">
    <w:nsid w:val="5C482A9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5"/>
    </w:lvl>
  </w:abstractNum>
  <w:abstractNum w:abstractNumId="33">
    <w:nsid w:val="2463B9EA"/>
    <w:multiLevelType w:val="hybridMultilevel"/>
    <w:lvl w:ilvl="0">
      <w:lvlJc w:val="left"/>
      <w:lvlText w:val="%1."/>
      <w:numFmt w:val="upperLetter"/>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3"/>
    </w:lvl>
  </w:abstractNum>
  <w:abstractNum w:abstractNumId="36">
    <w:nsid w:val="2D517796"/>
    <w:multiLevelType w:val="hybridMultilevel"/>
    <w:lvl w:ilvl="0">
      <w:lvlJc w:val="left"/>
      <w:lvlText w:val="%1."/>
      <w:numFmt w:val="decimal"/>
      <w:start w:val="4"/>
    </w:lvl>
  </w:abstractNum>
  <w:abstractNum w:abstractNumId="37">
    <w:nsid w:val="580BD78F"/>
    <w:multiLevelType w:val="hybridMultilevel"/>
    <w:lvl w:ilvl="0">
      <w:lvlJc w:val="left"/>
      <w:lvlText w:val="%1."/>
      <w:numFmt w:val="decimal"/>
      <w:start w:val="7"/>
    </w:lvl>
  </w:abstractNum>
  <w:abstractNum w:abstractNumId="38">
    <w:nsid w:val="153EA438"/>
    <w:multiLevelType w:val="hybridMultilevel"/>
    <w:lvl w:ilvl="0">
      <w:lvlJc w:val="left"/>
      <w:lvlText w:val="%1."/>
      <w:numFmt w:val="decimal"/>
      <w:start w:val="9"/>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2020-08-06T15:56:44Z</dcterms:created>
  <dcterms:modified xsi:type="dcterms:W3CDTF">2020-08-06T15:56:44Z</dcterms:modified>
</cp:coreProperties>
</file>